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44"/>
          <w:szCs w:val="44"/>
        </w:rPr>
      </w:pPr>
      <w:r>
        <w:rPr>
          <w:rFonts w:hint="eastAsia" w:ascii="黑体" w:hAnsi="黑体" w:eastAsia="黑体" w:cs="黑体"/>
          <w:sz w:val="32"/>
          <w:szCs w:val="32"/>
        </w:rPr>
        <w:t>附件1</w:t>
      </w:r>
    </w:p>
    <w:p>
      <w:pPr>
        <w:spacing w:line="594" w:lineRule="exact"/>
        <w:jc w:val="center"/>
        <w:rPr>
          <w:rFonts w:eastAsia="方正小标宋简体"/>
          <w:spacing w:val="-12"/>
          <w:sz w:val="44"/>
          <w:szCs w:val="44"/>
        </w:rPr>
      </w:pPr>
      <w:r>
        <w:rPr>
          <w:rFonts w:hint="eastAsia" w:eastAsia="方正小标宋简体"/>
          <w:spacing w:val="-12"/>
          <w:sz w:val="44"/>
          <w:szCs w:val="44"/>
        </w:rPr>
        <w:t>部分不合格检验项目小知识</w:t>
      </w:r>
    </w:p>
    <w:p>
      <w:pPr>
        <w:spacing w:line="560" w:lineRule="exact"/>
        <w:rPr>
          <w:rFonts w:ascii="黑体" w:hAnsi="黑体" w:eastAsia="黑体" w:cs="黑体"/>
          <w:bCs/>
          <w:sz w:val="32"/>
          <w:szCs w:val="32"/>
        </w:rPr>
      </w:pP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一、4-氯苯氧乙酸钠(以4-氯苯氧乙酸计)</w:t>
      </w:r>
    </w:p>
    <w:p>
      <w:pPr>
        <w:numPr>
          <w:ilvl w:val="0"/>
          <w:numId w:val="1"/>
        </w:numPr>
        <w:ind w:firstLine="640" w:firstLineChars="200"/>
        <w:rPr>
          <w:rFonts w:eastAsia="仿宋_GB2312"/>
          <w:sz w:val="32"/>
          <w:szCs w:val="32"/>
        </w:rPr>
      </w:pPr>
      <w:r>
        <w:rPr>
          <w:rFonts w:hint="eastAsia" w:eastAsia="仿宋_GB2312"/>
          <w:sz w:val="32"/>
          <w:szCs w:val="32"/>
        </w:rPr>
        <w:t>氯苯氧乙酸钠（以4-氯苯氧乙酸计）又称防落素、保果灵，具有防止落花落果、抑制豆类生根、调节植物株内激素平衡等作用。《国家食品药品监督管理总局 农业部 国家卫生和计划生育委员会关于豆芽生产过程中禁止使用6-苄基腺嘌呤等物质的公告》（2015年 第11号）中规定，生产者不得在豆芽生产过程中使用6-苄基腺嘌呤、4-氯苯氧乙酸钠、赤霉素等物质，豆芽经营者不得经营含有6-苄基腺嘌呤、4-氯苯氧乙酸钠、赤霉素等物质的豆芽。</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二、甲拌磷</w:t>
      </w:r>
    </w:p>
    <w:p>
      <w:pPr>
        <w:spacing w:line="560" w:lineRule="exact"/>
        <w:ind w:firstLine="640" w:firstLineChars="200"/>
        <w:rPr>
          <w:rFonts w:eastAsia="仿宋_GB2312"/>
          <w:sz w:val="32"/>
          <w:szCs w:val="32"/>
        </w:rPr>
      </w:pPr>
      <w:r>
        <w:rPr>
          <w:rFonts w:hint="eastAsia" w:eastAsia="仿宋_GB2312"/>
          <w:sz w:val="32"/>
          <w:szCs w:val="32"/>
        </w:rPr>
        <w:t>甲拌磷属高毒农药，是一种有机磷类广谱、内吸、高毒杀虫剂，对害虫具有触杀、胃毒、熏蒸作用。《食品安全国家标准 食品中农药最大残留限量》（GB 2763）规定，叶菜类蔬菜中甲拌磷的最大残留限量为0.01 mg/kg。食用农残超标的蔬菜会导致头痛、头昏、恶心、呕吐、腹泻，此种农药在人体内不易分解，长期食用，体内毒素会越来越多。虽然不会导致急性中毒，但可能对人体健康产生一定的不良影响。</w:t>
      </w:r>
    </w:p>
    <w:p>
      <w:pPr>
        <w:spacing w:line="560" w:lineRule="exact"/>
        <w:ind w:firstLine="640" w:firstLineChars="200"/>
        <w:rPr>
          <w:rFonts w:eastAsia="仿宋_GB2312"/>
          <w:sz w:val="32"/>
          <w:szCs w:val="32"/>
        </w:rPr>
      </w:pPr>
      <w:r>
        <w:rPr>
          <w:rFonts w:hint="eastAsia" w:eastAsia="仿宋_GB2312"/>
          <w:sz w:val="32"/>
          <w:szCs w:val="32"/>
        </w:rPr>
        <w:t>为保障农产品质量安全、人畜安全和生态环境安全，根据《中共中央 国务院关于深化改革加强食品安全工作的意见》《农药管理条例》，经国务院同意，决定对甲拌磷、甲基异柳磷、水胺硫磷、灭线磷等4种高毒农药采取淘汰措施。现将有关事项公告如下：</w:t>
      </w:r>
    </w:p>
    <w:p>
      <w:pPr>
        <w:spacing w:line="560" w:lineRule="exact"/>
        <w:ind w:firstLine="640" w:firstLineChars="200"/>
        <w:rPr>
          <w:rFonts w:eastAsia="仿宋_GB2312"/>
          <w:sz w:val="32"/>
          <w:szCs w:val="32"/>
        </w:rPr>
      </w:pPr>
      <w:r>
        <w:rPr>
          <w:rFonts w:hint="eastAsia" w:eastAsia="仿宋_GB2312"/>
          <w:sz w:val="32"/>
          <w:szCs w:val="32"/>
        </w:rPr>
        <w:t>自2022年9月1日起，撤销甲拌磷、甲基异柳磷、水胺硫磷、灭线磷原药及制剂产品的农药登记，禁止生产。已合法生产的产品在质量保证期内可以销售和使用，自2024年9月1日起禁止销售和使用。</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三、灭线磷</w:t>
      </w:r>
    </w:p>
    <w:p>
      <w:pPr>
        <w:pStyle w:val="8"/>
        <w:widowControl/>
        <w:spacing w:beforeAutospacing="0" w:afterAutospacing="0" w:line="420" w:lineRule="atLeast"/>
        <w:ind w:firstLine="640" w:firstLineChars="200"/>
        <w:rPr>
          <w:rFonts w:hint="default" w:ascii="Times New Roman" w:hAnsi="Times New Roman" w:eastAsia="仿宋_GB2312"/>
          <w:kern w:val="2"/>
          <w:sz w:val="32"/>
          <w:szCs w:val="32"/>
        </w:rPr>
      </w:pPr>
      <w:r>
        <w:rPr>
          <w:rFonts w:ascii="Times New Roman" w:hAnsi="Times New Roman" w:eastAsia="仿宋_GB2312"/>
          <w:kern w:val="2"/>
          <w:sz w:val="32"/>
          <w:szCs w:val="32"/>
        </w:rPr>
        <w:t>灭线磷是具有触杀作用但无内吸和熏蒸作用的有机磷酸酯类杀线虫剂。</w:t>
      </w:r>
    </w:p>
    <w:p>
      <w:pPr>
        <w:pStyle w:val="8"/>
        <w:widowControl/>
        <w:spacing w:beforeAutospacing="0" w:afterAutospacing="0" w:line="420" w:lineRule="atLeast"/>
        <w:ind w:firstLine="640" w:firstLineChars="200"/>
        <w:rPr>
          <w:rFonts w:hint="default" w:ascii="Times New Roman" w:hAnsi="Times New Roman" w:eastAsia="仿宋_GB2312"/>
          <w:kern w:val="2"/>
          <w:sz w:val="32"/>
          <w:szCs w:val="32"/>
        </w:rPr>
      </w:pPr>
      <w:r>
        <w:rPr>
          <w:rFonts w:ascii="Times New Roman" w:hAnsi="Times New Roman" w:eastAsia="仿宋_GB2312"/>
          <w:kern w:val="2"/>
          <w:sz w:val="32"/>
          <w:szCs w:val="32"/>
        </w:rPr>
        <w:t>灭线磷的中毒症状主要有胸闷、出汗、腹痛、呕吐、腹泻、瞳孔缩小等,如属误食,应立即给患者喝1-2杯水,并以指探喉引吐；但切忌给昏迷状态的患者喂食任何东西,并立即就医；本品有效解毒剂为阿托品和解磷定。</w:t>
      </w:r>
    </w:p>
    <w:p>
      <w:pPr>
        <w:pStyle w:val="8"/>
        <w:widowControl/>
        <w:spacing w:beforeAutospacing="0" w:afterAutospacing="0" w:line="420" w:lineRule="atLeast"/>
        <w:ind w:firstLine="640" w:firstLineChars="200"/>
        <w:rPr>
          <w:rFonts w:hint="default" w:ascii="Times New Roman" w:hAnsi="Times New Roman" w:eastAsia="仿宋_GB2312"/>
          <w:kern w:val="2"/>
          <w:sz w:val="32"/>
          <w:szCs w:val="32"/>
        </w:rPr>
      </w:pPr>
      <w:r>
        <w:rPr>
          <w:rFonts w:ascii="Times New Roman" w:hAnsi="Times New Roman" w:eastAsia="仿宋_GB2312"/>
          <w:kern w:val="2"/>
          <w:sz w:val="32"/>
          <w:szCs w:val="32"/>
        </w:rPr>
        <w:t>为保障农产品质量安全、人畜安全和生态环境安全，根据《中共中央 国务院关于深化改革加强食品安全工作的意见》《农药管理条例》，经国务院同意，决定对甲拌磷、甲基异柳磷、水胺硫磷、灭线磷等4种高毒农药采取淘汰措施。现将有关事项公告如下：</w:t>
      </w:r>
    </w:p>
    <w:p>
      <w:pPr>
        <w:spacing w:line="560" w:lineRule="exact"/>
        <w:ind w:firstLine="640" w:firstLineChars="200"/>
        <w:rPr>
          <w:rFonts w:eastAsia="仿宋_GB2312"/>
          <w:sz w:val="32"/>
          <w:szCs w:val="32"/>
        </w:rPr>
      </w:pPr>
      <w:r>
        <w:rPr>
          <w:rFonts w:hint="eastAsia" w:eastAsia="仿宋_GB2312"/>
          <w:sz w:val="32"/>
          <w:szCs w:val="32"/>
        </w:rPr>
        <w:t>自2022年9月1日起，撤销甲拌磷、甲基异柳磷、水胺硫磷、灭线磷原药及制剂产品的农药登记，禁止生产。已合法生产的产品在质量保证期内可以销售和使用，自2024年9月1日起禁止销售和使用。</w:t>
      </w:r>
    </w:p>
    <w:p>
      <w:pPr>
        <w:spacing w:line="560" w:lineRule="exact"/>
        <w:ind w:firstLine="640" w:firstLineChars="200"/>
        <w:rPr>
          <w:rFonts w:eastAsia="仿宋_GB2312"/>
          <w:sz w:val="32"/>
          <w:szCs w:val="32"/>
        </w:rPr>
      </w:pPr>
      <w:r>
        <w:rPr>
          <w:rFonts w:hint="eastAsia" w:ascii="黑体" w:hAnsi="黑体" w:eastAsia="黑体" w:cs="黑体"/>
          <w:bCs/>
          <w:sz w:val="32"/>
          <w:szCs w:val="32"/>
        </w:rPr>
        <w:t>四、大肠菌群</w:t>
      </w:r>
    </w:p>
    <w:p>
      <w:pPr>
        <w:pStyle w:val="2"/>
        <w:rPr>
          <w:rFonts w:eastAsia="仿宋_GB2312"/>
          <w:sz w:val="32"/>
          <w:szCs w:val="32"/>
        </w:rPr>
      </w:pPr>
      <w:r>
        <w:rPr>
          <w:rFonts w:hint="eastAsia" w:eastAsia="仿宋_GB2312"/>
          <w:sz w:val="32"/>
          <w:szCs w:val="32"/>
        </w:rPr>
        <w:t>大肠菌群是国内外通用的食品污染常用指示菌之一。食品中检出大肠菌群，提示被致病菌（如沙门氏菌、志贺氏菌、致病性大肠杆菌）污染的可能性较大。《食品安全国家标准 消毒餐（饮）具》（GB 14934-2016）中规定，消毒餐（饮）具中的微生物限量大肠菌群不得检出。大肠菌群超标严重的食品，可能引起呕吐、腹泻等症状，危害人体健康。造成大肠菌群超标的原因，可能是消毒餐（饮）具在生产、清洗过程中受设备、人员、环境等的污染。</w:t>
      </w:r>
    </w:p>
    <w:p>
      <w:pPr>
        <w:spacing w:line="560" w:lineRule="exact"/>
        <w:ind w:left="420" w:leftChars="200" w:firstLine="320" w:firstLineChars="100"/>
        <w:rPr>
          <w:rFonts w:ascii="黑体" w:hAnsi="黑体" w:eastAsia="黑体" w:cs="黑体"/>
          <w:bCs/>
          <w:sz w:val="32"/>
          <w:szCs w:val="32"/>
        </w:rPr>
      </w:pPr>
      <w:r>
        <w:rPr>
          <w:rFonts w:hint="eastAsia" w:ascii="黑体" w:hAnsi="黑体" w:eastAsia="黑体" w:cs="黑体"/>
          <w:bCs/>
          <w:sz w:val="32"/>
          <w:szCs w:val="32"/>
        </w:rPr>
        <w:t>五、噻虫胺</w:t>
      </w:r>
    </w:p>
    <w:p>
      <w:pPr>
        <w:spacing w:line="560" w:lineRule="exact"/>
        <w:ind w:firstLine="640" w:firstLineChars="200"/>
        <w:rPr>
          <w:rFonts w:eastAsia="仿宋_GB2312"/>
          <w:sz w:val="32"/>
          <w:szCs w:val="32"/>
        </w:rPr>
      </w:pPr>
      <w:r>
        <w:rPr>
          <w:rFonts w:hint="eastAsia" w:eastAsia="仿宋_GB2312"/>
          <w:sz w:val="32"/>
          <w:szCs w:val="32"/>
        </w:rPr>
        <w:t xml:space="preserve">噻虫胺是新烟碱类中的一种杀虫剂，是一类高效安全、高选择性的新型杀虫剂，其作用与烟碱乙酰胆碱受体类似，具有触杀、胃毒和内吸活性。主要用于水稻、蔬菜、果树及其他作物上防治蚜虫、叶蝉、蓟马、飞虱等半翅目、鞘翅目、双翅目和某些鳞翅目类害虫的杀虫剂，具有高效、广谱、 </w:t>
      </w:r>
    </w:p>
    <w:p>
      <w:pPr>
        <w:spacing w:line="560" w:lineRule="exact"/>
        <w:rPr>
          <w:rFonts w:eastAsia="仿宋_GB2312"/>
          <w:sz w:val="32"/>
          <w:szCs w:val="32"/>
        </w:rPr>
      </w:pPr>
      <w:r>
        <w:rPr>
          <w:rFonts w:hint="eastAsia" w:eastAsia="仿宋_GB2312"/>
          <w:sz w:val="32"/>
          <w:szCs w:val="32"/>
        </w:rPr>
        <w:t xml:space="preserve">用量少、毒性低、药效持效期长、对作物无药害、使用安全、与常规农药无交互抗性等优点，有卓越的内吸和渗透作用，是替代高毒有机磷农药的又一品种。 </w:t>
      </w:r>
    </w:p>
    <w:p>
      <w:pPr>
        <w:ind w:firstLine="640" w:firstLineChars="200"/>
        <w:rPr>
          <w:rFonts w:eastAsia="仿宋_GB2312"/>
          <w:sz w:val="32"/>
          <w:szCs w:val="32"/>
        </w:rPr>
      </w:pPr>
      <w:r>
        <w:rPr>
          <w:rFonts w:hint="eastAsia" w:eastAsia="仿宋_GB2312"/>
          <w:sz w:val="32"/>
          <w:szCs w:val="32"/>
        </w:rPr>
        <w:t>噻虫胺超标的原因，可能是为快速控制病情加大用药量或未遵守采摘间隔期规定，致使上市销售时产品中的药物残留量未降解至标准限量值以下。</w:t>
      </w:r>
    </w:p>
    <w:p>
      <w:pPr>
        <w:pStyle w:val="7"/>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bCs/>
          <w:sz w:val="32"/>
          <w:szCs w:val="32"/>
        </w:rPr>
        <w:t>噻虫嗪</w:t>
      </w:r>
    </w:p>
    <w:p>
      <w:pPr>
        <w:rPr>
          <w:rFonts w:eastAsia="仿宋_GB2312"/>
          <w:sz w:val="32"/>
          <w:szCs w:val="32"/>
        </w:rPr>
      </w:pPr>
      <w:r>
        <w:rPr>
          <w:rFonts w:hint="eastAsia" w:eastAsia="仿宋_GB2312"/>
          <w:sz w:val="32"/>
          <w:szCs w:val="32"/>
        </w:rPr>
        <w:t>噻虫嗪是烟碱类杀虫剂，具有胃毒、触杀和内吸作用，对蚜虫、蛴螬等有较好防效。少量的残留不会引起人体急性中毒，但长期食用噻虫嗪超标的食品，对人体健康可能有一定影响。《食品安全国家标准 食品中农药最大残留限量》（GB 2763—2021）中规定，噻虫嗪在荚可食类豆类蔬菜（菜豆除外）中的最大残留限量值为0.3mg/kg。豇豆中噻虫嗪残留量超标的原因，可能是为快速控制虫害，加大用药量或未遵守采摘间隔期规定，致使上市销售的产品中残留量超标。</w:t>
      </w:r>
    </w:p>
    <w:p>
      <w:pPr>
        <w:pStyle w:val="7"/>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七、甲基异柳磷</w:t>
      </w:r>
    </w:p>
    <w:p>
      <w:pPr>
        <w:pStyle w:val="2"/>
        <w:rPr>
          <w:rFonts w:eastAsia="仿宋_GB2312"/>
          <w:sz w:val="32"/>
          <w:szCs w:val="32"/>
        </w:rPr>
      </w:pPr>
      <w:r>
        <w:rPr>
          <w:rFonts w:hint="eastAsia" w:eastAsia="仿宋_GB2312"/>
          <w:sz w:val="32"/>
          <w:szCs w:val="32"/>
        </w:rPr>
        <w:t>甲基异柳磷是一种土壤杀虫剂，对害虫具有较强的触杀和胃毒作用。杀虫谱广、残效期长，是防治地下害虫的优良药剂。但甲基异柳磷属于高毒农药，能通过食道、呼吸道和皮肤引起中毒，甲基异柳磷只准用于拌种或土壤处理，不能用于防治蔬菜害虫和进行果树叶面喷雾。国家规定甲基异柳磷禁止在蔬菜、果树、茶叶、中草药材上使用。</w:t>
      </w:r>
    </w:p>
    <w:p>
      <w:pPr>
        <w:spacing w:line="560" w:lineRule="exact"/>
        <w:ind w:firstLine="640" w:firstLineChars="200"/>
        <w:rPr>
          <w:rFonts w:ascii="黑体" w:hAnsi="黑体" w:eastAsia="黑体" w:cs="黑体"/>
          <w:bCs/>
          <w:sz w:val="32"/>
          <w:szCs w:val="32"/>
        </w:rPr>
      </w:pPr>
      <w:r>
        <w:rPr>
          <w:rFonts w:hint="eastAsia" w:ascii="CESI黑体-GB2312" w:hAnsi="CESI黑体-GB2312" w:eastAsia="CESI黑体-GB2312" w:cs="CESI黑体-GB2312"/>
          <w:bCs/>
          <w:sz w:val="32"/>
          <w:szCs w:val="32"/>
        </w:rPr>
        <w:t>八</w:t>
      </w:r>
      <w:r>
        <w:rPr>
          <w:rFonts w:hint="eastAsia" w:ascii="CESI黑体-GB2312" w:hAnsi="CESI黑体-GB2312" w:eastAsia="CESI黑体-GB2312" w:cs="CESI黑体-GB2312"/>
          <w:bCs/>
          <w:sz w:val="32"/>
          <w:szCs w:val="32"/>
          <w:lang w:eastAsia="zh-CN"/>
        </w:rPr>
        <w:t>、</w:t>
      </w:r>
      <w:r>
        <w:rPr>
          <w:rFonts w:hint="eastAsia" w:ascii="黑体" w:hAnsi="黑体" w:eastAsia="黑体" w:cs="黑体"/>
          <w:bCs/>
          <w:sz w:val="32"/>
          <w:szCs w:val="32"/>
        </w:rPr>
        <w:t>甲氨基阿维菌素苯甲酸盐</w:t>
      </w:r>
    </w:p>
    <w:p>
      <w:pPr>
        <w:pStyle w:val="9"/>
        <w:ind w:left="0" w:leftChars="0" w:firstLine="640"/>
        <w:rPr>
          <w:rFonts w:hAnsi="Times New Roman" w:eastAsia="仿宋_GB2312"/>
          <w:kern w:val="2"/>
          <w:sz w:val="32"/>
          <w:szCs w:val="32"/>
        </w:rPr>
      </w:pPr>
      <w:r>
        <w:rPr>
          <w:rFonts w:hint="eastAsia" w:hAnsi="Times New Roman" w:eastAsia="仿宋_GB2312"/>
          <w:kern w:val="2"/>
          <w:sz w:val="32"/>
          <w:szCs w:val="32"/>
        </w:rPr>
        <w:t>甲氨基阿维菌素苯甲酸盐属于生物杀虫杀螨剂，是在阿维菌素的基础上合成的高效生物药剂，因其杀虫活性高，杀虫谱广、高效、低毒(制剂近无毒)、安全、可混用性好、持效期长、无公害、无残留等特点，是目前性价比最高的化合物之一，在防治害虫的过程中对益虫没有伤害，同时又降低了对人畜的毒性，目前在蔬菜、瓜果、果树、大田作物等方面得到广泛的应用。</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lang w:eastAsia="zh-CN"/>
        </w:rPr>
        <w:t>九</w:t>
      </w:r>
      <w:r>
        <w:rPr>
          <w:rFonts w:hint="eastAsia" w:ascii="黑体" w:hAnsi="黑体" w:eastAsia="黑体" w:cs="黑体"/>
          <w:bCs/>
          <w:sz w:val="32"/>
          <w:szCs w:val="32"/>
        </w:rPr>
        <w:t>、三氯蔗糖</w:t>
      </w:r>
    </w:p>
    <w:p>
      <w:pPr>
        <w:pStyle w:val="4"/>
        <w:spacing w:line="360" w:lineRule="auto"/>
        <w:ind w:left="0" w:leftChars="0"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三氯蔗糖又名蔗糖素、蔗糖精，是食品生产中常用的</w:t>
      </w:r>
      <w:r>
        <w:fldChar w:fldCharType="begin"/>
      </w:r>
      <w:r>
        <w:instrText xml:space="preserve">HYPERLINK "https://baike.baidu.com/item/%E6%B7%BB%E5%8A%A0%E5%89%82/5134870" \t "https://baike.baidu.com/item/%E7%94%9C%E8%9C%9C%E7%B4%A0/_blank"</w:instrText>
      </w:r>
      <w:r>
        <w:fldChar w:fldCharType="separate"/>
      </w:r>
      <w:r>
        <w:rPr>
          <w:rFonts w:hint="eastAsia" w:ascii="Times New Roman" w:hAnsi="Times New Roman" w:eastAsia="仿宋_GB2312"/>
          <w:sz w:val="32"/>
          <w:szCs w:val="32"/>
        </w:rPr>
        <w:t>甜味</w:t>
      </w:r>
      <w:r>
        <w:rPr>
          <w:rFonts w:ascii="Times New Roman" w:hAnsi="Times New Roman" w:eastAsia="仿宋_GB2312"/>
          <w:sz w:val="32"/>
          <w:szCs w:val="32"/>
        </w:rPr>
        <w:t>剂</w:t>
      </w:r>
      <w:r>
        <w:rPr>
          <w:rFonts w:ascii="Times New Roman" w:hAnsi="Times New Roman" w:eastAsia="仿宋_GB2312"/>
          <w:sz w:val="32"/>
          <w:szCs w:val="32"/>
        </w:rPr>
        <w:fldChar w:fldCharType="end"/>
      </w:r>
      <w:r>
        <w:rPr>
          <w:rFonts w:hint="eastAsia" w:ascii="Times New Roman" w:hAnsi="Times New Roman" w:eastAsia="仿宋_GB2312"/>
          <w:sz w:val="32"/>
          <w:szCs w:val="32"/>
        </w:rPr>
        <w:t>。《食品安全国家标准 食品添加剂使用标准》（GB 2760—2014）中规定，葡萄酒</w:t>
      </w:r>
      <w:r>
        <w:rPr>
          <w:rFonts w:ascii="Times New Roman" w:hAnsi="Times New Roman" w:eastAsia="仿宋_GB2312"/>
          <w:sz w:val="32"/>
          <w:szCs w:val="32"/>
        </w:rPr>
        <w:t>中不</w:t>
      </w:r>
      <w:r>
        <w:rPr>
          <w:rFonts w:hint="eastAsia" w:ascii="Times New Roman" w:hAnsi="Times New Roman" w:eastAsia="仿宋_GB2312"/>
          <w:sz w:val="32"/>
          <w:szCs w:val="32"/>
        </w:rPr>
        <w:t>得</w:t>
      </w:r>
      <w:r>
        <w:rPr>
          <w:rFonts w:ascii="Times New Roman" w:hAnsi="Times New Roman" w:eastAsia="仿宋_GB2312"/>
          <w:sz w:val="32"/>
          <w:szCs w:val="32"/>
        </w:rPr>
        <w:t>使用</w:t>
      </w:r>
      <w:r>
        <w:rPr>
          <w:rFonts w:hint="eastAsia" w:ascii="Times New Roman" w:hAnsi="Times New Roman" w:eastAsia="仿宋_GB2312"/>
          <w:sz w:val="32"/>
          <w:szCs w:val="32"/>
        </w:rPr>
        <w:t>三氯蔗糖</w:t>
      </w:r>
      <w:r>
        <w:rPr>
          <w:rFonts w:ascii="Times New Roman" w:hAnsi="Times New Roman" w:eastAsia="仿宋_GB2312"/>
          <w:sz w:val="32"/>
          <w:szCs w:val="32"/>
        </w:rPr>
        <w:t>。</w:t>
      </w:r>
      <w:r>
        <w:rPr>
          <w:rFonts w:hint="eastAsia" w:ascii="Times New Roman" w:hAnsi="Times New Roman" w:eastAsia="仿宋_GB2312"/>
          <w:sz w:val="32"/>
          <w:szCs w:val="32"/>
        </w:rPr>
        <w:t>葡萄酒中检出三氯蔗糖的原因，可能是生产</w:t>
      </w:r>
      <w:r>
        <w:rPr>
          <w:rFonts w:ascii="Times New Roman" w:hAnsi="Times New Roman" w:eastAsia="仿宋_GB2312"/>
          <w:sz w:val="32"/>
          <w:szCs w:val="32"/>
        </w:rPr>
        <w:t>企业</w:t>
      </w:r>
      <w:r>
        <w:rPr>
          <w:rFonts w:hint="eastAsia" w:ascii="Times New Roman" w:hAnsi="Times New Roman" w:eastAsia="仿宋_GB2312"/>
          <w:sz w:val="32"/>
          <w:szCs w:val="32"/>
        </w:rPr>
        <w:t>为改善产品感官而违规添加，</w:t>
      </w:r>
      <w:r>
        <w:rPr>
          <w:rFonts w:ascii="Times New Roman" w:hAnsi="Times New Roman" w:eastAsia="仿宋_GB2312"/>
          <w:sz w:val="32"/>
          <w:szCs w:val="32"/>
        </w:rPr>
        <w:t>也可能</w:t>
      </w:r>
      <w:r>
        <w:rPr>
          <w:rFonts w:hint="eastAsia" w:ascii="Times New Roman" w:hAnsi="Times New Roman" w:eastAsia="仿宋_GB2312"/>
          <w:sz w:val="32"/>
          <w:szCs w:val="32"/>
        </w:rPr>
        <w:t>是葡萄酒与其他发酵酒或配制酒在</w:t>
      </w:r>
      <w:r>
        <w:rPr>
          <w:rFonts w:ascii="Times New Roman" w:hAnsi="Times New Roman" w:eastAsia="仿宋_GB2312"/>
          <w:sz w:val="32"/>
          <w:szCs w:val="32"/>
        </w:rPr>
        <w:t>生产过程</w:t>
      </w:r>
      <w:r>
        <w:rPr>
          <w:rFonts w:hint="eastAsia" w:ascii="Times New Roman" w:hAnsi="Times New Roman" w:eastAsia="仿宋_GB2312"/>
          <w:sz w:val="32"/>
          <w:szCs w:val="32"/>
        </w:rPr>
        <w:t>中交叉</w:t>
      </w:r>
      <w:r>
        <w:rPr>
          <w:rFonts w:ascii="Times New Roman" w:hAnsi="Times New Roman" w:eastAsia="仿宋_GB2312"/>
          <w:sz w:val="32"/>
          <w:szCs w:val="32"/>
        </w:rPr>
        <w:t>污染</w:t>
      </w:r>
      <w:r>
        <w:rPr>
          <w:rFonts w:hint="eastAsia" w:ascii="Times New Roman" w:hAnsi="Times New Roman" w:eastAsia="仿宋_GB2312"/>
          <w:sz w:val="32"/>
          <w:szCs w:val="32"/>
        </w:rPr>
        <w:t>等导致</w:t>
      </w:r>
      <w:r>
        <w:rPr>
          <w:rFonts w:ascii="Times New Roman" w:hAnsi="Times New Roman" w:eastAsia="仿宋_GB2312"/>
          <w:sz w:val="32"/>
          <w:szCs w:val="32"/>
        </w:rPr>
        <w:t>。</w:t>
      </w:r>
    </w:p>
    <w:p>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十、防腐剂混合使用时各自用量占其最大使用量的比例之和</w:t>
      </w:r>
    </w:p>
    <w:p>
      <w:pPr>
        <w:ind w:firstLine="640" w:firstLineChars="200"/>
        <w:rPr>
          <w:rFonts w:ascii="仿宋" w:hAnsi="仿宋" w:eastAsia="仿宋" w:cs="仿宋"/>
          <w:sz w:val="32"/>
          <w:szCs w:val="32"/>
        </w:rPr>
      </w:pPr>
      <w:r>
        <w:rPr>
          <w:rFonts w:hint="eastAsia" w:ascii="仿宋" w:hAnsi="仿宋" w:eastAsia="仿宋" w:cs="仿宋"/>
          <w:sz w:val="32"/>
          <w:szCs w:val="32"/>
        </w:rPr>
        <w:t>防腐剂是见的食品添加剂，指天然或合成的化学成分，用于延缓或抑制由微生物引起的食品腐败变质。长期食用防腐剂超标的食品会对人体健康造成损害。《食品安全国家标准 食品添加剂使用标准》（GB 2760—2014）中规定，防腐剂在混合使用时各自用量占其最大使用量的比例之和不应超过1。</w:t>
      </w:r>
    </w:p>
    <w:p>
      <w:pPr>
        <w:pStyle w:val="2"/>
        <w:ind w:firstLine="640" w:firstLineChars="200"/>
      </w:pPr>
      <w:r>
        <w:rPr>
          <w:rFonts w:hint="eastAsia" w:ascii="黑体" w:hAnsi="黑体" w:eastAsia="黑体" w:cs="黑体"/>
          <w:bCs/>
          <w:sz w:val="32"/>
          <w:szCs w:val="32"/>
        </w:rPr>
        <w:t>十</w:t>
      </w:r>
      <w:r>
        <w:rPr>
          <w:rFonts w:hint="eastAsia" w:ascii="黑体" w:hAnsi="黑体" w:eastAsia="黑体" w:cs="黑体"/>
          <w:bCs/>
          <w:sz w:val="32"/>
          <w:szCs w:val="32"/>
          <w:lang w:eastAsia="zh-CN"/>
        </w:rPr>
        <w:t>一</w:t>
      </w:r>
      <w:bookmarkStart w:id="0" w:name="_GoBack"/>
      <w:bookmarkEnd w:id="0"/>
      <w:r>
        <w:rPr>
          <w:rFonts w:hint="eastAsia" w:ascii="黑体" w:hAnsi="黑体" w:eastAsia="黑体" w:cs="黑体"/>
          <w:bCs/>
          <w:sz w:val="32"/>
          <w:szCs w:val="32"/>
        </w:rPr>
        <w:t>、苯并[a]芘</w:t>
      </w:r>
    </w:p>
    <w:p>
      <w:pPr>
        <w:pStyle w:val="4"/>
        <w:spacing w:line="360" w:lineRule="auto"/>
        <w:ind w:left="0" w:leftChars="0" w:firstLine="640" w:firstLineChars="200"/>
        <w:rPr>
          <w:rFonts w:ascii="Times New Roman" w:hAnsi="Times New Roman" w:eastAsia="仿宋_GB2312"/>
          <w:sz w:val="32"/>
          <w:szCs w:val="32"/>
        </w:rPr>
      </w:pPr>
      <w:r>
        <w:rPr>
          <w:rFonts w:ascii="Times New Roman" w:hAnsi="Times New Roman" w:eastAsia="仿宋_GB2312"/>
          <w:sz w:val="32"/>
          <w:szCs w:val="32"/>
        </w:rPr>
        <w:t>苯并［a］芘是持久性有机污染物多环芳烃化合物的一种，化学性质较稳定，具有致畸、致癌和生殖毒性，2010年被国际癌症研究机构（IARC）确定为1类致癌物。《食品安全国家标准 食品中污染物限量》（GB 2762</w:t>
      </w:r>
      <w:r>
        <w:rPr>
          <w:rFonts w:hint="eastAsia" w:ascii="Times New Roman" w:hAnsi="Times New Roman" w:eastAsia="仿宋_GB2312"/>
          <w:sz w:val="32"/>
          <w:szCs w:val="32"/>
        </w:rPr>
        <w:t>—</w:t>
      </w:r>
      <w:r>
        <w:rPr>
          <w:rFonts w:ascii="Times New Roman" w:hAnsi="Times New Roman" w:eastAsia="仿宋_GB2312"/>
          <w:sz w:val="32"/>
          <w:szCs w:val="32"/>
        </w:rPr>
        <w:t>2017）中规定，油脂及其制品中苯并［a］芘的最大限量值为10μg/kg。食用植物油中苯并［a］芘超标的原因，可能是生产过程中对原料反复烘烤、焙烤或蒸炒时，高温导致苯并［a］芘含量上升；也可能是加工过程中接触润滑油、使用不符合要求的浸提溶剂等造成污染；还有可能是油料作物在种植过程中吸收土壤、水和大气中的苯并［a］芘，或在</w:t>
      </w:r>
      <w:r>
        <w:rPr>
          <w:rFonts w:hint="eastAsia" w:ascii="Times New Roman" w:hAnsi="Times New Roman" w:eastAsia="仿宋_GB2312"/>
          <w:sz w:val="32"/>
          <w:szCs w:val="32"/>
        </w:rPr>
        <w:t>收储、</w:t>
      </w:r>
      <w:r>
        <w:rPr>
          <w:rFonts w:ascii="Times New Roman" w:hAnsi="Times New Roman" w:eastAsia="仿宋_GB2312"/>
          <w:sz w:val="32"/>
          <w:szCs w:val="32"/>
        </w:rPr>
        <w:t>晾晒</w:t>
      </w:r>
      <w:r>
        <w:rPr>
          <w:rFonts w:hint="eastAsia" w:ascii="Times New Roman" w:hAnsi="Times New Roman" w:eastAsia="仿宋_GB2312"/>
          <w:sz w:val="32"/>
          <w:szCs w:val="32"/>
        </w:rPr>
        <w:t>等</w:t>
      </w:r>
      <w:r>
        <w:rPr>
          <w:rFonts w:ascii="Times New Roman" w:hAnsi="Times New Roman" w:eastAsia="仿宋_GB2312"/>
          <w:sz w:val="32"/>
          <w:szCs w:val="32"/>
        </w:rPr>
        <w:t>过程中</w:t>
      </w:r>
      <w:r>
        <w:rPr>
          <w:rFonts w:hint="eastAsia" w:ascii="Times New Roman" w:hAnsi="Times New Roman" w:eastAsia="仿宋_GB2312"/>
          <w:sz w:val="32"/>
          <w:szCs w:val="32"/>
        </w:rPr>
        <w:t>被</w:t>
      </w:r>
      <w:r>
        <w:rPr>
          <w:rFonts w:ascii="Times New Roman" w:hAnsi="Times New Roman" w:eastAsia="仿宋_GB2312"/>
          <w:sz w:val="32"/>
          <w:szCs w:val="32"/>
        </w:rPr>
        <w:t>污染。</w:t>
      </w:r>
    </w:p>
    <w:p>
      <w:pPr>
        <w:rPr>
          <w:rFonts w:hint="eastAsia"/>
        </w:rPr>
      </w:pPr>
    </w:p>
    <w:sectPr>
      <w:pgSz w:w="11906" w:h="16838"/>
      <w:pgMar w:top="1247"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0000000000000000000"/>
    <w:charset w:val="86"/>
    <w:family w:val="auto"/>
    <w:pitch w:val="default"/>
    <w:sig w:usb0="00000000" w:usb1="00000000" w:usb2="00000012" w:usb3="00000000" w:csb0="0004000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68965"/>
    <w:multiLevelType w:val="singleLevel"/>
    <w:tmpl w:val="0D368965"/>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2OGRmMDIxYjIxY2YwYjUwYjBmNTdiNWIyMmYyOGUifQ=="/>
  </w:docVars>
  <w:rsids>
    <w:rsidRoot w:val="CFD74AB9"/>
    <w:rsid w:val="0035176E"/>
    <w:rsid w:val="00360E51"/>
    <w:rsid w:val="003F09EA"/>
    <w:rsid w:val="00434069"/>
    <w:rsid w:val="00675BFC"/>
    <w:rsid w:val="00907A15"/>
    <w:rsid w:val="00D227E7"/>
    <w:rsid w:val="00DA6DCF"/>
    <w:rsid w:val="00F604DB"/>
    <w:rsid w:val="2472693B"/>
    <w:rsid w:val="30FB448C"/>
    <w:rsid w:val="32044E21"/>
    <w:rsid w:val="4C245030"/>
    <w:rsid w:val="4F6736AB"/>
    <w:rsid w:val="4FAF6D0F"/>
    <w:rsid w:val="597FA43E"/>
    <w:rsid w:val="64AD3332"/>
    <w:rsid w:val="6A5553A6"/>
    <w:rsid w:val="6AFF5161"/>
    <w:rsid w:val="753F5BBA"/>
    <w:rsid w:val="ADCF6177"/>
    <w:rsid w:val="CFD74AB9"/>
    <w:rsid w:val="DFDB11F7"/>
    <w:rsid w:val="EFEA0C7F"/>
    <w:rsid w:val="EFFFDADA"/>
    <w:rsid w:val="FBB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3">
    <w:name w:val="Body Text Indent"/>
    <w:basedOn w:val="1"/>
    <w:qFormat/>
    <w:uiPriority w:val="0"/>
    <w:pPr>
      <w:spacing w:after="120"/>
      <w:ind w:left="420" w:leftChars="200"/>
    </w:pPr>
    <w:rPr>
      <w:rFonts w:hAnsi="Calibri"/>
      <w:kern w:val="0"/>
      <w:szCs w:val="20"/>
    </w:rPr>
  </w:style>
  <w:style w:type="paragraph" w:styleId="4">
    <w:name w:val="List 2"/>
    <w:basedOn w:val="1"/>
    <w:unhideWhenUsed/>
    <w:qFormat/>
    <w:uiPriority w:val="99"/>
    <w:pPr>
      <w:ind w:left="200" w:leftChars="200" w:hanging="200" w:hangingChars="200"/>
    </w:pPr>
    <w:rPr>
      <w:rFonts w:ascii="宋体" w:hAnsi="Calibri"/>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Normal (Web)"/>
    <w:basedOn w:val="1"/>
    <w:qFormat/>
    <w:uiPriority w:val="0"/>
    <w:pPr>
      <w:spacing w:beforeAutospacing="1" w:afterAutospacing="1"/>
      <w:jc w:val="left"/>
    </w:pPr>
    <w:rPr>
      <w:rFonts w:hint="eastAsia" w:ascii="微软雅黑" w:hAnsi="微软雅黑" w:eastAsia="微软雅黑"/>
      <w:kern w:val="0"/>
      <w:sz w:val="24"/>
    </w:rPr>
  </w:style>
  <w:style w:type="paragraph" w:styleId="9">
    <w:name w:val="Body Text First Indent 2"/>
    <w:basedOn w:val="3"/>
    <w:qFormat/>
    <w:uiPriority w:val="0"/>
    <w:pPr>
      <w:ind w:firstLine="420" w:firstLineChars="200"/>
    </w:pPr>
  </w:style>
  <w:style w:type="character" w:customStyle="1" w:styleId="12">
    <w:name w:val="页眉 字符"/>
    <w:basedOn w:val="11"/>
    <w:link w:val="6"/>
    <w:qFormat/>
    <w:uiPriority w:val="0"/>
    <w:rPr>
      <w:kern w:val="2"/>
      <w:sz w:val="18"/>
      <w:szCs w:val="18"/>
    </w:rPr>
  </w:style>
  <w:style w:type="character" w:customStyle="1" w:styleId="13">
    <w:name w:val="页脚 字符"/>
    <w:basedOn w:val="11"/>
    <w:link w:val="5"/>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2639</Words>
  <Characters>2752</Characters>
  <Lines>20</Lines>
  <Paragraphs>5</Paragraphs>
  <TotalTime>24</TotalTime>
  <ScaleCrop>false</ScaleCrop>
  <LinksUpToDate>false</LinksUpToDate>
  <CharactersWithSpaces>2773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2021-07-23T22:28:00Z</dcterms:created>
  <dc:creator>thtf</dc:creator>
  <cp:lastModifiedBy>Legend</cp:lastModifiedBy>
  <dcterms:modified xsi:type="dcterms:W3CDTF">2022-12-08T04:06:25Z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882682F7D6224C04A62805FE1FBE8B1E</vt:lpwstr>
  </property>
</Properties>
</file>