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AADD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b/>
          <w:bCs/>
          <w:sz w:val="44"/>
          <w:szCs w:val="44"/>
          <w:lang w:val="en-US" w:eastAsia="zh-CN"/>
        </w:rPr>
      </w:pPr>
    </w:p>
    <w:p w14:paraId="42176E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bCs/>
          <w:sz w:val="44"/>
          <w:szCs w:val="44"/>
          <w:lang w:val="en-US" w:eastAsia="zh-CN"/>
        </w:rPr>
      </w:pPr>
    </w:p>
    <w:p w14:paraId="233C6C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bCs/>
          <w:sz w:val="44"/>
          <w:szCs w:val="44"/>
          <w:lang w:val="en-US" w:eastAsia="zh-CN"/>
        </w:rPr>
      </w:pPr>
    </w:p>
    <w:p w14:paraId="4DCF5B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bCs/>
          <w:sz w:val="44"/>
          <w:szCs w:val="44"/>
          <w:lang w:val="en-US" w:eastAsia="zh-CN"/>
        </w:rPr>
      </w:pPr>
    </w:p>
    <w:p w14:paraId="116A35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小标宋简体" w:cs="Times New Roman"/>
          <w:b/>
          <w:bCs/>
          <w:sz w:val="52"/>
          <w:szCs w:val="52"/>
          <w:lang w:val="en-US" w:eastAsia="zh-CN"/>
        </w:rPr>
      </w:pPr>
      <w:r>
        <w:rPr>
          <w:rFonts w:hint="default" w:ascii="Times New Roman" w:hAnsi="Times New Roman" w:eastAsia="方正小标宋简体" w:cs="Times New Roman"/>
          <w:b/>
          <w:bCs/>
          <w:sz w:val="52"/>
          <w:szCs w:val="52"/>
          <w:lang w:val="en-US" w:eastAsia="zh-CN"/>
        </w:rPr>
        <w:t>济宁市特种设备使用单位落实</w:t>
      </w:r>
    </w:p>
    <w:p w14:paraId="28B5E4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小标宋简体" w:cs="Times New Roman"/>
          <w:b/>
          <w:bCs/>
          <w:sz w:val="52"/>
          <w:szCs w:val="52"/>
          <w:lang w:val="en-US" w:eastAsia="zh-CN"/>
        </w:rPr>
      </w:pPr>
      <w:r>
        <w:rPr>
          <w:rFonts w:hint="default" w:ascii="Times New Roman" w:hAnsi="Times New Roman" w:eastAsia="方正小标宋简体" w:cs="Times New Roman"/>
          <w:b/>
          <w:bCs/>
          <w:sz w:val="52"/>
          <w:szCs w:val="52"/>
          <w:lang w:val="en-US" w:eastAsia="zh-CN"/>
        </w:rPr>
        <w:t>使用安全主体责任指导手册</w:t>
      </w:r>
    </w:p>
    <w:p w14:paraId="26C9D0EA">
      <w:pPr>
        <w:pStyle w:val="15"/>
        <w:ind w:left="-2" w:leftChars="0" w:firstLine="0" w:firstLineChars="0"/>
        <w:jc w:val="center"/>
        <w:rPr>
          <w:rFonts w:hint="default"/>
          <w:lang w:val="en-US" w:eastAsia="zh-CN"/>
        </w:rPr>
      </w:pPr>
    </w:p>
    <w:p w14:paraId="537DC5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lang w:eastAsia="zh-CN"/>
        </w:rPr>
      </w:pPr>
    </w:p>
    <w:p w14:paraId="077CFB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lang w:eastAsia="zh-CN"/>
        </w:rPr>
      </w:pPr>
    </w:p>
    <w:p w14:paraId="4E8824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lang w:eastAsia="zh-CN"/>
        </w:rPr>
      </w:pPr>
    </w:p>
    <w:p w14:paraId="322D06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lang w:eastAsia="zh-CN"/>
        </w:rPr>
      </w:pPr>
    </w:p>
    <w:p w14:paraId="625426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lang w:eastAsia="zh-CN"/>
        </w:rPr>
      </w:pPr>
    </w:p>
    <w:p w14:paraId="2372D4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lang w:eastAsia="zh-CN"/>
        </w:rPr>
      </w:pPr>
    </w:p>
    <w:p w14:paraId="0B12D9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lang w:eastAsia="zh-CN"/>
        </w:rPr>
      </w:pPr>
    </w:p>
    <w:p w14:paraId="1EE522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lang w:eastAsia="zh-CN"/>
        </w:rPr>
      </w:pPr>
    </w:p>
    <w:p w14:paraId="54F049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楷体简体" w:cs="Times New Roman"/>
          <w:b/>
          <w:bCs/>
          <w:lang w:eastAsia="zh-CN"/>
        </w:rPr>
      </w:pPr>
    </w:p>
    <w:p w14:paraId="6FFDC9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楷体简体" w:cs="Times New Roman"/>
          <w:b/>
          <w:bCs/>
          <w:lang w:eastAsia="zh-CN"/>
        </w:rPr>
      </w:pPr>
    </w:p>
    <w:p w14:paraId="2C2C44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楷体简体" w:cs="Times New Roman"/>
          <w:b/>
          <w:bCs/>
          <w:lang w:eastAsia="zh-CN"/>
        </w:rPr>
      </w:pPr>
    </w:p>
    <w:p w14:paraId="154732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楷体简体" w:cs="Times New Roman"/>
          <w:b/>
          <w:bCs/>
          <w:lang w:eastAsia="zh-CN"/>
        </w:rPr>
      </w:pPr>
      <w:r>
        <w:rPr>
          <w:rFonts w:hint="eastAsia" w:ascii="Times New Roman" w:hAnsi="Times New Roman" w:eastAsia="方正楷体简体" w:cs="Times New Roman"/>
          <w:b/>
          <w:bCs/>
          <w:sz w:val="44"/>
          <w:szCs w:val="44"/>
          <w:lang w:val="en-US" w:eastAsia="zh-CN"/>
        </w:rPr>
        <w:t>济宁市市场监督管理局</w:t>
      </w:r>
    </w:p>
    <w:p w14:paraId="6873F8AF">
      <w:pPr>
        <w:keepNext w:val="0"/>
        <w:keepLines w:val="0"/>
        <w:pageBreakBefore w:val="0"/>
        <w:widowControl w:val="0"/>
        <w:numPr>
          <w:ilvl w:val="0"/>
          <w:numId w:val="0"/>
        </w:numPr>
        <w:kinsoku/>
        <w:wordWrap/>
        <w:overflowPunct/>
        <w:topLinePunct w:val="0"/>
        <w:autoSpaceDE/>
        <w:autoSpaceDN/>
        <w:bidi w:val="0"/>
        <w:adjustRightInd/>
        <w:snapToGrid/>
        <w:spacing w:line="640" w:lineRule="exact"/>
        <w:jc w:val="center"/>
        <w:textAlignment w:val="auto"/>
        <w:rPr>
          <w:rFonts w:hint="default" w:ascii="Times New Roman" w:hAnsi="Times New Roman" w:cs="Times New Roman"/>
          <w:b/>
          <w:bCs/>
          <w:lang w:val="en-US" w:eastAsia="zh-CN"/>
        </w:rPr>
      </w:pPr>
      <w:r>
        <w:rPr>
          <w:rFonts w:hint="default" w:ascii="Times New Roman" w:hAnsi="Times New Roman" w:eastAsia="方正楷体简体" w:cs="Times New Roman"/>
          <w:b/>
          <w:bCs/>
          <w:sz w:val="44"/>
          <w:szCs w:val="44"/>
          <w:lang w:val="en-US" w:eastAsia="zh-CN"/>
        </w:rPr>
        <w:t>2025年1</w:t>
      </w:r>
      <w:r>
        <w:rPr>
          <w:rFonts w:hint="eastAsia" w:ascii="Times New Roman" w:hAnsi="Times New Roman" w:eastAsia="方正楷体简体" w:cs="Times New Roman"/>
          <w:b/>
          <w:bCs/>
          <w:sz w:val="44"/>
          <w:szCs w:val="44"/>
          <w:lang w:val="en-US" w:eastAsia="zh-CN"/>
        </w:rPr>
        <w:t>1</w:t>
      </w:r>
      <w:r>
        <w:rPr>
          <w:rFonts w:hint="default" w:ascii="Times New Roman" w:hAnsi="Times New Roman" w:eastAsia="方正楷体简体" w:cs="Times New Roman"/>
          <w:b/>
          <w:bCs/>
          <w:sz w:val="44"/>
          <w:szCs w:val="44"/>
          <w:lang w:val="en-US" w:eastAsia="zh-CN"/>
        </w:rPr>
        <w:t>月</w:t>
      </w:r>
      <w:r>
        <w:rPr>
          <w:rFonts w:hint="default" w:ascii="Times New Roman" w:hAnsi="Times New Roman" w:cs="Times New Roman"/>
          <w:b/>
          <w:bCs/>
          <w:lang w:val="en-US" w:eastAsia="zh-CN"/>
        </w:rPr>
        <w:br w:type="page"/>
      </w:r>
    </w:p>
    <w:p w14:paraId="048BD9D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Times New Roman" w:hAnsi="Times New Roman" w:eastAsia="方正公文小标宋" w:cs="Times New Roman"/>
          <w:b/>
          <w:bCs/>
          <w:sz w:val="44"/>
          <w:szCs w:val="44"/>
          <w:lang w:val="en-US" w:eastAsia="zh-CN"/>
        </w:rPr>
      </w:pPr>
    </w:p>
    <w:p w14:paraId="5A0FE75C">
      <w:pPr>
        <w:rPr>
          <w:rFonts w:hint="default" w:ascii="Times New Roman" w:hAnsi="Times New Roman" w:eastAsia="方正公文小标宋" w:cs="Times New Roman"/>
          <w:b/>
          <w:bCs/>
          <w:sz w:val="44"/>
          <w:szCs w:val="44"/>
          <w:lang w:val="en-US" w:eastAsia="zh-CN"/>
        </w:rPr>
      </w:pPr>
      <w:r>
        <w:rPr>
          <w:rFonts w:hint="default" w:ascii="Times New Roman" w:hAnsi="Times New Roman" w:eastAsia="方正公文小标宋" w:cs="Times New Roman"/>
          <w:b/>
          <w:bCs/>
          <w:sz w:val="44"/>
          <w:szCs w:val="44"/>
          <w:lang w:val="en-US" w:eastAsia="zh-CN"/>
        </w:rPr>
        <w:br w:type="page"/>
      </w:r>
    </w:p>
    <w:p w14:paraId="21412E3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Times New Roman" w:hAnsi="Times New Roman" w:eastAsia="方正公文小标宋" w:cs="Times New Roman"/>
          <w:b/>
          <w:bCs/>
          <w:sz w:val="44"/>
          <w:szCs w:val="44"/>
          <w:lang w:val="en-US" w:eastAsia="zh-CN"/>
        </w:rPr>
      </w:pPr>
      <w:r>
        <w:rPr>
          <w:rFonts w:hint="default" w:ascii="Times New Roman" w:hAnsi="Times New Roman" w:eastAsia="方正公文小标宋" w:cs="Times New Roman"/>
          <w:b/>
          <w:bCs/>
          <w:sz w:val="44"/>
          <w:szCs w:val="44"/>
          <w:lang w:val="en-US" w:eastAsia="zh-CN"/>
        </w:rPr>
        <w:t>前  言</w:t>
      </w:r>
    </w:p>
    <w:p w14:paraId="0BCE35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cs="Times New Roman"/>
          <w:b/>
          <w:bCs/>
          <w:lang w:val="en-US" w:eastAsia="zh-CN"/>
        </w:rPr>
      </w:pPr>
    </w:p>
    <w:p w14:paraId="5F27189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落实使用单位安全主体责任，是保障特种设备安全运行的核心环节和根本遵循。近年来，国家先后出台一系列特种设备安全法律法规、标准规范和政策文件，为使用单位履行安全责任提供了遵循。然而，在实际工作中，部分使用单位仍存在安全意识淡薄、责任体系不健全、管理制度不完善、隐患排查不彻底、应急处置能力不足等问题，给特种设备安全运行埋下了风险隐患。​</w:t>
      </w:r>
    </w:p>
    <w:p w14:paraId="091F63D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为深入贯彻《特种设备安全法》等法律法规要求，进一步规范全市特种设备使用单位的安全管理行为，帮助使用单位准确理解和掌握安全主体责任的具体内容、落实路径和工作要求，有效提升特种设备安全管理水平，防范和遏制特种设备安全事故发生，我们组织编写了《济宁市特种设备使用单位落实使用安全主体责任指导手册》（以下简称《手册》）。​  《手册》紧密结合济宁市特种设备使用管理的实际情况，以“实用、易懂、可操作”为原则，系统梳理了安全管理机构和安全管理人员、安全技术档案、安全管理制度和安全操作规程、专项应急预案和应急演练、安全教育培训和考核、定期自行检查和维护保养等方面的核心职责和工作要点，力求为使用单位提供一套全面、系统、科学的安全管理指引。</w:t>
      </w:r>
    </w:p>
    <w:p w14:paraId="34B2497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希望各特种设备使用单位能够充分认识本《手册》的重要性，将其作为落实安全主体责任的重要工具，组织相关人员认真学习、熟练掌握，并结合本单位实际情况，将《手册》中的要求转化为具体的安全管理措施，不断提升特种设备安全管理水平，为我市经济社会高质量发展和人民群众生命财产安全提供坚实保障。​</w:t>
      </w:r>
    </w:p>
    <w:p w14:paraId="1BE7FAA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由于编写时间和水平有限，《手册》中可能存在不足之处，恳请各使用单位和相关部门在使用过程中提出宝贵意见和建议，以便我们进一步修订完善。​</w:t>
      </w:r>
    </w:p>
    <w:p w14:paraId="38B89A7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楷体简体" w:cs="Times New Roman"/>
          <w:b/>
          <w:bCs/>
          <w:color w:val="FF0000"/>
          <w:lang w:val="en-US" w:eastAsia="zh-CN"/>
        </w:rPr>
      </w:pPr>
      <w:r>
        <w:rPr>
          <w:rFonts w:hint="default" w:ascii="Times New Roman" w:hAnsi="Times New Roman" w:eastAsia="方正楷体简体" w:cs="Times New Roman"/>
          <w:b/>
          <w:bCs/>
          <w:color w:val="FF0000"/>
          <w:lang w:val="en-US" w:eastAsia="zh-CN"/>
        </w:rPr>
        <w:t>本</w:t>
      </w:r>
      <w:r>
        <w:rPr>
          <w:rFonts w:hint="eastAsia" w:ascii="Times New Roman" w:hAnsi="Times New Roman" w:eastAsia="方正楷体简体" w:cs="Times New Roman"/>
          <w:b/>
          <w:bCs/>
          <w:color w:val="FF0000"/>
          <w:lang w:val="en-US" w:eastAsia="zh-CN"/>
        </w:rPr>
        <w:t>《</w:t>
      </w:r>
      <w:r>
        <w:rPr>
          <w:rFonts w:hint="default" w:ascii="Times New Roman" w:hAnsi="Times New Roman" w:eastAsia="方正楷体简体" w:cs="Times New Roman"/>
          <w:b/>
          <w:bCs/>
          <w:color w:val="FF0000"/>
          <w:lang w:val="en-US" w:eastAsia="zh-CN"/>
        </w:rPr>
        <w:t>手册</w:t>
      </w:r>
      <w:r>
        <w:rPr>
          <w:rFonts w:hint="eastAsia" w:ascii="Times New Roman" w:hAnsi="Times New Roman" w:eastAsia="方正楷体简体" w:cs="Times New Roman"/>
          <w:b/>
          <w:bCs/>
          <w:color w:val="FF0000"/>
          <w:lang w:val="en-US" w:eastAsia="zh-CN"/>
        </w:rPr>
        <w:t>》</w:t>
      </w:r>
      <w:r>
        <w:rPr>
          <w:rFonts w:hint="default" w:ascii="Times New Roman" w:hAnsi="Times New Roman" w:eastAsia="方正楷体简体" w:cs="Times New Roman"/>
          <w:b/>
          <w:bCs/>
          <w:color w:val="FF0000"/>
          <w:lang w:val="en-US" w:eastAsia="zh-CN"/>
        </w:rPr>
        <w:t>仅供参考，具体要求以特种设备安全相关法律法规、安全技术规范和国家标准为准。</w:t>
      </w:r>
    </w:p>
    <w:p w14:paraId="4990D0E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楷体简体" w:cs="Times New Roman"/>
          <w:b/>
          <w:bCs/>
          <w:color w:val="FF0000"/>
          <w:lang w:val="en-US" w:eastAsia="zh-CN"/>
        </w:rPr>
      </w:pPr>
    </w:p>
    <w:p w14:paraId="542278A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楷体简体" w:cs="Times New Roman"/>
          <w:b/>
          <w:bCs/>
          <w:color w:val="FF0000"/>
          <w:lang w:val="en-US" w:eastAsia="zh-CN"/>
        </w:rPr>
      </w:pPr>
    </w:p>
    <w:p w14:paraId="7F2B6DE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楷体简体" w:cs="Times New Roman"/>
          <w:b/>
          <w:bCs/>
          <w:color w:val="auto"/>
          <w:lang w:val="en-US" w:eastAsia="zh-CN"/>
        </w:rPr>
      </w:pPr>
      <w:r>
        <w:rPr>
          <w:rFonts w:hint="default" w:ascii="Times New Roman" w:hAnsi="Times New Roman" w:eastAsia="方正楷体简体" w:cs="Times New Roman"/>
          <w:b/>
          <w:bCs/>
          <w:color w:val="FF0000"/>
          <w:lang w:val="en-US" w:eastAsia="zh-CN"/>
        </w:rPr>
        <w:t xml:space="preserve">                    </w:t>
      </w:r>
      <w:r>
        <w:rPr>
          <w:rFonts w:hint="default" w:ascii="Times New Roman" w:hAnsi="Times New Roman" w:eastAsia="方正楷体简体" w:cs="Times New Roman"/>
          <w:b/>
          <w:bCs/>
          <w:color w:val="auto"/>
          <w:lang w:val="en-US" w:eastAsia="zh-CN"/>
        </w:rPr>
        <w:t xml:space="preserve">              编者</w:t>
      </w:r>
    </w:p>
    <w:p w14:paraId="17FD9F9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楷体简体" w:cs="Times New Roman"/>
          <w:b/>
          <w:bCs/>
          <w:color w:val="auto"/>
          <w:lang w:val="en-US" w:eastAsia="zh-CN"/>
        </w:rPr>
      </w:pPr>
      <w:r>
        <w:rPr>
          <w:rFonts w:hint="default" w:ascii="Times New Roman" w:hAnsi="Times New Roman" w:eastAsia="方正楷体简体" w:cs="Times New Roman"/>
          <w:b/>
          <w:bCs/>
          <w:color w:val="auto"/>
          <w:lang w:val="en-US" w:eastAsia="zh-CN"/>
        </w:rPr>
        <w:t xml:space="preserve">                           </w:t>
      </w:r>
      <w:r>
        <w:rPr>
          <w:rFonts w:hint="eastAsia" w:ascii="Times New Roman" w:hAnsi="Times New Roman" w:eastAsia="方正楷体简体" w:cs="Times New Roman"/>
          <w:b/>
          <w:bCs/>
          <w:color w:val="auto"/>
          <w:lang w:val="en-US" w:eastAsia="zh-CN"/>
        </w:rPr>
        <w:t xml:space="preserve"> </w:t>
      </w:r>
      <w:r>
        <w:rPr>
          <w:rFonts w:hint="default" w:ascii="Times New Roman" w:hAnsi="Times New Roman" w:eastAsia="方正楷体简体" w:cs="Times New Roman"/>
          <w:b/>
          <w:bCs/>
          <w:color w:val="auto"/>
          <w:lang w:val="en-US" w:eastAsia="zh-CN"/>
        </w:rPr>
        <w:t xml:space="preserve"> 2025年1</w:t>
      </w:r>
      <w:r>
        <w:rPr>
          <w:rFonts w:hint="eastAsia" w:ascii="Times New Roman" w:hAnsi="Times New Roman" w:eastAsia="方正楷体简体" w:cs="Times New Roman"/>
          <w:b/>
          <w:bCs/>
          <w:color w:val="auto"/>
          <w:lang w:val="en-US" w:eastAsia="zh-CN"/>
        </w:rPr>
        <w:t>1</w:t>
      </w:r>
      <w:r>
        <w:rPr>
          <w:rFonts w:hint="default" w:ascii="Times New Roman" w:hAnsi="Times New Roman" w:eastAsia="方正楷体简体" w:cs="Times New Roman"/>
          <w:b/>
          <w:bCs/>
          <w:color w:val="auto"/>
          <w:lang w:val="en-US" w:eastAsia="zh-CN"/>
        </w:rPr>
        <w:t>月1日</w:t>
      </w:r>
    </w:p>
    <w:p w14:paraId="6B785A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黑体" w:cs="Times New Roman"/>
          <w:b/>
          <w:bCs/>
          <w:lang w:val="en-US" w:eastAsia="zh-CN"/>
        </w:rPr>
      </w:pPr>
      <w:r>
        <w:rPr>
          <w:rFonts w:hint="default" w:ascii="Times New Roman" w:hAnsi="Times New Roman" w:eastAsia="黑体" w:cs="Times New Roman"/>
          <w:b/>
          <w:bCs/>
          <w:lang w:val="en-US" w:eastAsia="zh-CN"/>
        </w:rPr>
        <w:t xml:space="preserve">                                   </w:t>
      </w:r>
    </w:p>
    <w:p w14:paraId="6937024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Times New Roman" w:hAnsi="Times New Roman" w:eastAsia="方正公文小标宋" w:cs="Times New Roman"/>
          <w:b/>
          <w:bCs/>
          <w:sz w:val="44"/>
          <w:szCs w:val="44"/>
          <w:lang w:val="en-US" w:eastAsia="zh-CN"/>
        </w:rPr>
        <w:sectPr>
          <w:pgSz w:w="11906" w:h="16838"/>
          <w:pgMar w:top="1440" w:right="1800" w:bottom="1440" w:left="1800" w:header="851" w:footer="992" w:gutter="0"/>
          <w:pgNumType w:fmt="decimal"/>
          <w:cols w:space="425" w:num="1"/>
          <w:docGrid w:type="lines" w:linePitch="312" w:charSpace="0"/>
        </w:sectPr>
      </w:pPr>
    </w:p>
    <w:sdt>
      <w:sdtPr>
        <w:rPr>
          <w:rFonts w:hint="default" w:ascii="Times New Roman" w:hAnsi="Times New Roman" w:eastAsia="宋体" w:cs="Times New Roman"/>
          <w:kern w:val="2"/>
          <w:sz w:val="21"/>
          <w:szCs w:val="24"/>
          <w:lang w:val="en-US" w:eastAsia="zh-CN" w:bidi="ar-SA"/>
        </w:rPr>
        <w:id w:val="147474793"/>
        <w15:color w:val="DBDBDB"/>
        <w:docPartObj>
          <w:docPartGallery w:val="Table of Contents"/>
          <w:docPartUnique/>
        </w:docPartObj>
      </w:sdtPr>
      <w:sdtEndPr>
        <w:rPr>
          <w:rFonts w:hint="default" w:ascii="Times New Roman" w:hAnsi="Times New Roman" w:eastAsia="宋体" w:cs="Times New Roman"/>
          <w:kern w:val="2"/>
          <w:sz w:val="21"/>
          <w:szCs w:val="24"/>
          <w:lang w:val="en-US" w:eastAsia="zh-CN" w:bidi="ar-SA"/>
        </w:rPr>
      </w:sdtEndPr>
      <w:sdtContent>
        <w:p w14:paraId="29C8D777">
          <w:pPr>
            <w:spacing w:before="0" w:beforeLines="0" w:after="0" w:afterLines="0" w:line="240" w:lineRule="auto"/>
            <w:ind w:left="0" w:leftChars="0" w:right="0" w:rightChars="0" w:firstLine="0" w:firstLineChars="0"/>
            <w:jc w:val="center"/>
            <w:rPr>
              <w:rFonts w:hint="default" w:ascii="Times New Roman" w:hAnsi="Times New Roman" w:eastAsia="方正公文小标宋" w:cs="Times New Roman"/>
              <w:b/>
              <w:sz w:val="28"/>
              <w:szCs w:val="28"/>
            </w:rPr>
          </w:pPr>
          <w:r>
            <w:rPr>
              <w:rFonts w:hint="default" w:ascii="Times New Roman" w:hAnsi="Times New Roman" w:eastAsia="方正公文小标宋" w:cs="Times New Roman"/>
              <w:sz w:val="44"/>
              <w:szCs w:val="44"/>
            </w:rPr>
            <w:t>目</w:t>
          </w:r>
          <w:r>
            <w:rPr>
              <w:rFonts w:hint="default" w:ascii="Times New Roman" w:hAnsi="Times New Roman" w:eastAsia="方正公文小标宋" w:cs="Times New Roman"/>
              <w:sz w:val="44"/>
              <w:szCs w:val="44"/>
              <w:lang w:val="en-US" w:eastAsia="zh-CN"/>
            </w:rPr>
            <w:t xml:space="preserve">  </w:t>
          </w:r>
          <w:r>
            <w:rPr>
              <w:rFonts w:hint="default" w:ascii="Times New Roman" w:hAnsi="Times New Roman" w:eastAsia="方正公文小标宋" w:cs="Times New Roman"/>
              <w:sz w:val="44"/>
              <w:szCs w:val="44"/>
            </w:rPr>
            <w:t>录</w:t>
          </w:r>
        </w:p>
        <w:p w14:paraId="2A7B4ABE">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_Toc4042 </w:instrText>
          </w:r>
          <w:r>
            <w:rPr>
              <w:rFonts w:hint="default" w:ascii="Times New Roman" w:hAnsi="Times New Roman" w:cs="Times New Roman"/>
            </w:rPr>
            <w:fldChar w:fldCharType="separate"/>
          </w:r>
          <w:r>
            <w:rPr>
              <w:rFonts w:hint="default" w:ascii="Times New Roman" w:hAnsi="Times New Roman" w:cs="Times New Roman"/>
              <w:lang w:val="en-US" w:eastAsia="zh-CN"/>
            </w:rPr>
            <w:t>一、总体要求</w:t>
          </w:r>
          <w:r>
            <w:tab/>
          </w:r>
          <w:r>
            <w:fldChar w:fldCharType="begin"/>
          </w:r>
          <w:r>
            <w:instrText xml:space="preserve"> PAGEREF _Toc4042 \h </w:instrText>
          </w:r>
          <w:r>
            <w:fldChar w:fldCharType="separate"/>
          </w:r>
          <w:r>
            <w:t>1</w:t>
          </w:r>
          <w:r>
            <w:fldChar w:fldCharType="end"/>
          </w:r>
          <w:r>
            <w:rPr>
              <w:rFonts w:hint="default" w:ascii="Times New Roman" w:hAnsi="Times New Roman" w:cs="Times New Roman"/>
            </w:rPr>
            <w:fldChar w:fldCharType="end"/>
          </w:r>
        </w:p>
        <w:p w14:paraId="31C3A0CF">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_Toc10448 </w:instrText>
          </w:r>
          <w:r>
            <w:rPr>
              <w:rFonts w:hint="default" w:ascii="Times New Roman" w:hAnsi="Times New Roman" w:cs="Times New Roman"/>
            </w:rPr>
            <w:fldChar w:fldCharType="separate"/>
          </w:r>
          <w:r>
            <w:rPr>
              <w:rFonts w:hint="default" w:ascii="Times New Roman" w:hAnsi="Times New Roman" w:cs="Times New Roman"/>
              <w:lang w:val="en-US" w:eastAsia="zh-CN"/>
            </w:rPr>
            <w:t>二、安全管理机构和安全管理人员</w:t>
          </w:r>
          <w:r>
            <w:tab/>
          </w:r>
          <w:r>
            <w:fldChar w:fldCharType="begin"/>
          </w:r>
          <w:r>
            <w:instrText xml:space="preserve"> PAGEREF _Toc10448 \h </w:instrText>
          </w:r>
          <w:r>
            <w:fldChar w:fldCharType="separate"/>
          </w:r>
          <w:r>
            <w:t>2</w:t>
          </w:r>
          <w:r>
            <w:fldChar w:fldCharType="end"/>
          </w:r>
          <w:r>
            <w:rPr>
              <w:rFonts w:hint="default" w:ascii="Times New Roman" w:hAnsi="Times New Roman" w:cs="Times New Roman"/>
            </w:rPr>
            <w:fldChar w:fldCharType="end"/>
          </w:r>
        </w:p>
        <w:p w14:paraId="7C8CDDEB">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_Toc12719 </w:instrText>
          </w:r>
          <w:r>
            <w:rPr>
              <w:rFonts w:hint="default" w:ascii="Times New Roman" w:hAnsi="Times New Roman" w:cs="Times New Roman"/>
            </w:rPr>
            <w:fldChar w:fldCharType="separate"/>
          </w:r>
          <w:r>
            <w:rPr>
              <w:rFonts w:hint="default" w:ascii="Times New Roman" w:hAnsi="Times New Roman" w:cs="Times New Roman"/>
              <w:lang w:val="en-US" w:eastAsia="zh-CN"/>
            </w:rPr>
            <w:t>（一）需要设置安全管理机构的单位</w:t>
          </w:r>
          <w:r>
            <w:tab/>
          </w:r>
          <w:r>
            <w:fldChar w:fldCharType="begin"/>
          </w:r>
          <w:r>
            <w:instrText xml:space="preserve"> PAGEREF _Toc12719 \h </w:instrText>
          </w:r>
          <w:r>
            <w:fldChar w:fldCharType="separate"/>
          </w:r>
          <w:r>
            <w:t>2</w:t>
          </w:r>
          <w:r>
            <w:fldChar w:fldCharType="end"/>
          </w:r>
          <w:r>
            <w:rPr>
              <w:rFonts w:hint="default" w:ascii="Times New Roman" w:hAnsi="Times New Roman" w:cs="Times New Roman"/>
            </w:rPr>
            <w:fldChar w:fldCharType="end"/>
          </w:r>
        </w:p>
        <w:p w14:paraId="6285C051">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_Toc12015 </w:instrText>
          </w:r>
          <w:r>
            <w:rPr>
              <w:rFonts w:hint="default" w:ascii="Times New Roman" w:hAnsi="Times New Roman" w:cs="Times New Roman"/>
            </w:rPr>
            <w:fldChar w:fldCharType="separate"/>
          </w:r>
          <w:r>
            <w:rPr>
              <w:rFonts w:hint="default" w:ascii="Times New Roman" w:hAnsi="Times New Roman" w:cs="Times New Roman"/>
              <w:lang w:val="en-US" w:eastAsia="zh-CN"/>
            </w:rPr>
            <w:t>（二）如何设置特种设备安全管理机构</w:t>
          </w:r>
          <w:r>
            <w:tab/>
          </w:r>
          <w:r>
            <w:fldChar w:fldCharType="begin"/>
          </w:r>
          <w:r>
            <w:instrText xml:space="preserve"> PAGEREF _Toc12015 \h </w:instrText>
          </w:r>
          <w:r>
            <w:fldChar w:fldCharType="separate"/>
          </w:r>
          <w:r>
            <w:t>2</w:t>
          </w:r>
          <w:r>
            <w:fldChar w:fldCharType="end"/>
          </w:r>
          <w:r>
            <w:rPr>
              <w:rFonts w:hint="default" w:ascii="Times New Roman" w:hAnsi="Times New Roman" w:cs="Times New Roman"/>
            </w:rPr>
            <w:fldChar w:fldCharType="end"/>
          </w:r>
        </w:p>
        <w:p w14:paraId="6718117D">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_Toc29834 </w:instrText>
          </w:r>
          <w:r>
            <w:rPr>
              <w:rFonts w:hint="default" w:ascii="Times New Roman" w:hAnsi="Times New Roman" w:cs="Times New Roman"/>
            </w:rPr>
            <w:fldChar w:fldCharType="separate"/>
          </w:r>
          <w:r>
            <w:rPr>
              <w:rFonts w:hint="default" w:ascii="Times New Roman" w:hAnsi="Times New Roman" w:cs="Times New Roman"/>
              <w:lang w:val="en-US" w:eastAsia="zh-CN"/>
            </w:rPr>
            <w:t>（三）任命特种设备安全管理人员</w:t>
          </w:r>
          <w:r>
            <w:tab/>
          </w:r>
          <w:r>
            <w:fldChar w:fldCharType="begin"/>
          </w:r>
          <w:r>
            <w:instrText xml:space="preserve"> PAGEREF _Toc29834 \h </w:instrText>
          </w:r>
          <w:r>
            <w:fldChar w:fldCharType="separate"/>
          </w:r>
          <w:r>
            <w:t>2</w:t>
          </w:r>
          <w:r>
            <w:fldChar w:fldCharType="end"/>
          </w:r>
          <w:r>
            <w:rPr>
              <w:rFonts w:hint="default" w:ascii="Times New Roman" w:hAnsi="Times New Roman" w:cs="Times New Roman"/>
            </w:rPr>
            <w:fldChar w:fldCharType="end"/>
          </w:r>
        </w:p>
        <w:p w14:paraId="46DDEE0E">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_Toc7383 </w:instrText>
          </w:r>
          <w:r>
            <w:rPr>
              <w:rFonts w:hint="default" w:ascii="Times New Roman" w:hAnsi="Times New Roman" w:cs="Times New Roman"/>
            </w:rPr>
            <w:fldChar w:fldCharType="separate"/>
          </w:r>
          <w:r>
            <w:rPr>
              <w:rFonts w:hint="default" w:ascii="Times New Roman" w:hAnsi="Times New Roman" w:cs="Times New Roman"/>
              <w:lang w:val="en-US" w:eastAsia="zh-CN"/>
            </w:rPr>
            <w:t>（四）需任命专职安全管理员的单位</w:t>
          </w:r>
          <w:r>
            <w:tab/>
          </w:r>
          <w:r>
            <w:fldChar w:fldCharType="begin"/>
          </w:r>
          <w:r>
            <w:instrText xml:space="preserve"> PAGEREF _Toc7383 \h </w:instrText>
          </w:r>
          <w:r>
            <w:fldChar w:fldCharType="separate"/>
          </w:r>
          <w:r>
            <w:t>3</w:t>
          </w:r>
          <w:r>
            <w:fldChar w:fldCharType="end"/>
          </w:r>
          <w:r>
            <w:rPr>
              <w:rFonts w:hint="default" w:ascii="Times New Roman" w:hAnsi="Times New Roman" w:cs="Times New Roman"/>
            </w:rPr>
            <w:fldChar w:fldCharType="end"/>
          </w:r>
        </w:p>
        <w:p w14:paraId="568F0EB6">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_Toc25855 </w:instrText>
          </w:r>
          <w:r>
            <w:rPr>
              <w:rFonts w:hint="default" w:ascii="Times New Roman" w:hAnsi="Times New Roman" w:cs="Times New Roman"/>
            </w:rPr>
            <w:fldChar w:fldCharType="separate"/>
          </w:r>
          <w:r>
            <w:rPr>
              <w:rFonts w:hint="default" w:ascii="Times New Roman" w:hAnsi="Times New Roman" w:cs="Times New Roman"/>
              <w:lang w:val="en-US" w:eastAsia="zh-CN"/>
            </w:rPr>
            <w:t>（五）特种设备安全管理人员持证要求</w:t>
          </w:r>
          <w:r>
            <w:tab/>
          </w:r>
          <w:r>
            <w:fldChar w:fldCharType="begin"/>
          </w:r>
          <w:r>
            <w:instrText xml:space="preserve"> PAGEREF _Toc25855 \h </w:instrText>
          </w:r>
          <w:r>
            <w:fldChar w:fldCharType="separate"/>
          </w:r>
          <w:r>
            <w:t>4</w:t>
          </w:r>
          <w:r>
            <w:fldChar w:fldCharType="end"/>
          </w:r>
          <w:r>
            <w:rPr>
              <w:rFonts w:hint="default" w:ascii="Times New Roman" w:hAnsi="Times New Roman" w:cs="Times New Roman"/>
            </w:rPr>
            <w:fldChar w:fldCharType="end"/>
          </w:r>
        </w:p>
        <w:p w14:paraId="57FF9003">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_Toc1036 </w:instrText>
          </w:r>
          <w:r>
            <w:rPr>
              <w:rFonts w:hint="default" w:ascii="Times New Roman" w:hAnsi="Times New Roman" w:cs="Times New Roman"/>
            </w:rPr>
            <w:fldChar w:fldCharType="separate"/>
          </w:r>
          <w:r>
            <w:rPr>
              <w:rFonts w:hint="default" w:ascii="Times New Roman" w:hAnsi="Times New Roman" w:cs="Times New Roman"/>
              <w:lang w:val="en-US" w:eastAsia="zh-CN"/>
            </w:rPr>
            <w:t>（六）特种设备安全管理人员职责</w:t>
          </w:r>
          <w:r>
            <w:tab/>
          </w:r>
          <w:r>
            <w:fldChar w:fldCharType="begin"/>
          </w:r>
          <w:r>
            <w:instrText xml:space="preserve"> PAGEREF _Toc1036 \h </w:instrText>
          </w:r>
          <w:r>
            <w:fldChar w:fldCharType="separate"/>
          </w:r>
          <w:r>
            <w:t>4</w:t>
          </w:r>
          <w:r>
            <w:fldChar w:fldCharType="end"/>
          </w:r>
          <w:r>
            <w:rPr>
              <w:rFonts w:hint="default" w:ascii="Times New Roman" w:hAnsi="Times New Roman" w:cs="Times New Roman"/>
            </w:rPr>
            <w:fldChar w:fldCharType="end"/>
          </w:r>
        </w:p>
        <w:p w14:paraId="07AB3058">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_Toc20554 </w:instrText>
          </w:r>
          <w:r>
            <w:rPr>
              <w:rFonts w:hint="default" w:ascii="Times New Roman" w:hAnsi="Times New Roman" w:cs="Times New Roman"/>
            </w:rPr>
            <w:fldChar w:fldCharType="separate"/>
          </w:r>
          <w:r>
            <w:rPr>
              <w:rFonts w:hint="default" w:ascii="Times New Roman" w:hAnsi="Times New Roman" w:cs="Times New Roman"/>
            </w:rPr>
            <w:t>1. 主要负责人</w:t>
          </w:r>
          <w:r>
            <w:rPr>
              <w:rFonts w:hint="default" w:ascii="Times New Roman" w:hAnsi="Times New Roman" w:cs="Times New Roman"/>
              <w:lang w:eastAsia="zh-CN"/>
            </w:rPr>
            <w:t>工作职责</w:t>
          </w:r>
          <w:r>
            <w:tab/>
          </w:r>
          <w:r>
            <w:fldChar w:fldCharType="begin"/>
          </w:r>
          <w:r>
            <w:instrText xml:space="preserve"> PAGEREF _Toc20554 \h </w:instrText>
          </w:r>
          <w:r>
            <w:fldChar w:fldCharType="separate"/>
          </w:r>
          <w:r>
            <w:t>4</w:t>
          </w:r>
          <w:r>
            <w:fldChar w:fldCharType="end"/>
          </w:r>
          <w:r>
            <w:rPr>
              <w:rFonts w:hint="default" w:ascii="Times New Roman" w:hAnsi="Times New Roman" w:cs="Times New Roman"/>
            </w:rPr>
            <w:fldChar w:fldCharType="end"/>
          </w:r>
        </w:p>
        <w:p w14:paraId="06032D1A">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_Toc32655 </w:instrText>
          </w:r>
          <w:r>
            <w:rPr>
              <w:rFonts w:hint="default" w:ascii="Times New Roman" w:hAnsi="Times New Roman" w:cs="Times New Roman"/>
            </w:rPr>
            <w:fldChar w:fldCharType="separate"/>
          </w:r>
          <w:r>
            <w:rPr>
              <w:rFonts w:hint="default" w:ascii="Times New Roman" w:hAnsi="Times New Roman" w:cs="Times New Roman"/>
              <w:lang w:val="en-US" w:eastAsia="zh-CN"/>
            </w:rPr>
            <w:t>2. 特种设备安全负责人（特种设备安全总监）职责</w:t>
          </w:r>
          <w:r>
            <w:tab/>
          </w:r>
          <w:r>
            <w:fldChar w:fldCharType="begin"/>
          </w:r>
          <w:r>
            <w:instrText xml:space="preserve"> PAGEREF _Toc32655 \h </w:instrText>
          </w:r>
          <w:r>
            <w:fldChar w:fldCharType="separate"/>
          </w:r>
          <w:r>
            <w:t>5</w:t>
          </w:r>
          <w:r>
            <w:fldChar w:fldCharType="end"/>
          </w:r>
          <w:r>
            <w:rPr>
              <w:rFonts w:hint="default" w:ascii="Times New Roman" w:hAnsi="Times New Roman" w:cs="Times New Roman"/>
            </w:rPr>
            <w:fldChar w:fldCharType="end"/>
          </w:r>
        </w:p>
        <w:p w14:paraId="38988836">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_Toc17720 </w:instrText>
          </w:r>
          <w:r>
            <w:rPr>
              <w:rFonts w:hint="default" w:ascii="Times New Roman" w:hAnsi="Times New Roman" w:cs="Times New Roman"/>
            </w:rPr>
            <w:fldChar w:fldCharType="separate"/>
          </w:r>
          <w:r>
            <w:rPr>
              <w:rFonts w:hint="default" w:ascii="Times New Roman" w:hAnsi="Times New Roman" w:cs="Times New Roman"/>
              <w:lang w:val="en-US" w:eastAsia="zh-CN"/>
            </w:rPr>
            <w:t>3. 特种设备安全管理员（特种设备安全员）职责</w:t>
          </w:r>
          <w:r>
            <w:tab/>
          </w:r>
          <w:r>
            <w:fldChar w:fldCharType="begin"/>
          </w:r>
          <w:r>
            <w:instrText xml:space="preserve"> PAGEREF _Toc17720 \h </w:instrText>
          </w:r>
          <w:r>
            <w:fldChar w:fldCharType="separate"/>
          </w:r>
          <w:r>
            <w:t>5</w:t>
          </w:r>
          <w:r>
            <w:fldChar w:fldCharType="end"/>
          </w:r>
          <w:r>
            <w:rPr>
              <w:rFonts w:hint="default" w:ascii="Times New Roman" w:hAnsi="Times New Roman" w:cs="Times New Roman"/>
            </w:rPr>
            <w:fldChar w:fldCharType="end"/>
          </w:r>
        </w:p>
        <w:p w14:paraId="2D6E987C">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_Toc2947 </w:instrText>
          </w:r>
          <w:r>
            <w:rPr>
              <w:rFonts w:hint="default" w:ascii="Times New Roman" w:hAnsi="Times New Roman" w:cs="Times New Roman"/>
            </w:rPr>
            <w:fldChar w:fldCharType="separate"/>
          </w:r>
          <w:r>
            <w:rPr>
              <w:rFonts w:hint="default" w:ascii="Times New Roman" w:hAnsi="Times New Roman" w:cs="Times New Roman"/>
              <w:lang w:val="en-US" w:eastAsia="zh-CN"/>
            </w:rPr>
            <w:t>4. 特种设备作业人员职责</w:t>
          </w:r>
          <w:r>
            <w:tab/>
          </w:r>
          <w:r>
            <w:fldChar w:fldCharType="begin"/>
          </w:r>
          <w:r>
            <w:instrText xml:space="preserve"> PAGEREF _Toc2947 \h </w:instrText>
          </w:r>
          <w:r>
            <w:fldChar w:fldCharType="separate"/>
          </w:r>
          <w:r>
            <w:t>6</w:t>
          </w:r>
          <w:r>
            <w:fldChar w:fldCharType="end"/>
          </w:r>
          <w:r>
            <w:rPr>
              <w:rFonts w:hint="default" w:ascii="Times New Roman" w:hAnsi="Times New Roman" w:cs="Times New Roman"/>
            </w:rPr>
            <w:fldChar w:fldCharType="end"/>
          </w:r>
        </w:p>
        <w:p w14:paraId="2AC9BBD8">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_Toc32190 </w:instrText>
          </w:r>
          <w:r>
            <w:rPr>
              <w:rFonts w:hint="default" w:ascii="Times New Roman" w:hAnsi="Times New Roman" w:cs="Times New Roman"/>
            </w:rPr>
            <w:fldChar w:fldCharType="separate"/>
          </w:r>
          <w:r>
            <w:rPr>
              <w:rFonts w:hint="default" w:ascii="Times New Roman" w:hAnsi="Times New Roman" w:cs="Times New Roman"/>
              <w:lang w:val="en-US" w:eastAsia="zh-CN"/>
            </w:rPr>
            <w:t>（七）设置安全管理机构和安全管理人员参考模板</w:t>
          </w:r>
          <w:r>
            <w:tab/>
          </w:r>
          <w:r>
            <w:fldChar w:fldCharType="begin"/>
          </w:r>
          <w:r>
            <w:instrText xml:space="preserve"> PAGEREF _Toc32190 \h </w:instrText>
          </w:r>
          <w:r>
            <w:fldChar w:fldCharType="separate"/>
          </w:r>
          <w:r>
            <w:t>7</w:t>
          </w:r>
          <w:r>
            <w:fldChar w:fldCharType="end"/>
          </w:r>
          <w:r>
            <w:rPr>
              <w:rFonts w:hint="default" w:ascii="Times New Roman" w:hAnsi="Times New Roman" w:cs="Times New Roman"/>
            </w:rPr>
            <w:fldChar w:fldCharType="end"/>
          </w:r>
        </w:p>
        <w:p w14:paraId="5D41A8EE">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_Toc30435 </w:instrText>
          </w:r>
          <w:r>
            <w:rPr>
              <w:rFonts w:hint="default" w:ascii="Times New Roman" w:hAnsi="Times New Roman" w:cs="Times New Roman"/>
            </w:rPr>
            <w:fldChar w:fldCharType="separate"/>
          </w:r>
          <w:r>
            <w:rPr>
              <w:rFonts w:hint="default" w:ascii="Times New Roman" w:hAnsi="Times New Roman" w:cs="Times New Roman"/>
              <w:lang w:val="en-US" w:eastAsia="zh-CN"/>
            </w:rPr>
            <w:t>三、特种设备安全管理制度和安全操作规程</w:t>
          </w:r>
          <w:r>
            <w:tab/>
          </w:r>
          <w:r>
            <w:fldChar w:fldCharType="begin"/>
          </w:r>
          <w:r>
            <w:instrText xml:space="preserve"> PAGEREF _Toc30435 \h </w:instrText>
          </w:r>
          <w:r>
            <w:fldChar w:fldCharType="separate"/>
          </w:r>
          <w:r>
            <w:t>8</w:t>
          </w:r>
          <w:r>
            <w:fldChar w:fldCharType="end"/>
          </w:r>
          <w:r>
            <w:rPr>
              <w:rFonts w:hint="default" w:ascii="Times New Roman" w:hAnsi="Times New Roman" w:cs="Times New Roman"/>
            </w:rPr>
            <w:fldChar w:fldCharType="end"/>
          </w:r>
        </w:p>
        <w:p w14:paraId="4A168972">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_Toc32354 </w:instrText>
          </w:r>
          <w:r>
            <w:rPr>
              <w:rFonts w:hint="default" w:ascii="Times New Roman" w:hAnsi="Times New Roman" w:cs="Times New Roman"/>
            </w:rPr>
            <w:fldChar w:fldCharType="separate"/>
          </w:r>
          <w:r>
            <w:rPr>
              <w:rFonts w:hint="default" w:ascii="Times New Roman" w:hAnsi="Times New Roman" w:cs="Times New Roman"/>
              <w:lang w:val="en-US" w:eastAsia="zh-CN"/>
            </w:rPr>
            <w:t>（一）特种设备安全管理制度及参考模板</w:t>
          </w:r>
          <w:r>
            <w:tab/>
          </w:r>
          <w:r>
            <w:fldChar w:fldCharType="begin"/>
          </w:r>
          <w:r>
            <w:instrText xml:space="preserve"> PAGEREF _Toc32354 \h </w:instrText>
          </w:r>
          <w:r>
            <w:fldChar w:fldCharType="separate"/>
          </w:r>
          <w:r>
            <w:t>8</w:t>
          </w:r>
          <w:r>
            <w:fldChar w:fldCharType="end"/>
          </w:r>
          <w:r>
            <w:rPr>
              <w:rFonts w:hint="default" w:ascii="Times New Roman" w:hAnsi="Times New Roman" w:cs="Times New Roman"/>
            </w:rPr>
            <w:fldChar w:fldCharType="end"/>
          </w:r>
        </w:p>
        <w:p w14:paraId="3DC847D0">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_Toc10186 </w:instrText>
          </w:r>
          <w:r>
            <w:rPr>
              <w:rFonts w:hint="default" w:ascii="Times New Roman" w:hAnsi="Times New Roman" w:cs="Times New Roman"/>
            </w:rPr>
            <w:fldChar w:fldCharType="separate"/>
          </w:r>
          <w:r>
            <w:rPr>
              <w:rFonts w:hint="default" w:ascii="Times New Roman" w:hAnsi="Times New Roman" w:cs="Times New Roman"/>
              <w:lang w:val="en-US" w:eastAsia="zh-CN"/>
            </w:rPr>
            <w:t>（二）特种设备安全操作规程</w:t>
          </w:r>
          <w:r>
            <w:tab/>
          </w:r>
          <w:r>
            <w:fldChar w:fldCharType="begin"/>
          </w:r>
          <w:r>
            <w:instrText xml:space="preserve"> PAGEREF _Toc10186 \h </w:instrText>
          </w:r>
          <w:r>
            <w:fldChar w:fldCharType="separate"/>
          </w:r>
          <w:r>
            <w:t>8</w:t>
          </w:r>
          <w:r>
            <w:fldChar w:fldCharType="end"/>
          </w:r>
          <w:r>
            <w:rPr>
              <w:rFonts w:hint="default" w:ascii="Times New Roman" w:hAnsi="Times New Roman" w:cs="Times New Roman"/>
            </w:rPr>
            <w:fldChar w:fldCharType="end"/>
          </w:r>
        </w:p>
        <w:p w14:paraId="5B35A365">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_Toc25044 </w:instrText>
          </w:r>
          <w:r>
            <w:rPr>
              <w:rFonts w:hint="default" w:ascii="Times New Roman" w:hAnsi="Times New Roman" w:cs="Times New Roman"/>
            </w:rPr>
            <w:fldChar w:fldCharType="separate"/>
          </w:r>
          <w:r>
            <w:rPr>
              <w:rFonts w:hint="default" w:ascii="Times New Roman" w:hAnsi="Times New Roman" w:cs="Times New Roman"/>
              <w:lang w:eastAsia="zh-CN"/>
            </w:rPr>
            <w:t>（三）规章制度标准化建设</w:t>
          </w:r>
          <w:r>
            <w:tab/>
          </w:r>
          <w:r>
            <w:fldChar w:fldCharType="begin"/>
          </w:r>
          <w:r>
            <w:instrText xml:space="preserve"> PAGEREF _Toc25044 \h </w:instrText>
          </w:r>
          <w:r>
            <w:fldChar w:fldCharType="separate"/>
          </w:r>
          <w:r>
            <w:t>9</w:t>
          </w:r>
          <w:r>
            <w:fldChar w:fldCharType="end"/>
          </w:r>
          <w:r>
            <w:rPr>
              <w:rFonts w:hint="default" w:ascii="Times New Roman" w:hAnsi="Times New Roman" w:cs="Times New Roman"/>
            </w:rPr>
            <w:fldChar w:fldCharType="end"/>
          </w:r>
        </w:p>
        <w:p w14:paraId="1C149759">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_Toc28451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四、 </w:t>
          </w:r>
          <w:r>
            <w:rPr>
              <w:rFonts w:hint="default" w:ascii="Times New Roman" w:hAnsi="Times New Roman" w:cs="Times New Roman"/>
              <w:lang w:val="en-US" w:eastAsia="zh-CN"/>
            </w:rPr>
            <w:t>特种设备及其安全附件管理台账</w:t>
          </w:r>
          <w:r>
            <w:tab/>
          </w:r>
          <w:r>
            <w:fldChar w:fldCharType="begin"/>
          </w:r>
          <w:r>
            <w:instrText xml:space="preserve"> PAGEREF _Toc28451 \h </w:instrText>
          </w:r>
          <w:r>
            <w:fldChar w:fldCharType="separate"/>
          </w:r>
          <w:r>
            <w:t>10</w:t>
          </w:r>
          <w:r>
            <w:fldChar w:fldCharType="end"/>
          </w:r>
          <w:r>
            <w:rPr>
              <w:rFonts w:hint="default" w:ascii="Times New Roman" w:hAnsi="Times New Roman" w:cs="Times New Roman"/>
            </w:rPr>
            <w:fldChar w:fldCharType="end"/>
          </w:r>
        </w:p>
        <w:p w14:paraId="73ED6457">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_Toc14950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五、 </w:t>
          </w:r>
          <w:r>
            <w:rPr>
              <w:rFonts w:hint="default" w:ascii="Times New Roman" w:hAnsi="Times New Roman" w:cs="Times New Roman"/>
              <w:lang w:val="en-US" w:eastAsia="zh-CN"/>
            </w:rPr>
            <w:t>特种设备相关人员管理和培训考核</w:t>
          </w:r>
          <w:r>
            <w:tab/>
          </w:r>
          <w:r>
            <w:fldChar w:fldCharType="begin"/>
          </w:r>
          <w:r>
            <w:instrText xml:space="preserve"> PAGEREF _Toc14950 \h </w:instrText>
          </w:r>
          <w:r>
            <w:fldChar w:fldCharType="separate"/>
          </w:r>
          <w:r>
            <w:t>11</w:t>
          </w:r>
          <w:r>
            <w:fldChar w:fldCharType="end"/>
          </w:r>
          <w:r>
            <w:rPr>
              <w:rFonts w:hint="default" w:ascii="Times New Roman" w:hAnsi="Times New Roman" w:cs="Times New Roman"/>
            </w:rPr>
            <w:fldChar w:fldCharType="end"/>
          </w:r>
        </w:p>
        <w:p w14:paraId="60E02F15">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_Toc20155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（一） </w:t>
          </w:r>
          <w:r>
            <w:rPr>
              <w:rFonts w:hint="default" w:ascii="Times New Roman" w:hAnsi="Times New Roman" w:cs="Times New Roman"/>
              <w:lang w:val="en-US" w:eastAsia="zh-CN"/>
            </w:rPr>
            <w:t>特种设备安全管理人员和作业人员数量要求</w:t>
          </w:r>
          <w:r>
            <w:tab/>
          </w:r>
          <w:r>
            <w:fldChar w:fldCharType="begin"/>
          </w:r>
          <w:r>
            <w:instrText xml:space="preserve"> PAGEREF _Toc20155 \h </w:instrText>
          </w:r>
          <w:r>
            <w:fldChar w:fldCharType="separate"/>
          </w:r>
          <w:r>
            <w:t>11</w:t>
          </w:r>
          <w:r>
            <w:fldChar w:fldCharType="end"/>
          </w:r>
          <w:r>
            <w:rPr>
              <w:rFonts w:hint="default" w:ascii="Times New Roman" w:hAnsi="Times New Roman" w:cs="Times New Roman"/>
            </w:rPr>
            <w:fldChar w:fldCharType="end"/>
          </w:r>
        </w:p>
        <w:p w14:paraId="0F832C88">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_Toc79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（二） </w:t>
          </w:r>
          <w:r>
            <w:rPr>
              <w:rFonts w:hint="default" w:ascii="Times New Roman" w:hAnsi="Times New Roman" w:cs="Times New Roman"/>
              <w:lang w:val="en-US" w:eastAsia="zh-CN"/>
            </w:rPr>
            <w:t>特种设备安全管理和作业人员管理台账</w:t>
          </w:r>
          <w:r>
            <w:tab/>
          </w:r>
          <w:r>
            <w:fldChar w:fldCharType="begin"/>
          </w:r>
          <w:r>
            <w:instrText xml:space="preserve"> PAGEREF _Toc79 \h </w:instrText>
          </w:r>
          <w:r>
            <w:fldChar w:fldCharType="separate"/>
          </w:r>
          <w:r>
            <w:t>14</w:t>
          </w:r>
          <w:r>
            <w:fldChar w:fldCharType="end"/>
          </w:r>
          <w:r>
            <w:rPr>
              <w:rFonts w:hint="default" w:ascii="Times New Roman" w:hAnsi="Times New Roman" w:cs="Times New Roman"/>
            </w:rPr>
            <w:fldChar w:fldCharType="end"/>
          </w:r>
        </w:p>
        <w:p w14:paraId="07E327F9">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_Toc27918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（三） </w:t>
          </w:r>
          <w:r>
            <w:rPr>
              <w:rFonts w:hint="default" w:ascii="Times New Roman" w:hAnsi="Times New Roman" w:cs="Times New Roman"/>
              <w:lang w:val="en-US" w:eastAsia="zh-CN"/>
            </w:rPr>
            <w:t>特种设备安全管理和作业人员证书管理</w:t>
          </w:r>
          <w:r>
            <w:tab/>
          </w:r>
          <w:r>
            <w:fldChar w:fldCharType="begin"/>
          </w:r>
          <w:r>
            <w:instrText xml:space="preserve"> PAGEREF _Toc27918 \h </w:instrText>
          </w:r>
          <w:r>
            <w:fldChar w:fldCharType="separate"/>
          </w:r>
          <w:r>
            <w:t>14</w:t>
          </w:r>
          <w:r>
            <w:fldChar w:fldCharType="end"/>
          </w:r>
          <w:r>
            <w:rPr>
              <w:rFonts w:hint="default" w:ascii="Times New Roman" w:hAnsi="Times New Roman" w:cs="Times New Roman"/>
            </w:rPr>
            <w:fldChar w:fldCharType="end"/>
          </w:r>
        </w:p>
        <w:p w14:paraId="2D9C9A6E">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_Toc31438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（四） </w:t>
          </w:r>
          <w:r>
            <w:rPr>
              <w:rFonts w:hint="default" w:ascii="Times New Roman" w:hAnsi="Times New Roman" w:cs="Times New Roman"/>
              <w:lang w:val="en-US" w:eastAsia="zh-CN"/>
            </w:rPr>
            <w:t>安全管理人员和作业人员培训考核</w:t>
          </w:r>
          <w:r>
            <w:tab/>
          </w:r>
          <w:r>
            <w:fldChar w:fldCharType="begin"/>
          </w:r>
          <w:r>
            <w:instrText xml:space="preserve"> PAGEREF _Toc31438 \h </w:instrText>
          </w:r>
          <w:r>
            <w:fldChar w:fldCharType="separate"/>
          </w:r>
          <w:r>
            <w:t>14</w:t>
          </w:r>
          <w:r>
            <w:fldChar w:fldCharType="end"/>
          </w:r>
          <w:r>
            <w:rPr>
              <w:rFonts w:hint="default" w:ascii="Times New Roman" w:hAnsi="Times New Roman" w:cs="Times New Roman"/>
            </w:rPr>
            <w:fldChar w:fldCharType="end"/>
          </w:r>
        </w:p>
        <w:p w14:paraId="5BEE3311">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_Toc3139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六、 </w:t>
          </w:r>
          <w:r>
            <w:rPr>
              <w:rFonts w:hint="default" w:ascii="Times New Roman" w:hAnsi="Times New Roman" w:cs="Times New Roman"/>
              <w:lang w:val="en-US" w:eastAsia="zh-CN"/>
            </w:rPr>
            <w:t>特种设备安全技术档案</w:t>
          </w:r>
          <w:r>
            <w:tab/>
          </w:r>
          <w:r>
            <w:fldChar w:fldCharType="begin"/>
          </w:r>
          <w:r>
            <w:instrText xml:space="preserve"> PAGEREF _Toc3139 \h </w:instrText>
          </w:r>
          <w:r>
            <w:fldChar w:fldCharType="separate"/>
          </w:r>
          <w:r>
            <w:t>15</w:t>
          </w:r>
          <w:r>
            <w:fldChar w:fldCharType="end"/>
          </w:r>
          <w:r>
            <w:rPr>
              <w:rFonts w:hint="default" w:ascii="Times New Roman" w:hAnsi="Times New Roman" w:cs="Times New Roman"/>
            </w:rPr>
            <w:fldChar w:fldCharType="end"/>
          </w:r>
        </w:p>
        <w:p w14:paraId="4E7E831E">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_Toc17329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七、 </w:t>
          </w:r>
          <w:r>
            <w:rPr>
              <w:rFonts w:hint="default" w:ascii="Times New Roman" w:hAnsi="Times New Roman" w:cs="Times New Roman"/>
              <w:lang w:val="en-US" w:eastAsia="zh-CN"/>
            </w:rPr>
            <w:t>特种设备现场管理和隐患排查</w:t>
          </w:r>
          <w:r>
            <w:tab/>
          </w:r>
          <w:r>
            <w:fldChar w:fldCharType="begin"/>
          </w:r>
          <w:r>
            <w:instrText xml:space="preserve"> PAGEREF _Toc17329 \h </w:instrText>
          </w:r>
          <w:r>
            <w:fldChar w:fldCharType="separate"/>
          </w:r>
          <w:r>
            <w:t>17</w:t>
          </w:r>
          <w:r>
            <w:fldChar w:fldCharType="end"/>
          </w:r>
          <w:r>
            <w:rPr>
              <w:rFonts w:hint="default" w:ascii="Times New Roman" w:hAnsi="Times New Roman" w:cs="Times New Roman"/>
            </w:rPr>
            <w:fldChar w:fldCharType="end"/>
          </w:r>
        </w:p>
        <w:p w14:paraId="2D141E2B">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_Toc17968 </w:instrText>
          </w:r>
          <w:r>
            <w:rPr>
              <w:rFonts w:hint="default" w:ascii="Times New Roman" w:hAnsi="Times New Roman" w:cs="Times New Roman"/>
            </w:rPr>
            <w:fldChar w:fldCharType="separate"/>
          </w:r>
          <w:r>
            <w:rPr>
              <w:rFonts w:hint="eastAsia"/>
              <w:lang w:val="en-US" w:eastAsia="zh-CN"/>
            </w:rPr>
            <w:t>（一） 固定</w:t>
          </w:r>
          <w:r>
            <w:rPr>
              <w:rFonts w:hint="default"/>
              <w:lang w:val="en-US" w:eastAsia="zh-CN"/>
            </w:rPr>
            <w:t>特种设备使用</w:t>
          </w:r>
          <w:r>
            <w:rPr>
              <w:rFonts w:hint="eastAsia"/>
              <w:lang w:val="en-US" w:eastAsia="zh-CN"/>
            </w:rPr>
            <w:t>标志</w:t>
          </w:r>
          <w:r>
            <w:tab/>
          </w:r>
          <w:r>
            <w:fldChar w:fldCharType="begin"/>
          </w:r>
          <w:r>
            <w:instrText xml:space="preserve"> PAGEREF _Toc17968 \h </w:instrText>
          </w:r>
          <w:r>
            <w:fldChar w:fldCharType="separate"/>
          </w:r>
          <w:r>
            <w:t>17</w:t>
          </w:r>
          <w:r>
            <w:fldChar w:fldCharType="end"/>
          </w:r>
          <w:r>
            <w:rPr>
              <w:rFonts w:hint="default" w:ascii="Times New Roman" w:hAnsi="Times New Roman" w:cs="Times New Roman"/>
            </w:rPr>
            <w:fldChar w:fldCharType="end"/>
          </w:r>
        </w:p>
        <w:p w14:paraId="7865EA98">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_Toc16333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（二） </w:t>
          </w:r>
          <w:r>
            <w:rPr>
              <w:rFonts w:hint="default" w:ascii="Times New Roman" w:hAnsi="Times New Roman" w:cs="Times New Roman"/>
              <w:lang w:val="en-US" w:eastAsia="zh-CN"/>
            </w:rPr>
            <w:t>特种设备及其安全附件定期检验</w:t>
          </w:r>
          <w:r>
            <w:tab/>
          </w:r>
          <w:r>
            <w:fldChar w:fldCharType="begin"/>
          </w:r>
          <w:r>
            <w:instrText xml:space="preserve"> PAGEREF _Toc16333 \h </w:instrText>
          </w:r>
          <w:r>
            <w:fldChar w:fldCharType="separate"/>
          </w:r>
          <w:r>
            <w:t>17</w:t>
          </w:r>
          <w:r>
            <w:fldChar w:fldCharType="end"/>
          </w:r>
          <w:r>
            <w:rPr>
              <w:rFonts w:hint="default" w:ascii="Times New Roman" w:hAnsi="Times New Roman" w:cs="Times New Roman"/>
            </w:rPr>
            <w:fldChar w:fldCharType="end"/>
          </w:r>
        </w:p>
        <w:p w14:paraId="48ACD7A3">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_Toc7518 </w:instrText>
          </w:r>
          <w:r>
            <w:rPr>
              <w:rFonts w:hint="default" w:ascii="Times New Roman" w:hAnsi="Times New Roman" w:cs="Times New Roman"/>
            </w:rPr>
            <w:fldChar w:fldCharType="separate"/>
          </w:r>
          <w:r>
            <w:rPr>
              <w:rFonts w:hint="eastAsia" w:ascii="Times New Roman" w:hAnsi="Times New Roman" w:cs="Times New Roman"/>
              <w:lang w:val="en-US" w:eastAsia="zh-CN"/>
            </w:rPr>
            <w:t>（三） 常见</w:t>
          </w:r>
          <w:r>
            <w:rPr>
              <w:rFonts w:hint="default" w:ascii="Times New Roman" w:hAnsi="Times New Roman" w:cs="Times New Roman"/>
              <w:lang w:val="en-US" w:eastAsia="zh-CN"/>
            </w:rPr>
            <w:t>特种设备定期检验</w:t>
          </w:r>
          <w:r>
            <w:rPr>
              <w:rFonts w:hint="eastAsia" w:ascii="Times New Roman" w:hAnsi="Times New Roman" w:cs="Times New Roman"/>
              <w:lang w:val="en-US" w:eastAsia="zh-CN"/>
            </w:rPr>
            <w:t>周期</w:t>
          </w:r>
          <w:r>
            <w:tab/>
          </w:r>
          <w:r>
            <w:fldChar w:fldCharType="begin"/>
          </w:r>
          <w:r>
            <w:instrText xml:space="preserve"> PAGEREF _Toc7518 \h </w:instrText>
          </w:r>
          <w:r>
            <w:fldChar w:fldCharType="separate"/>
          </w:r>
          <w:r>
            <w:t>18</w:t>
          </w:r>
          <w:r>
            <w:fldChar w:fldCharType="end"/>
          </w:r>
          <w:r>
            <w:rPr>
              <w:rFonts w:hint="default" w:ascii="Times New Roman" w:hAnsi="Times New Roman" w:cs="Times New Roman"/>
            </w:rPr>
            <w:fldChar w:fldCharType="end"/>
          </w:r>
        </w:p>
        <w:p w14:paraId="672916AE">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_Toc31839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（四） </w:t>
          </w:r>
          <w:r>
            <w:rPr>
              <w:rFonts w:hint="default" w:ascii="Times New Roman" w:hAnsi="Times New Roman" w:cs="Times New Roman"/>
              <w:lang w:val="en-US" w:eastAsia="zh-CN"/>
            </w:rPr>
            <w:t>特种设备维护保养和定期自行检查</w:t>
          </w:r>
          <w:r>
            <w:tab/>
          </w:r>
          <w:r>
            <w:fldChar w:fldCharType="begin"/>
          </w:r>
          <w:r>
            <w:instrText xml:space="preserve"> PAGEREF _Toc31839 \h </w:instrText>
          </w:r>
          <w:r>
            <w:fldChar w:fldCharType="separate"/>
          </w:r>
          <w:r>
            <w:t>21</w:t>
          </w:r>
          <w:r>
            <w:fldChar w:fldCharType="end"/>
          </w:r>
          <w:r>
            <w:rPr>
              <w:rFonts w:hint="default" w:ascii="Times New Roman" w:hAnsi="Times New Roman" w:cs="Times New Roman"/>
            </w:rPr>
            <w:fldChar w:fldCharType="end"/>
          </w:r>
        </w:p>
        <w:p w14:paraId="53E79C5D">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_Toc13166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（五） </w:t>
          </w:r>
          <w:r>
            <w:rPr>
              <w:rFonts w:hint="default" w:ascii="Times New Roman" w:hAnsi="Times New Roman" w:cs="Times New Roman"/>
              <w:lang w:val="en-US" w:eastAsia="zh-CN"/>
            </w:rPr>
            <w:t>特种设备日常使用状况记录</w:t>
          </w:r>
          <w:r>
            <w:tab/>
          </w:r>
          <w:r>
            <w:fldChar w:fldCharType="begin"/>
          </w:r>
          <w:r>
            <w:instrText xml:space="preserve"> PAGEREF _Toc13166 \h </w:instrText>
          </w:r>
          <w:r>
            <w:fldChar w:fldCharType="separate"/>
          </w:r>
          <w:r>
            <w:t>21</w:t>
          </w:r>
          <w:r>
            <w:fldChar w:fldCharType="end"/>
          </w:r>
          <w:r>
            <w:rPr>
              <w:rFonts w:hint="default" w:ascii="Times New Roman" w:hAnsi="Times New Roman" w:cs="Times New Roman"/>
            </w:rPr>
            <w:fldChar w:fldCharType="end"/>
          </w:r>
        </w:p>
        <w:p w14:paraId="3BB146B0">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_Toc8319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（六） </w:t>
          </w:r>
          <w:r>
            <w:rPr>
              <w:rFonts w:hint="default" w:ascii="Times New Roman" w:hAnsi="Times New Roman" w:cs="Times New Roman"/>
              <w:lang w:val="en-US" w:eastAsia="zh-CN"/>
            </w:rPr>
            <w:t>特种设备隐患排查治理</w:t>
          </w:r>
          <w:r>
            <w:tab/>
          </w:r>
          <w:r>
            <w:fldChar w:fldCharType="begin"/>
          </w:r>
          <w:r>
            <w:instrText xml:space="preserve"> PAGEREF _Toc8319 \h </w:instrText>
          </w:r>
          <w:r>
            <w:fldChar w:fldCharType="separate"/>
          </w:r>
          <w:r>
            <w:t>21</w:t>
          </w:r>
          <w:r>
            <w:fldChar w:fldCharType="end"/>
          </w:r>
          <w:r>
            <w:rPr>
              <w:rFonts w:hint="default" w:ascii="Times New Roman" w:hAnsi="Times New Roman" w:cs="Times New Roman"/>
            </w:rPr>
            <w:fldChar w:fldCharType="end"/>
          </w:r>
        </w:p>
        <w:p w14:paraId="3DF99EE3">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_Toc14147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八、 </w:t>
          </w:r>
          <w:r>
            <w:rPr>
              <w:rFonts w:hint="default" w:ascii="Times New Roman" w:hAnsi="Times New Roman" w:cs="Times New Roman"/>
              <w:lang w:val="en-US" w:eastAsia="zh-CN"/>
            </w:rPr>
            <w:t>落实高能耗特种设备节能要求</w:t>
          </w:r>
          <w:r>
            <w:tab/>
          </w:r>
          <w:r>
            <w:fldChar w:fldCharType="begin"/>
          </w:r>
          <w:r>
            <w:instrText xml:space="preserve"> PAGEREF _Toc14147 \h </w:instrText>
          </w:r>
          <w:r>
            <w:fldChar w:fldCharType="separate"/>
          </w:r>
          <w:r>
            <w:t>23</w:t>
          </w:r>
          <w:r>
            <w:fldChar w:fldCharType="end"/>
          </w:r>
          <w:r>
            <w:rPr>
              <w:rFonts w:hint="default" w:ascii="Times New Roman" w:hAnsi="Times New Roman" w:cs="Times New Roman"/>
            </w:rPr>
            <w:fldChar w:fldCharType="end"/>
          </w:r>
        </w:p>
        <w:p w14:paraId="1C10BA8F">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_Toc23296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（一） </w:t>
          </w:r>
          <w:r>
            <w:rPr>
              <w:rFonts w:hint="default" w:ascii="Times New Roman" w:hAnsi="Times New Roman" w:cs="Times New Roman"/>
              <w:lang w:val="en-US" w:eastAsia="zh-CN"/>
            </w:rPr>
            <w:t>能效测试</w:t>
          </w:r>
          <w:r>
            <w:tab/>
          </w:r>
          <w:r>
            <w:fldChar w:fldCharType="begin"/>
          </w:r>
          <w:r>
            <w:instrText xml:space="preserve"> PAGEREF _Toc23296 \h </w:instrText>
          </w:r>
          <w:r>
            <w:fldChar w:fldCharType="separate"/>
          </w:r>
          <w:r>
            <w:t>23</w:t>
          </w:r>
          <w:r>
            <w:fldChar w:fldCharType="end"/>
          </w:r>
          <w:r>
            <w:rPr>
              <w:rFonts w:hint="default" w:ascii="Times New Roman" w:hAnsi="Times New Roman" w:cs="Times New Roman"/>
            </w:rPr>
            <w:fldChar w:fldCharType="end"/>
          </w:r>
        </w:p>
        <w:p w14:paraId="25F80189">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_Toc29151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（二） </w:t>
          </w:r>
          <w:r>
            <w:rPr>
              <w:rFonts w:hint="default" w:ascii="Times New Roman" w:hAnsi="Times New Roman" w:cs="Times New Roman"/>
              <w:lang w:val="en-US" w:eastAsia="zh-CN"/>
            </w:rPr>
            <w:t>水（介）质定期检验</w:t>
          </w:r>
          <w:r>
            <w:tab/>
          </w:r>
          <w:r>
            <w:fldChar w:fldCharType="begin"/>
          </w:r>
          <w:r>
            <w:instrText xml:space="preserve"> PAGEREF _Toc29151 \h </w:instrText>
          </w:r>
          <w:r>
            <w:fldChar w:fldCharType="separate"/>
          </w:r>
          <w:r>
            <w:t>23</w:t>
          </w:r>
          <w:r>
            <w:fldChar w:fldCharType="end"/>
          </w:r>
          <w:r>
            <w:rPr>
              <w:rFonts w:hint="default" w:ascii="Times New Roman" w:hAnsi="Times New Roman" w:cs="Times New Roman"/>
            </w:rPr>
            <w:fldChar w:fldCharType="end"/>
          </w:r>
        </w:p>
        <w:p w14:paraId="2B162919">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_Toc14449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（三） </w:t>
          </w:r>
          <w:r>
            <w:rPr>
              <w:rFonts w:hint="default" w:ascii="Times New Roman" w:hAnsi="Times New Roman" w:cs="Times New Roman"/>
              <w:lang w:val="en-US" w:eastAsia="zh-CN"/>
            </w:rPr>
            <w:t>锅炉水汽常规化验</w:t>
          </w:r>
          <w:r>
            <w:tab/>
          </w:r>
          <w:r>
            <w:fldChar w:fldCharType="begin"/>
          </w:r>
          <w:r>
            <w:instrText xml:space="preserve"> PAGEREF _Toc14449 \h </w:instrText>
          </w:r>
          <w:r>
            <w:fldChar w:fldCharType="separate"/>
          </w:r>
          <w:r>
            <w:t>23</w:t>
          </w:r>
          <w:r>
            <w:fldChar w:fldCharType="end"/>
          </w:r>
          <w:r>
            <w:rPr>
              <w:rFonts w:hint="default" w:ascii="Times New Roman" w:hAnsi="Times New Roman" w:cs="Times New Roman"/>
            </w:rPr>
            <w:fldChar w:fldCharType="end"/>
          </w:r>
        </w:p>
        <w:p w14:paraId="56C5DD58">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_Toc20187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（四） </w:t>
          </w:r>
          <w:r>
            <w:rPr>
              <w:rFonts w:hint="default" w:ascii="Times New Roman" w:hAnsi="Times New Roman" w:cs="Times New Roman"/>
              <w:lang w:val="en-US" w:eastAsia="zh-CN"/>
            </w:rPr>
            <w:t>节能安全技术档案</w:t>
          </w:r>
          <w:r>
            <w:tab/>
          </w:r>
          <w:r>
            <w:fldChar w:fldCharType="begin"/>
          </w:r>
          <w:r>
            <w:instrText xml:space="preserve"> PAGEREF _Toc20187 \h </w:instrText>
          </w:r>
          <w:r>
            <w:fldChar w:fldCharType="separate"/>
          </w:r>
          <w:r>
            <w:t>24</w:t>
          </w:r>
          <w:r>
            <w:fldChar w:fldCharType="end"/>
          </w:r>
          <w:r>
            <w:rPr>
              <w:rFonts w:hint="default" w:ascii="Times New Roman" w:hAnsi="Times New Roman" w:cs="Times New Roman"/>
            </w:rPr>
            <w:fldChar w:fldCharType="end"/>
          </w:r>
        </w:p>
        <w:p w14:paraId="728609F9">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_Toc27174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九、 </w:t>
          </w:r>
          <w:r>
            <w:rPr>
              <w:rFonts w:hint="default" w:ascii="Times New Roman" w:hAnsi="Times New Roman" w:cs="Times New Roman"/>
              <w:lang w:val="en-US" w:eastAsia="zh-CN"/>
            </w:rPr>
            <w:t>特种设备专项应急预案和应急演练</w:t>
          </w:r>
          <w:r>
            <w:tab/>
          </w:r>
          <w:r>
            <w:fldChar w:fldCharType="begin"/>
          </w:r>
          <w:r>
            <w:instrText xml:space="preserve"> PAGEREF _Toc27174 \h </w:instrText>
          </w:r>
          <w:r>
            <w:fldChar w:fldCharType="separate"/>
          </w:r>
          <w:r>
            <w:t>25</w:t>
          </w:r>
          <w:r>
            <w:fldChar w:fldCharType="end"/>
          </w:r>
          <w:r>
            <w:rPr>
              <w:rFonts w:hint="default" w:ascii="Times New Roman" w:hAnsi="Times New Roman" w:cs="Times New Roman"/>
            </w:rPr>
            <w:fldChar w:fldCharType="end"/>
          </w:r>
        </w:p>
        <w:p w14:paraId="28F3E511">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_Toc26077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（一） </w:t>
          </w:r>
          <w:r>
            <w:rPr>
              <w:rFonts w:hint="default" w:ascii="Times New Roman" w:hAnsi="Times New Roman" w:cs="Times New Roman"/>
              <w:lang w:val="en-US" w:eastAsia="zh-CN"/>
            </w:rPr>
            <w:t>特种设备应急预案制定和演练要求</w:t>
          </w:r>
          <w:r>
            <w:tab/>
          </w:r>
          <w:r>
            <w:fldChar w:fldCharType="begin"/>
          </w:r>
          <w:r>
            <w:instrText xml:space="preserve"> PAGEREF _Toc26077 \h </w:instrText>
          </w:r>
          <w:r>
            <w:fldChar w:fldCharType="separate"/>
          </w:r>
          <w:r>
            <w:t>25</w:t>
          </w:r>
          <w:r>
            <w:fldChar w:fldCharType="end"/>
          </w:r>
          <w:r>
            <w:rPr>
              <w:rFonts w:hint="default" w:ascii="Times New Roman" w:hAnsi="Times New Roman" w:cs="Times New Roman"/>
            </w:rPr>
            <w:fldChar w:fldCharType="end"/>
          </w:r>
        </w:p>
        <w:p w14:paraId="0334C95C">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_Toc3684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（二） </w:t>
          </w:r>
          <w:r>
            <w:rPr>
              <w:rFonts w:hint="default" w:ascii="Times New Roman" w:hAnsi="Times New Roman" w:cs="Times New Roman"/>
              <w:lang w:val="en-US" w:eastAsia="zh-CN"/>
            </w:rPr>
            <w:t>特种设备专项应急预案编制要求</w:t>
          </w:r>
          <w:r>
            <w:tab/>
          </w:r>
          <w:r>
            <w:fldChar w:fldCharType="begin"/>
          </w:r>
          <w:r>
            <w:instrText xml:space="preserve"> PAGEREF _Toc3684 \h </w:instrText>
          </w:r>
          <w:r>
            <w:fldChar w:fldCharType="separate"/>
          </w:r>
          <w:r>
            <w:t>25</w:t>
          </w:r>
          <w:r>
            <w:fldChar w:fldCharType="end"/>
          </w:r>
          <w:r>
            <w:rPr>
              <w:rFonts w:hint="default" w:ascii="Times New Roman" w:hAnsi="Times New Roman" w:cs="Times New Roman"/>
            </w:rPr>
            <w:fldChar w:fldCharType="end"/>
          </w:r>
        </w:p>
        <w:p w14:paraId="2085D25A">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_Toc29816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（三） </w:t>
          </w:r>
          <w:r>
            <w:rPr>
              <w:rFonts w:hint="default" w:ascii="Times New Roman" w:hAnsi="Times New Roman" w:cs="Times New Roman"/>
              <w:lang w:val="en-US" w:eastAsia="zh-CN"/>
            </w:rPr>
            <w:t>是否按设备类别制定专项应急预案</w:t>
          </w:r>
          <w:r>
            <w:tab/>
          </w:r>
          <w:r>
            <w:fldChar w:fldCharType="begin"/>
          </w:r>
          <w:r>
            <w:instrText xml:space="preserve"> PAGEREF _Toc29816 \h </w:instrText>
          </w:r>
          <w:r>
            <w:fldChar w:fldCharType="separate"/>
          </w:r>
          <w:r>
            <w:t>26</w:t>
          </w:r>
          <w:r>
            <w:fldChar w:fldCharType="end"/>
          </w:r>
          <w:r>
            <w:rPr>
              <w:rFonts w:hint="default" w:ascii="Times New Roman" w:hAnsi="Times New Roman" w:cs="Times New Roman"/>
            </w:rPr>
            <w:fldChar w:fldCharType="end"/>
          </w:r>
        </w:p>
        <w:p w14:paraId="2302EF0D">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_Toc19248 </w:instrText>
          </w:r>
          <w:r>
            <w:rPr>
              <w:rFonts w:hint="default" w:ascii="Times New Roman" w:hAnsi="Times New Roman" w:cs="Times New Roman"/>
            </w:rPr>
            <w:fldChar w:fldCharType="separate"/>
          </w:r>
          <w:r>
            <w:rPr>
              <w:rFonts w:hint="eastAsia" w:ascii="Times New Roman" w:hAnsi="Times New Roman" w:cs="Times New Roman"/>
              <w:lang w:val="en-US" w:eastAsia="zh-CN"/>
            </w:rPr>
            <w:t>十、 特种设备安全信息化建设</w:t>
          </w:r>
          <w:r>
            <w:tab/>
          </w:r>
          <w:r>
            <w:fldChar w:fldCharType="begin"/>
          </w:r>
          <w:r>
            <w:instrText xml:space="preserve"> PAGEREF _Toc19248 \h </w:instrText>
          </w:r>
          <w:r>
            <w:fldChar w:fldCharType="separate"/>
          </w:r>
          <w:r>
            <w:t>27</w:t>
          </w:r>
          <w:r>
            <w:fldChar w:fldCharType="end"/>
          </w:r>
          <w:r>
            <w:rPr>
              <w:rFonts w:hint="default" w:ascii="Times New Roman" w:hAnsi="Times New Roman" w:cs="Times New Roman"/>
            </w:rPr>
            <w:fldChar w:fldCharType="end"/>
          </w:r>
        </w:p>
        <w:p w14:paraId="1579B37B">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_Toc29788 </w:instrText>
          </w:r>
          <w:r>
            <w:rPr>
              <w:rFonts w:hint="default" w:ascii="Times New Roman" w:hAnsi="Times New Roman" w:cs="Times New Roman"/>
            </w:rPr>
            <w:fldChar w:fldCharType="separate"/>
          </w:r>
          <w:r>
            <w:rPr>
              <w:rFonts w:hint="eastAsia" w:ascii="Times New Roman" w:hAnsi="Times New Roman" w:cs="Times New Roman"/>
              <w:lang w:val="en-US" w:eastAsia="zh-CN"/>
            </w:rPr>
            <w:t>十一、特种设备重大事故隐患判定标准</w:t>
          </w:r>
          <w:r>
            <w:tab/>
          </w:r>
          <w:r>
            <w:fldChar w:fldCharType="begin"/>
          </w:r>
          <w:r>
            <w:instrText xml:space="preserve"> PAGEREF _Toc29788 \h </w:instrText>
          </w:r>
          <w:r>
            <w:fldChar w:fldCharType="separate"/>
          </w:r>
          <w:r>
            <w:t>28</w:t>
          </w:r>
          <w:r>
            <w:fldChar w:fldCharType="end"/>
          </w:r>
          <w:r>
            <w:rPr>
              <w:rFonts w:hint="default" w:ascii="Times New Roman" w:hAnsi="Times New Roman" w:cs="Times New Roman"/>
            </w:rPr>
            <w:fldChar w:fldCharType="end"/>
          </w:r>
        </w:p>
        <w:p w14:paraId="0726297B">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_Toc22606 </w:instrText>
          </w:r>
          <w:r>
            <w:rPr>
              <w:rFonts w:hint="default" w:ascii="Times New Roman" w:hAnsi="Times New Roman" w:cs="Times New Roman"/>
            </w:rPr>
            <w:fldChar w:fldCharType="separate"/>
          </w:r>
          <w:r>
            <w:rPr>
              <w:rFonts w:hint="eastAsia" w:ascii="Times New Roman" w:hAnsi="Times New Roman" w:cs="Times New Roman"/>
              <w:lang w:val="en-US" w:eastAsia="zh-CN"/>
            </w:rPr>
            <w:t>十二、常用法律法规、安全技术规范</w:t>
          </w:r>
          <w:r>
            <w:tab/>
          </w:r>
          <w:r>
            <w:fldChar w:fldCharType="begin"/>
          </w:r>
          <w:r>
            <w:instrText xml:space="preserve"> PAGEREF _Toc22606 \h </w:instrText>
          </w:r>
          <w:r>
            <w:fldChar w:fldCharType="separate"/>
          </w:r>
          <w:r>
            <w:t>32</w:t>
          </w:r>
          <w:r>
            <w:fldChar w:fldCharType="end"/>
          </w:r>
          <w:r>
            <w:rPr>
              <w:rFonts w:hint="default" w:ascii="Times New Roman" w:hAnsi="Times New Roman" w:cs="Times New Roman"/>
            </w:rPr>
            <w:fldChar w:fldCharType="end"/>
          </w:r>
        </w:p>
        <w:p w14:paraId="34FB0B1D">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_Toc6084 </w:instrText>
          </w:r>
          <w:r>
            <w:rPr>
              <w:rFonts w:hint="default" w:ascii="Times New Roman" w:hAnsi="Times New Roman" w:cs="Times New Roman"/>
            </w:rPr>
            <w:fldChar w:fldCharType="separate"/>
          </w:r>
          <w:r>
            <w:rPr>
              <w:rFonts w:hint="eastAsia" w:ascii="Times New Roman" w:hAnsi="Times New Roman" w:cs="Times New Roman"/>
              <w:lang w:val="en-US" w:eastAsia="zh-CN"/>
            </w:rPr>
            <w:t>（一）</w:t>
          </w:r>
          <w:r>
            <w:rPr>
              <w:rFonts w:hint="eastAsia"/>
              <w:lang w:val="en-US" w:eastAsia="zh-CN"/>
            </w:rPr>
            <w:t>常</w:t>
          </w:r>
          <w:r>
            <w:rPr>
              <w:rFonts w:hint="default" w:ascii="Times New Roman" w:hAnsi="Times New Roman" w:cs="Times New Roman"/>
              <w:lang w:val="en-US" w:eastAsia="zh-CN"/>
            </w:rPr>
            <w:t>用法律法规</w:t>
          </w:r>
          <w:r>
            <w:tab/>
          </w:r>
          <w:r>
            <w:fldChar w:fldCharType="begin"/>
          </w:r>
          <w:r>
            <w:instrText xml:space="preserve"> PAGEREF _Toc6084 \h </w:instrText>
          </w:r>
          <w:r>
            <w:fldChar w:fldCharType="separate"/>
          </w:r>
          <w:r>
            <w:t>32</w:t>
          </w:r>
          <w:r>
            <w:fldChar w:fldCharType="end"/>
          </w:r>
          <w:r>
            <w:rPr>
              <w:rFonts w:hint="default" w:ascii="Times New Roman" w:hAnsi="Times New Roman" w:cs="Times New Roman"/>
            </w:rPr>
            <w:fldChar w:fldCharType="end"/>
          </w:r>
        </w:p>
        <w:p w14:paraId="6652FB28">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_Toc14959 </w:instrText>
          </w:r>
          <w:r>
            <w:rPr>
              <w:rFonts w:hint="default" w:ascii="Times New Roman" w:hAnsi="Times New Roman" w:cs="Times New Roman"/>
            </w:rPr>
            <w:fldChar w:fldCharType="separate"/>
          </w:r>
          <w:r>
            <w:rPr>
              <w:rFonts w:hint="eastAsia" w:ascii="Times New Roman" w:hAnsi="Times New Roman" w:cs="Times New Roman"/>
              <w:lang w:val="en-US" w:eastAsia="zh-CN"/>
            </w:rPr>
            <w:t>（二）</w:t>
          </w:r>
          <w:r>
            <w:rPr>
              <w:rFonts w:hint="default" w:ascii="Times New Roman" w:hAnsi="Times New Roman" w:cs="Times New Roman"/>
              <w:lang w:val="en-US" w:eastAsia="zh-CN"/>
            </w:rPr>
            <w:t>常用部门规章</w:t>
          </w:r>
          <w:r>
            <w:tab/>
          </w:r>
          <w:r>
            <w:fldChar w:fldCharType="begin"/>
          </w:r>
          <w:r>
            <w:instrText xml:space="preserve"> PAGEREF _Toc14959 \h </w:instrText>
          </w:r>
          <w:r>
            <w:fldChar w:fldCharType="separate"/>
          </w:r>
          <w:r>
            <w:t>32</w:t>
          </w:r>
          <w:r>
            <w:fldChar w:fldCharType="end"/>
          </w:r>
          <w:r>
            <w:rPr>
              <w:rFonts w:hint="default" w:ascii="Times New Roman" w:hAnsi="Times New Roman" w:cs="Times New Roman"/>
            </w:rPr>
            <w:fldChar w:fldCharType="end"/>
          </w:r>
        </w:p>
        <w:p w14:paraId="23C6C847">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_Toc1659 </w:instrText>
          </w:r>
          <w:r>
            <w:rPr>
              <w:rFonts w:hint="default" w:ascii="Times New Roman" w:hAnsi="Times New Roman" w:cs="Times New Roman"/>
            </w:rPr>
            <w:fldChar w:fldCharType="separate"/>
          </w:r>
          <w:r>
            <w:rPr>
              <w:rFonts w:hint="eastAsia" w:ascii="Times New Roman" w:hAnsi="Times New Roman" w:cs="Times New Roman"/>
              <w:lang w:val="en-US" w:eastAsia="zh-CN"/>
            </w:rPr>
            <w:t>（三）</w:t>
          </w:r>
          <w:r>
            <w:rPr>
              <w:rFonts w:hint="default" w:ascii="Times New Roman" w:hAnsi="Times New Roman" w:cs="Times New Roman"/>
              <w:lang w:val="en-US" w:eastAsia="zh-CN"/>
            </w:rPr>
            <w:t>常用安全技术规范</w:t>
          </w:r>
          <w:r>
            <w:tab/>
          </w:r>
          <w:r>
            <w:fldChar w:fldCharType="begin"/>
          </w:r>
          <w:r>
            <w:instrText xml:space="preserve"> PAGEREF _Toc1659 \h </w:instrText>
          </w:r>
          <w:r>
            <w:fldChar w:fldCharType="separate"/>
          </w:r>
          <w:r>
            <w:t>33</w:t>
          </w:r>
          <w:r>
            <w:fldChar w:fldCharType="end"/>
          </w:r>
          <w:r>
            <w:rPr>
              <w:rFonts w:hint="default" w:ascii="Times New Roman" w:hAnsi="Times New Roman" w:cs="Times New Roman"/>
            </w:rPr>
            <w:fldChar w:fldCharType="end"/>
          </w:r>
        </w:p>
        <w:p w14:paraId="24345483">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_Toc16546 </w:instrText>
          </w:r>
          <w:r>
            <w:rPr>
              <w:rFonts w:hint="default" w:ascii="Times New Roman" w:hAnsi="Times New Roman" w:cs="Times New Roman"/>
            </w:rPr>
            <w:fldChar w:fldCharType="separate"/>
          </w:r>
          <w:r>
            <w:rPr>
              <w:rFonts w:hint="eastAsia" w:ascii="Times New Roman" w:hAnsi="Times New Roman" w:cs="Times New Roman"/>
              <w:lang w:val="en-US" w:eastAsia="zh-CN"/>
            </w:rPr>
            <w:t>十三、使用单位办事指南</w:t>
          </w:r>
          <w:r>
            <w:tab/>
          </w:r>
          <w:r>
            <w:fldChar w:fldCharType="begin"/>
          </w:r>
          <w:r>
            <w:instrText xml:space="preserve"> PAGEREF _Toc16546 \h </w:instrText>
          </w:r>
          <w:r>
            <w:fldChar w:fldCharType="separate"/>
          </w:r>
          <w:r>
            <w:t>34</w:t>
          </w:r>
          <w:r>
            <w:fldChar w:fldCharType="end"/>
          </w:r>
          <w:r>
            <w:rPr>
              <w:rFonts w:hint="default" w:ascii="Times New Roman" w:hAnsi="Times New Roman" w:cs="Times New Roman"/>
            </w:rPr>
            <w:fldChar w:fldCharType="end"/>
          </w:r>
        </w:p>
        <w:p w14:paraId="66116C69">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_Toc18424 </w:instrText>
          </w:r>
          <w:r>
            <w:rPr>
              <w:rFonts w:hint="default" w:ascii="Times New Roman" w:hAnsi="Times New Roman" w:cs="Times New Roman"/>
            </w:rPr>
            <w:fldChar w:fldCharType="separate"/>
          </w:r>
          <w:r>
            <w:rPr>
              <w:rFonts w:hint="default"/>
            </w:rPr>
            <w:t>（一）办理施工告知</w:t>
          </w:r>
          <w:r>
            <w:tab/>
          </w:r>
          <w:r>
            <w:fldChar w:fldCharType="begin"/>
          </w:r>
          <w:r>
            <w:instrText xml:space="preserve"> PAGEREF _Toc18424 \h </w:instrText>
          </w:r>
          <w:r>
            <w:fldChar w:fldCharType="separate"/>
          </w:r>
          <w:r>
            <w:t>34</w:t>
          </w:r>
          <w:r>
            <w:fldChar w:fldCharType="end"/>
          </w:r>
          <w:r>
            <w:rPr>
              <w:rFonts w:hint="default" w:ascii="Times New Roman" w:hAnsi="Times New Roman" w:cs="Times New Roman"/>
            </w:rPr>
            <w:fldChar w:fldCharType="end"/>
          </w:r>
        </w:p>
        <w:p w14:paraId="39E9CB47">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_Toc7815 </w:instrText>
          </w:r>
          <w:r>
            <w:rPr>
              <w:rFonts w:hint="default" w:ascii="Times New Roman" w:hAnsi="Times New Roman" w:cs="Times New Roman"/>
            </w:rPr>
            <w:fldChar w:fldCharType="separate"/>
          </w:r>
          <w:r>
            <w:rPr>
              <w:rFonts w:hint="default"/>
            </w:rPr>
            <w:t>（二）办理使用登记</w:t>
          </w:r>
          <w:r>
            <w:tab/>
          </w:r>
          <w:r>
            <w:fldChar w:fldCharType="begin"/>
          </w:r>
          <w:r>
            <w:instrText xml:space="preserve"> PAGEREF _Toc7815 \h </w:instrText>
          </w:r>
          <w:r>
            <w:fldChar w:fldCharType="separate"/>
          </w:r>
          <w:r>
            <w:t>35</w:t>
          </w:r>
          <w:r>
            <w:fldChar w:fldCharType="end"/>
          </w:r>
          <w:r>
            <w:rPr>
              <w:rFonts w:hint="default" w:ascii="Times New Roman" w:hAnsi="Times New Roman" w:cs="Times New Roman"/>
            </w:rPr>
            <w:fldChar w:fldCharType="end"/>
          </w:r>
        </w:p>
        <w:p w14:paraId="48DC3F8A">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_Toc27481 </w:instrText>
          </w:r>
          <w:r>
            <w:rPr>
              <w:rFonts w:hint="default" w:ascii="Times New Roman" w:hAnsi="Times New Roman" w:cs="Times New Roman"/>
            </w:rPr>
            <w:fldChar w:fldCharType="separate"/>
          </w:r>
          <w:r>
            <w:rPr>
              <w:rFonts w:hint="default"/>
            </w:rPr>
            <w:t>（三）</w:t>
          </w:r>
          <w:r>
            <w:rPr>
              <w:rFonts w:hint="eastAsia"/>
              <w:lang w:eastAsia="zh-CN"/>
            </w:rPr>
            <w:t>申报安装监检和定期</w:t>
          </w:r>
          <w:r>
            <w:rPr>
              <w:rFonts w:hint="default"/>
            </w:rPr>
            <w:t>检验</w:t>
          </w:r>
          <w:r>
            <w:tab/>
          </w:r>
          <w:r>
            <w:fldChar w:fldCharType="begin"/>
          </w:r>
          <w:r>
            <w:instrText xml:space="preserve"> PAGEREF _Toc27481 \h </w:instrText>
          </w:r>
          <w:r>
            <w:fldChar w:fldCharType="separate"/>
          </w:r>
          <w:r>
            <w:t>36</w:t>
          </w:r>
          <w:r>
            <w:fldChar w:fldCharType="end"/>
          </w:r>
          <w:r>
            <w:rPr>
              <w:rFonts w:hint="default" w:ascii="Times New Roman" w:hAnsi="Times New Roman" w:cs="Times New Roman"/>
            </w:rPr>
            <w:fldChar w:fldCharType="end"/>
          </w:r>
        </w:p>
        <w:p w14:paraId="289CDDC1">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_Toc4305 </w:instrText>
          </w:r>
          <w:r>
            <w:rPr>
              <w:rFonts w:hint="default" w:ascii="Times New Roman" w:hAnsi="Times New Roman" w:cs="Times New Roman"/>
            </w:rPr>
            <w:fldChar w:fldCharType="separate"/>
          </w:r>
          <w:r>
            <w:rPr>
              <w:rFonts w:hint="eastAsia"/>
              <w:lang w:val="en-US" w:eastAsia="zh-CN"/>
            </w:rPr>
            <w:t>1.申报安装监检</w:t>
          </w:r>
          <w:r>
            <w:tab/>
          </w:r>
          <w:r>
            <w:fldChar w:fldCharType="begin"/>
          </w:r>
          <w:r>
            <w:instrText xml:space="preserve"> PAGEREF _Toc4305 \h </w:instrText>
          </w:r>
          <w:r>
            <w:fldChar w:fldCharType="separate"/>
          </w:r>
          <w:r>
            <w:t>36</w:t>
          </w:r>
          <w:r>
            <w:fldChar w:fldCharType="end"/>
          </w:r>
          <w:r>
            <w:rPr>
              <w:rFonts w:hint="default" w:ascii="Times New Roman" w:hAnsi="Times New Roman" w:cs="Times New Roman"/>
            </w:rPr>
            <w:fldChar w:fldCharType="end"/>
          </w:r>
        </w:p>
        <w:p w14:paraId="2DA04FB6">
          <w:pPr>
            <w:pStyle w:val="8"/>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_Toc17486 </w:instrText>
          </w:r>
          <w:r>
            <w:rPr>
              <w:rFonts w:hint="default" w:ascii="Times New Roman" w:hAnsi="Times New Roman" w:cs="Times New Roman"/>
            </w:rPr>
            <w:fldChar w:fldCharType="separate"/>
          </w:r>
          <w:r>
            <w:rPr>
              <w:rFonts w:hint="eastAsia"/>
              <w:lang w:val="en-US" w:eastAsia="zh-CN"/>
            </w:rPr>
            <w:t>2.申报定期检验</w:t>
          </w:r>
          <w:r>
            <w:tab/>
          </w:r>
          <w:r>
            <w:fldChar w:fldCharType="begin"/>
          </w:r>
          <w:r>
            <w:instrText xml:space="preserve"> PAGEREF _Toc17486 \h </w:instrText>
          </w:r>
          <w:r>
            <w:fldChar w:fldCharType="separate"/>
          </w:r>
          <w:r>
            <w:t>36</w:t>
          </w:r>
          <w:r>
            <w:fldChar w:fldCharType="end"/>
          </w:r>
          <w:r>
            <w:rPr>
              <w:rFonts w:hint="default" w:ascii="Times New Roman" w:hAnsi="Times New Roman" w:cs="Times New Roman"/>
            </w:rPr>
            <w:fldChar w:fldCharType="end"/>
          </w:r>
        </w:p>
        <w:p w14:paraId="36481564">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_Toc10008 </w:instrText>
          </w:r>
          <w:r>
            <w:rPr>
              <w:rFonts w:hint="default" w:ascii="Times New Roman" w:hAnsi="Times New Roman" w:cs="Times New Roman"/>
            </w:rPr>
            <w:fldChar w:fldCharType="separate"/>
          </w:r>
          <w:r>
            <w:rPr>
              <w:rFonts w:hint="default"/>
            </w:rPr>
            <w:t>（四）特种设备作业人员考核发证及复审</w:t>
          </w:r>
          <w:r>
            <w:tab/>
          </w:r>
          <w:r>
            <w:fldChar w:fldCharType="begin"/>
          </w:r>
          <w:r>
            <w:instrText xml:space="preserve"> PAGEREF _Toc10008 \h </w:instrText>
          </w:r>
          <w:r>
            <w:fldChar w:fldCharType="separate"/>
          </w:r>
          <w:r>
            <w:t>37</w:t>
          </w:r>
          <w:r>
            <w:fldChar w:fldCharType="end"/>
          </w:r>
          <w:r>
            <w:rPr>
              <w:rFonts w:hint="default" w:ascii="Times New Roman" w:hAnsi="Times New Roman" w:cs="Times New Roman"/>
            </w:rPr>
            <w:fldChar w:fldCharType="end"/>
          </w:r>
        </w:p>
        <w:p w14:paraId="71356788">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_Toc3114 </w:instrText>
          </w:r>
          <w:r>
            <w:rPr>
              <w:rFonts w:hint="default" w:ascii="Times New Roman" w:hAnsi="Times New Roman" w:cs="Times New Roman"/>
            </w:rPr>
            <w:fldChar w:fldCharType="separate"/>
          </w:r>
          <w:r>
            <w:rPr>
              <w:rFonts w:hint="default"/>
            </w:rPr>
            <w:t>（</w:t>
          </w:r>
          <w:r>
            <w:rPr>
              <w:rFonts w:hint="eastAsia"/>
              <w:lang w:eastAsia="zh-CN"/>
            </w:rPr>
            <w:t>五</w:t>
          </w:r>
          <w:r>
            <w:rPr>
              <w:rFonts w:hint="default"/>
            </w:rPr>
            <w:t>）</w:t>
          </w:r>
          <w:r>
            <w:rPr>
              <w:rFonts w:hint="eastAsia"/>
              <w:lang w:eastAsia="zh-CN"/>
            </w:rPr>
            <w:t>安全管理和</w:t>
          </w:r>
          <w:r>
            <w:rPr>
              <w:rFonts w:hint="default"/>
            </w:rPr>
            <w:t>作业人员</w:t>
          </w:r>
          <w:r>
            <w:rPr>
              <w:rFonts w:hint="eastAsia"/>
              <w:lang w:eastAsia="zh-CN"/>
            </w:rPr>
            <w:t>考试发证流程图</w:t>
          </w:r>
          <w:r>
            <w:tab/>
          </w:r>
          <w:r>
            <w:fldChar w:fldCharType="begin"/>
          </w:r>
          <w:r>
            <w:instrText xml:space="preserve"> PAGEREF _Toc3114 \h </w:instrText>
          </w:r>
          <w:r>
            <w:fldChar w:fldCharType="separate"/>
          </w:r>
          <w:r>
            <w:t>38</w:t>
          </w:r>
          <w:r>
            <w:fldChar w:fldCharType="end"/>
          </w:r>
          <w:r>
            <w:rPr>
              <w:rFonts w:hint="default" w:ascii="Times New Roman" w:hAnsi="Times New Roman" w:cs="Times New Roman"/>
            </w:rPr>
            <w:fldChar w:fldCharType="end"/>
          </w:r>
          <w:bookmarkStart w:id="67" w:name="_GoBack"/>
          <w:bookmarkEnd w:id="67"/>
        </w:p>
        <w:p w14:paraId="1D034292">
          <w:pPr>
            <w:pStyle w:val="11"/>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_Toc25873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十四、 </w:t>
          </w:r>
          <w:r>
            <w:rPr>
              <w:rFonts w:hint="default" w:ascii="Times New Roman" w:hAnsi="Times New Roman" w:cs="Times New Roman"/>
              <w:lang w:val="en-US" w:eastAsia="zh-CN"/>
            </w:rPr>
            <w:t>附件</w:t>
          </w:r>
          <w:r>
            <w:tab/>
          </w:r>
          <w:r>
            <w:fldChar w:fldCharType="begin"/>
          </w:r>
          <w:r>
            <w:instrText xml:space="preserve"> PAGEREF _Toc25873 \h </w:instrText>
          </w:r>
          <w:r>
            <w:fldChar w:fldCharType="separate"/>
          </w:r>
          <w:r>
            <w:t>39</w:t>
          </w:r>
          <w:r>
            <w:fldChar w:fldCharType="end"/>
          </w:r>
          <w:r>
            <w:rPr>
              <w:rFonts w:hint="default" w:ascii="Times New Roman" w:hAnsi="Times New Roman" w:cs="Times New Roman"/>
            </w:rPr>
            <w:fldChar w:fldCharType="end"/>
          </w:r>
        </w:p>
        <w:p w14:paraId="33DBF1C5">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_Toc28856 </w:instrText>
          </w:r>
          <w:r>
            <w:rPr>
              <w:rFonts w:hint="default" w:ascii="Times New Roman" w:hAnsi="Times New Roman" w:cs="Times New Roman"/>
            </w:rPr>
            <w:fldChar w:fldCharType="separate"/>
          </w:r>
          <w:r>
            <w:rPr>
              <w:rFonts w:hint="default"/>
              <w:bCs/>
              <w:lang w:val="en-US" w:eastAsia="zh-CN"/>
            </w:rPr>
            <w:t>附件1</w:t>
          </w:r>
          <w:r>
            <w:rPr>
              <w:rFonts w:hint="eastAsia"/>
              <w:bCs/>
              <w:lang w:val="en-US" w:eastAsia="zh-CN"/>
            </w:rPr>
            <w:t>安全管理机构和安全管理人员参考模板</w:t>
          </w:r>
          <w:r>
            <w:tab/>
          </w:r>
          <w:r>
            <w:fldChar w:fldCharType="begin"/>
          </w:r>
          <w:r>
            <w:instrText xml:space="preserve"> PAGEREF _Toc28856 \h </w:instrText>
          </w:r>
          <w:r>
            <w:fldChar w:fldCharType="separate"/>
          </w:r>
          <w:r>
            <w:t>40</w:t>
          </w:r>
          <w:r>
            <w:fldChar w:fldCharType="end"/>
          </w:r>
          <w:r>
            <w:rPr>
              <w:rFonts w:hint="default" w:ascii="Times New Roman" w:hAnsi="Times New Roman" w:cs="Times New Roman"/>
            </w:rPr>
            <w:fldChar w:fldCharType="end"/>
          </w:r>
        </w:p>
        <w:p w14:paraId="18A10C07">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_Toc16030 </w:instrText>
          </w:r>
          <w:r>
            <w:rPr>
              <w:rFonts w:hint="default" w:ascii="Times New Roman" w:hAnsi="Times New Roman" w:cs="Times New Roman"/>
            </w:rPr>
            <w:fldChar w:fldCharType="separate"/>
          </w:r>
          <w:r>
            <w:rPr>
              <w:rFonts w:hint="default"/>
              <w:bCs/>
              <w:lang w:val="en-US" w:eastAsia="zh-CN"/>
            </w:rPr>
            <w:t>附件2</w:t>
          </w:r>
          <w:r>
            <w:rPr>
              <w:rFonts w:hint="default"/>
              <w:bCs/>
              <w:lang w:eastAsia="zh-CN"/>
            </w:rPr>
            <w:t>特种设备安全管理制度参考模板</w:t>
          </w:r>
          <w:r>
            <w:tab/>
          </w:r>
          <w:r>
            <w:fldChar w:fldCharType="begin"/>
          </w:r>
          <w:r>
            <w:instrText xml:space="preserve"> PAGEREF _Toc16030 \h </w:instrText>
          </w:r>
          <w:r>
            <w:fldChar w:fldCharType="separate"/>
          </w:r>
          <w:r>
            <w:t>43</w:t>
          </w:r>
          <w:r>
            <w:fldChar w:fldCharType="end"/>
          </w:r>
          <w:r>
            <w:rPr>
              <w:rFonts w:hint="default" w:ascii="Times New Roman" w:hAnsi="Times New Roman" w:cs="Times New Roman"/>
            </w:rPr>
            <w:fldChar w:fldCharType="end"/>
          </w:r>
        </w:p>
        <w:p w14:paraId="121CB15C">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_Toc9866 </w:instrText>
          </w:r>
          <w:r>
            <w:rPr>
              <w:rFonts w:hint="default" w:ascii="Times New Roman" w:hAnsi="Times New Roman" w:cs="Times New Roman"/>
            </w:rPr>
            <w:fldChar w:fldCharType="separate"/>
          </w:r>
          <w:r>
            <w:rPr>
              <w:rFonts w:hint="default"/>
              <w:bCs/>
              <w:lang w:val="en-US" w:eastAsia="zh-CN"/>
            </w:rPr>
            <w:t>附件</w:t>
          </w:r>
          <w:r>
            <w:rPr>
              <w:rFonts w:hint="eastAsia"/>
              <w:bCs/>
              <w:lang w:val="en-US" w:eastAsia="zh-CN"/>
            </w:rPr>
            <w:t>3</w:t>
          </w:r>
          <w:r>
            <w:rPr>
              <w:rFonts w:hint="default"/>
              <w:bCs/>
              <w:lang w:eastAsia="zh-CN"/>
            </w:rPr>
            <w:t>特种设备日管控、周排查、月调度制度</w:t>
          </w:r>
          <w:r>
            <w:rPr>
              <w:rFonts w:hint="default"/>
              <w:bCs/>
              <w:lang w:val="en-US" w:eastAsia="zh-CN"/>
            </w:rPr>
            <w:t>参考模板</w:t>
          </w:r>
          <w:r>
            <w:tab/>
          </w:r>
          <w:r>
            <w:fldChar w:fldCharType="begin"/>
          </w:r>
          <w:r>
            <w:instrText xml:space="preserve"> PAGEREF _Toc9866 \h </w:instrText>
          </w:r>
          <w:r>
            <w:fldChar w:fldCharType="separate"/>
          </w:r>
          <w:r>
            <w:t>63</w:t>
          </w:r>
          <w:r>
            <w:fldChar w:fldCharType="end"/>
          </w:r>
          <w:r>
            <w:rPr>
              <w:rFonts w:hint="default" w:ascii="Times New Roman" w:hAnsi="Times New Roman" w:cs="Times New Roman"/>
            </w:rPr>
            <w:fldChar w:fldCharType="end"/>
          </w:r>
        </w:p>
        <w:p w14:paraId="5FC6D696">
          <w:pPr>
            <w:pStyle w:val="12"/>
            <w:tabs>
              <w:tab w:val="right" w:leader="dot" w:pos="8306"/>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_Toc19805 </w:instrText>
          </w:r>
          <w:r>
            <w:rPr>
              <w:rFonts w:hint="default" w:ascii="Times New Roman" w:hAnsi="Times New Roman" w:cs="Times New Roman"/>
            </w:rPr>
            <w:fldChar w:fldCharType="separate"/>
          </w:r>
          <w:r>
            <w:rPr>
              <w:rFonts w:hint="default"/>
              <w:bCs/>
              <w:lang w:val="en-US" w:eastAsia="zh-CN"/>
            </w:rPr>
            <w:t>附件</w:t>
          </w:r>
          <w:r>
            <w:rPr>
              <w:rFonts w:hint="eastAsia"/>
              <w:bCs/>
              <w:lang w:val="en-US" w:eastAsia="zh-CN"/>
            </w:rPr>
            <w:t>4</w:t>
          </w:r>
          <w:r>
            <w:rPr>
              <w:rFonts w:hint="default"/>
              <w:bCs/>
              <w:lang w:eastAsia="zh-CN"/>
            </w:rPr>
            <w:t>特种设备</w:t>
          </w:r>
          <w:r>
            <w:rPr>
              <w:rFonts w:hint="eastAsia"/>
              <w:bCs/>
              <w:lang w:eastAsia="zh-CN"/>
            </w:rPr>
            <w:t>安全风险管控清单</w:t>
          </w:r>
          <w:r>
            <w:rPr>
              <w:rFonts w:hint="default"/>
              <w:bCs/>
              <w:lang w:val="en-US" w:eastAsia="zh-CN"/>
            </w:rPr>
            <w:t>参考模板</w:t>
          </w:r>
          <w:r>
            <w:tab/>
          </w:r>
          <w:r>
            <w:fldChar w:fldCharType="begin"/>
          </w:r>
          <w:r>
            <w:instrText xml:space="preserve"> PAGEREF _Toc19805 \h </w:instrText>
          </w:r>
          <w:r>
            <w:fldChar w:fldCharType="separate"/>
          </w:r>
          <w:r>
            <w:t>70</w:t>
          </w:r>
          <w:r>
            <w:fldChar w:fldCharType="end"/>
          </w:r>
          <w:r>
            <w:rPr>
              <w:rFonts w:hint="default" w:ascii="Times New Roman" w:hAnsi="Times New Roman" w:cs="Times New Roman"/>
            </w:rPr>
            <w:fldChar w:fldCharType="end"/>
          </w:r>
        </w:p>
        <w:p w14:paraId="1AC680A7">
          <w:pPr>
            <w:rPr>
              <w:rFonts w:hint="default" w:ascii="Times New Roman" w:hAnsi="Times New Roman" w:cs="Times New Roma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cs="Times New Roman"/>
            </w:rPr>
            <w:fldChar w:fldCharType="end"/>
          </w:r>
        </w:p>
      </w:sdtContent>
    </w:sdt>
    <w:p w14:paraId="5C659939">
      <w:pPr>
        <w:pStyle w:val="3"/>
        <w:bidi w:val="0"/>
        <w:rPr>
          <w:rFonts w:hint="default" w:ascii="Times New Roman" w:hAnsi="Times New Roman" w:cs="Times New Roman"/>
          <w:lang w:val="en-US" w:eastAsia="zh-CN"/>
        </w:rPr>
      </w:pPr>
      <w:bookmarkStart w:id="0" w:name="_Toc4042"/>
      <w:r>
        <w:rPr>
          <w:rFonts w:hint="default" w:ascii="Times New Roman" w:hAnsi="Times New Roman" w:cs="Times New Roman"/>
          <w:lang w:val="en-US" w:eastAsia="zh-CN"/>
        </w:rPr>
        <w:t>一、总体要求</w:t>
      </w:r>
      <w:bookmarkEnd w:id="0"/>
    </w:p>
    <w:p w14:paraId="768E1C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根据《特种设备安全法》《特种设备安全监察条例》等法律法规、部门规章、安全技术规范要求，特种设备使用单位总体应履行以下10项职责：</w:t>
      </w:r>
    </w:p>
    <w:p w14:paraId="6088A6C2">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视情设置特种设备安全管理机构，任命特种设备安全管理人员</w:t>
      </w:r>
      <w:r>
        <w:rPr>
          <w:rFonts w:hint="eastAsia" w:ascii="Times New Roman" w:hAnsi="Times New Roman" w:cs="Times New Roman"/>
          <w:b/>
          <w:bCs/>
          <w:lang w:val="en-US" w:eastAsia="zh-CN"/>
        </w:rPr>
        <w:t>；</w:t>
      </w:r>
    </w:p>
    <w:p w14:paraId="42D86C91">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制定和落实特种设备安全管理制度、安全操作规程</w:t>
      </w:r>
      <w:r>
        <w:rPr>
          <w:rFonts w:hint="eastAsia" w:ascii="Times New Roman" w:hAnsi="Times New Roman" w:cs="Times New Roman"/>
          <w:b/>
          <w:bCs/>
          <w:lang w:val="en-US" w:eastAsia="zh-CN"/>
        </w:rPr>
        <w:t>；</w:t>
      </w:r>
    </w:p>
    <w:p w14:paraId="45D3747E">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建立和更新特种设备安全管理台账、安全附件台账</w:t>
      </w:r>
      <w:r>
        <w:rPr>
          <w:rFonts w:hint="eastAsia" w:ascii="Times New Roman" w:hAnsi="Times New Roman" w:cs="Times New Roman"/>
          <w:b/>
          <w:bCs/>
          <w:lang w:val="en-US" w:eastAsia="zh-CN"/>
        </w:rPr>
        <w:t>；</w:t>
      </w:r>
    </w:p>
    <w:p w14:paraId="7C61D78B">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加强特种设备安全管理人员和作业人员监督管理，建立人员管理台账</w:t>
      </w:r>
      <w:r>
        <w:rPr>
          <w:rFonts w:hint="eastAsia" w:ascii="Times New Roman" w:hAnsi="Times New Roman" w:cs="Times New Roman"/>
          <w:b/>
          <w:bCs/>
          <w:lang w:val="en-US" w:eastAsia="zh-CN"/>
        </w:rPr>
        <w:t>；</w:t>
      </w:r>
    </w:p>
    <w:p w14:paraId="51E0A061">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定期开展特种设备维护保养、自行检查，如实记录工作开展情况</w:t>
      </w:r>
      <w:r>
        <w:rPr>
          <w:rFonts w:hint="eastAsia" w:ascii="Times New Roman" w:hAnsi="Times New Roman" w:cs="Times New Roman"/>
          <w:b/>
          <w:bCs/>
          <w:lang w:val="en-US" w:eastAsia="zh-CN"/>
        </w:rPr>
        <w:t>；</w:t>
      </w:r>
    </w:p>
    <w:p w14:paraId="36DF623F">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提前申报特种设备及其安全附件定期检验</w:t>
      </w:r>
      <w:r>
        <w:rPr>
          <w:rFonts w:hint="eastAsia" w:ascii="Times New Roman" w:hAnsi="Times New Roman" w:cs="Times New Roman"/>
          <w:b/>
          <w:bCs/>
          <w:lang w:val="en-US" w:eastAsia="zh-CN"/>
        </w:rPr>
        <w:t>；</w:t>
      </w:r>
    </w:p>
    <w:p w14:paraId="3A133FA5">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建立特种设备安全技术档案</w:t>
      </w:r>
      <w:r>
        <w:rPr>
          <w:rFonts w:hint="eastAsia" w:ascii="Times New Roman" w:hAnsi="Times New Roman" w:cs="Times New Roman"/>
          <w:b/>
          <w:bCs/>
          <w:lang w:val="en-US" w:eastAsia="zh-CN"/>
        </w:rPr>
        <w:t>；</w:t>
      </w:r>
    </w:p>
    <w:p w14:paraId="12E7EC12">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加强特种设备风险管控和隐患排查治理，落实“日管控、周排查、月调度”工作机制</w:t>
      </w:r>
      <w:r>
        <w:rPr>
          <w:rFonts w:hint="eastAsia" w:ascii="Times New Roman" w:hAnsi="Times New Roman" w:cs="Times New Roman"/>
          <w:b/>
          <w:bCs/>
          <w:lang w:val="en-US" w:eastAsia="zh-CN"/>
        </w:rPr>
        <w:t>；</w:t>
      </w:r>
    </w:p>
    <w:p w14:paraId="272F002C">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落实高能耗特种设备节能工作要求</w:t>
      </w:r>
      <w:r>
        <w:rPr>
          <w:rFonts w:hint="eastAsia" w:ascii="Times New Roman" w:hAnsi="Times New Roman" w:cs="Times New Roman"/>
          <w:b/>
          <w:bCs/>
          <w:lang w:val="en-US" w:eastAsia="zh-CN"/>
        </w:rPr>
        <w:t>；</w:t>
      </w:r>
    </w:p>
    <w:p w14:paraId="49B2F7D6">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制定特种设备应急预案，定期开展应急演练。</w:t>
      </w:r>
    </w:p>
    <w:p w14:paraId="56DA6425">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6ECA7218">
      <w:pPr>
        <w:pStyle w:val="3"/>
        <w:bidi w:val="0"/>
        <w:rPr>
          <w:rFonts w:hint="default" w:ascii="Times New Roman" w:hAnsi="Times New Roman" w:cs="Times New Roman"/>
          <w:lang w:val="en-US" w:eastAsia="zh-CN"/>
        </w:rPr>
      </w:pPr>
      <w:bookmarkStart w:id="1" w:name="_Toc10448"/>
      <w:r>
        <w:rPr>
          <w:rFonts w:hint="default" w:ascii="Times New Roman" w:hAnsi="Times New Roman" w:cs="Times New Roman"/>
          <w:lang w:val="en-US" w:eastAsia="zh-CN"/>
        </w:rPr>
        <w:t>二、安全管理机构和安全管理人员</w:t>
      </w:r>
      <w:bookmarkEnd w:id="1"/>
    </w:p>
    <w:p w14:paraId="0A7DECCA">
      <w:pPr>
        <w:pStyle w:val="2"/>
        <w:numPr>
          <w:ilvl w:val="0"/>
          <w:numId w:val="0"/>
        </w:numPr>
        <w:bidi w:val="0"/>
        <w:ind w:leftChars="0" w:firstLine="640" w:firstLineChars="200"/>
        <w:rPr>
          <w:rFonts w:hint="default" w:ascii="Times New Roman" w:hAnsi="Times New Roman" w:cs="Times New Roman"/>
          <w:lang w:val="en-US" w:eastAsia="zh-CN"/>
        </w:rPr>
      </w:pPr>
      <w:bookmarkStart w:id="2" w:name="_Toc12719"/>
      <w:r>
        <w:rPr>
          <w:rFonts w:hint="default" w:ascii="Times New Roman" w:hAnsi="Times New Roman" w:cs="Times New Roman"/>
          <w:lang w:val="en-US" w:eastAsia="zh-CN"/>
        </w:rPr>
        <w:t>（一）需要设置安全管理机构的单位</w:t>
      </w:r>
      <w:bookmarkEnd w:id="2"/>
    </w:p>
    <w:p w14:paraId="1814394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《特种设备使用管理规则》（TSG08-2017）“2.3.2机构设置”规定，符合下列条件之一的特种设备使用单位应当设置特种设备安全管理机构，逐台落实安全责任人：</w:t>
      </w:r>
    </w:p>
    <w:p w14:paraId="474D9ACC">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使用电站锅炉或者石化与化工成套装置的；</w:t>
      </w:r>
    </w:p>
    <w:p w14:paraId="3CCE332B">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使用为公众提供运营服务电梯的，或者在公众聚集场所使用30台以上（含30台）电梯的；</w:t>
      </w:r>
    </w:p>
    <w:p w14:paraId="3E564556">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使用10台以上（含10台）大型游乐设施的，或者10台以上（含10台）为公众提供运营服务非公路用旅游观光车辆的；</w:t>
      </w:r>
    </w:p>
    <w:p w14:paraId="5C1EEBBD">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使用客运架空索道，或者客运缆车的； </w:t>
      </w:r>
    </w:p>
    <w:p w14:paraId="6C04324D">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使用特种设备(不含气瓶)总量50台以上（含50台）的。</w:t>
      </w:r>
    </w:p>
    <w:p w14:paraId="5BE30432">
      <w:pPr>
        <w:pStyle w:val="20"/>
        <w:keepNext w:val="0"/>
        <w:keepLines w:val="0"/>
        <w:pageBreakBefore w:val="0"/>
        <w:widowControl w:val="0"/>
        <w:kinsoku/>
        <w:wordWrap/>
        <w:overflowPunct/>
        <w:topLinePunct w:val="0"/>
        <w:bidi w:val="0"/>
        <w:adjustRightInd w:val="0"/>
        <w:snapToGrid w:val="0"/>
        <w:spacing w:line="600" w:lineRule="exact"/>
        <w:ind w:firstLine="496"/>
        <w:textAlignment w:val="auto"/>
        <w:rPr>
          <w:rFonts w:hint="default" w:ascii="Times New Roman" w:hAnsi="Times New Roman" w:eastAsia="方正楷体简体" w:cs="Times New Roman"/>
          <w:b/>
          <w:bCs/>
          <w:i w:val="0"/>
          <w:color w:val="FF0000"/>
          <w:spacing w:val="0"/>
          <w:w w:val="100"/>
          <w:kern w:val="2"/>
          <w:sz w:val="32"/>
          <w:szCs w:val="24"/>
          <w:lang w:val="en-US" w:eastAsia="zh-CN" w:bidi="ar-SA"/>
        </w:rPr>
      </w:pPr>
      <w:r>
        <w:rPr>
          <w:rFonts w:hint="default" w:ascii="Times New Roman" w:hAnsi="Times New Roman" w:eastAsia="方正楷体简体" w:cs="Times New Roman"/>
          <w:b/>
          <w:bCs/>
          <w:i w:val="0"/>
          <w:color w:val="FF0000"/>
          <w:spacing w:val="0"/>
          <w:w w:val="100"/>
          <w:kern w:val="2"/>
          <w:sz w:val="32"/>
          <w:szCs w:val="24"/>
          <w:lang w:val="en-US" w:eastAsia="zh-CN" w:bidi="ar-SA"/>
        </w:rPr>
        <w:t>注意！不符合以上条件的不需要设置安全管理机构。</w:t>
      </w:r>
    </w:p>
    <w:p w14:paraId="7D13B67C">
      <w:pPr>
        <w:pStyle w:val="2"/>
        <w:bidi w:val="0"/>
        <w:rPr>
          <w:rFonts w:hint="default" w:ascii="Times New Roman" w:hAnsi="Times New Roman" w:cs="Times New Roman"/>
          <w:lang w:val="en-US" w:eastAsia="zh-CN"/>
        </w:rPr>
      </w:pPr>
      <w:bookmarkStart w:id="3" w:name="_Toc12015"/>
      <w:r>
        <w:rPr>
          <w:rFonts w:hint="default" w:ascii="Times New Roman" w:hAnsi="Times New Roman" w:cs="Times New Roman"/>
          <w:lang w:val="en-US" w:eastAsia="zh-CN"/>
        </w:rPr>
        <w:t>（二）如何设置特种设备安全管理机构</w:t>
      </w:r>
      <w:bookmarkEnd w:id="3"/>
    </w:p>
    <w:p w14:paraId="2B2392D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应以公司红头文件的形式明确本单位</w:t>
      </w:r>
      <w:r>
        <w:rPr>
          <w:rFonts w:hint="default" w:ascii="Times New Roman" w:hAnsi="Times New Roman" w:eastAsia="方正楷体简体" w:cs="Times New Roman"/>
          <w:b/>
          <w:bCs/>
          <w:i w:val="0"/>
          <w:color w:val="FF0000"/>
          <w:spacing w:val="0"/>
          <w:w w:val="100"/>
          <w:kern w:val="2"/>
          <w:sz w:val="32"/>
          <w:szCs w:val="24"/>
          <w:lang w:val="en-US" w:eastAsia="zh-CN" w:bidi="ar-SA"/>
        </w:rPr>
        <w:t>某一内设机构</w:t>
      </w:r>
      <w:r>
        <w:rPr>
          <w:rFonts w:hint="default" w:ascii="Times New Roman" w:hAnsi="Times New Roman" w:cs="Times New Roman"/>
          <w:b/>
          <w:bCs/>
          <w:i w:val="0"/>
          <w:color w:val="auto"/>
          <w:spacing w:val="0"/>
          <w:w w:val="100"/>
          <w:kern w:val="2"/>
          <w:sz w:val="32"/>
          <w:szCs w:val="24"/>
          <w:lang w:val="en-US" w:eastAsia="zh-CN" w:bidi="ar-SA"/>
        </w:rPr>
        <w:t>为特种设备安全管理机构，比如：安全部、设备部。</w:t>
      </w:r>
    </w:p>
    <w:p w14:paraId="6DC8F4D3">
      <w:pPr>
        <w:pStyle w:val="2"/>
        <w:bidi w:val="0"/>
        <w:rPr>
          <w:rFonts w:hint="default" w:ascii="Times New Roman" w:hAnsi="Times New Roman" w:cs="Times New Roman"/>
          <w:lang w:val="en-US" w:eastAsia="zh-CN"/>
        </w:rPr>
      </w:pPr>
      <w:bookmarkStart w:id="4" w:name="_Toc29834"/>
      <w:r>
        <w:rPr>
          <w:rFonts w:hint="default" w:ascii="Times New Roman" w:hAnsi="Times New Roman" w:cs="Times New Roman"/>
          <w:lang w:val="en-US" w:eastAsia="zh-CN"/>
        </w:rPr>
        <w:t>（三）任命特种设备安全管理人员</w:t>
      </w:r>
      <w:bookmarkEnd w:id="4"/>
    </w:p>
    <w:p w14:paraId="7E35639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eastAsia="方正仿宋简体" w:cs="Times New Roman"/>
          <w:b/>
          <w:bCs/>
          <w:i w:val="0"/>
          <w:color w:val="auto"/>
          <w:spacing w:val="0"/>
          <w:w w:val="100"/>
          <w:kern w:val="2"/>
          <w:sz w:val="32"/>
          <w:szCs w:val="24"/>
          <w:lang w:val="en-US" w:eastAsia="zh-CN" w:bidi="ar-SA"/>
        </w:rPr>
        <w:t>《特种设备使用管理规则》（TSG08-2017）</w:t>
      </w:r>
      <w:r>
        <w:rPr>
          <w:rFonts w:hint="default" w:ascii="Times New Roman" w:hAnsi="Times New Roman" w:cs="Times New Roman"/>
          <w:b/>
          <w:bCs/>
          <w:i w:val="0"/>
          <w:color w:val="auto"/>
          <w:spacing w:val="0"/>
          <w:w w:val="100"/>
          <w:kern w:val="2"/>
          <w:sz w:val="32"/>
          <w:szCs w:val="24"/>
          <w:lang w:val="en-US" w:eastAsia="zh-CN" w:bidi="ar-SA"/>
        </w:rPr>
        <w:t>2.4规定，</w:t>
      </w:r>
      <w:r>
        <w:rPr>
          <w:rFonts w:hint="default" w:ascii="Times New Roman" w:hAnsi="Times New Roman" w:cs="Times New Roman"/>
          <w:b/>
          <w:bCs/>
          <w:lang w:val="en-US" w:eastAsia="zh-CN"/>
        </w:rPr>
        <w:t>特种设备使用单位应任命特种设备安全管理负责人和安全管理员。安全管理负责人由本单位最高管理层中主管特种设备安全的领导担任，</w:t>
      </w:r>
      <w:r>
        <w:rPr>
          <w:rFonts w:hint="default" w:ascii="Times New Roman" w:hAnsi="Times New Roman" w:eastAsia="方正楷体简体" w:cs="Times New Roman"/>
          <w:b/>
          <w:bCs/>
          <w:color w:val="FF0000"/>
          <w:lang w:val="en-US" w:eastAsia="zh-CN"/>
        </w:rPr>
        <w:t>一般为公司副总经理</w:t>
      </w:r>
      <w:r>
        <w:rPr>
          <w:rFonts w:hint="default" w:ascii="Times New Roman" w:hAnsi="Times New Roman" w:cs="Times New Roman"/>
          <w:b/>
          <w:bCs/>
          <w:lang w:val="en-US" w:eastAsia="zh-CN"/>
        </w:rPr>
        <w:t>。</w:t>
      </w:r>
    </w:p>
    <w:p w14:paraId="5EC7062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特种设备使用单位落实使用安全主体责任监督管理规定》（国家市场监管总局74号令）规定，特种设备使用单位应任命特种设备安全总监、特种设备安全员。特种设备安全总监一般由特种设备安全管理负责人担任，特种设备安全员一般由特种设备安全管理员担任。特种设备数量较少的单位，特种设备安全总监可以兼任特种设备安全员。</w:t>
      </w:r>
    </w:p>
    <w:p w14:paraId="25BDDDA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使用单位要建立主要负责人全面负责，特种设备安全总监、安全员分级负责的责任体系。应以公司红头文件的形式任命特种设备安全管理负责人（特种设备安全总监）和特种设备安全管理员（特种设备安全员），逐台明确特种设备安全员。</w:t>
      </w:r>
    </w:p>
    <w:p w14:paraId="74A9EB10">
      <w:pPr>
        <w:pStyle w:val="2"/>
        <w:numPr>
          <w:ilvl w:val="0"/>
          <w:numId w:val="0"/>
        </w:numPr>
        <w:bidi w:val="0"/>
        <w:ind w:leftChars="200"/>
        <w:rPr>
          <w:rFonts w:hint="default" w:ascii="Times New Roman" w:hAnsi="Times New Roman" w:cs="Times New Roman"/>
          <w:lang w:val="en-US" w:eastAsia="zh-CN"/>
        </w:rPr>
      </w:pPr>
      <w:bookmarkStart w:id="5" w:name="_Toc7383"/>
      <w:r>
        <w:rPr>
          <w:rFonts w:hint="default" w:ascii="Times New Roman" w:hAnsi="Times New Roman" w:cs="Times New Roman"/>
          <w:lang w:val="en-US" w:eastAsia="zh-CN"/>
        </w:rPr>
        <w:t>（四）需任命专职安全管理员的单位</w:t>
      </w:r>
      <w:bookmarkEnd w:id="5"/>
    </w:p>
    <w:p w14:paraId="39023D64">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lang w:val="en-US" w:eastAsia="zh-CN"/>
        </w:rPr>
        <w:t xml:space="preserve">    </w:t>
      </w:r>
      <w:r>
        <w:rPr>
          <w:rFonts w:hint="default" w:ascii="Times New Roman" w:hAnsi="Times New Roman" w:eastAsia="方正仿宋简体" w:cs="Times New Roman"/>
          <w:b/>
          <w:bCs/>
          <w:i w:val="0"/>
          <w:color w:val="auto"/>
          <w:spacing w:val="0"/>
          <w:w w:val="100"/>
          <w:kern w:val="2"/>
          <w:sz w:val="32"/>
          <w:szCs w:val="24"/>
          <w:lang w:val="en-US" w:eastAsia="zh-CN" w:bidi="ar-SA"/>
        </w:rPr>
        <w:t>《特种设备使用管理规则》（TSG08-2017）</w:t>
      </w:r>
      <w:r>
        <w:rPr>
          <w:rFonts w:hint="default" w:ascii="Times New Roman" w:hAnsi="Times New Roman" w:cs="Times New Roman"/>
          <w:b/>
          <w:bCs/>
          <w:i w:val="0"/>
          <w:color w:val="auto"/>
          <w:spacing w:val="0"/>
          <w:w w:val="100"/>
          <w:kern w:val="2"/>
          <w:sz w:val="32"/>
          <w:szCs w:val="24"/>
          <w:lang w:val="en-US" w:eastAsia="zh-CN" w:bidi="ar-SA"/>
        </w:rPr>
        <w:t xml:space="preserve">2.4.2.2.2规定，依规应当设置安全管理机构的使用单位以及符合下列条件之一的特种设备使用单位，应当配备专职安全管理员： </w:t>
      </w:r>
    </w:p>
    <w:p w14:paraId="56D6DE35">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使用额定工作压力大于或者等于2.5 MPa锅炉的；</w:t>
      </w:r>
    </w:p>
    <w:p w14:paraId="2616158C">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使用5台以上（含5台）第Ш类固定式压力容器的；</w:t>
      </w:r>
    </w:p>
    <w:p w14:paraId="32B91558">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从事移动式压力容器或者气瓶充装的；</w:t>
      </w:r>
    </w:p>
    <w:p w14:paraId="1524A519">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使用10公里以上（含10公里）工业管道的；</w:t>
      </w:r>
    </w:p>
    <w:p w14:paraId="325DDEEB">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使用移动式压力容器，或者客运拖牵索道，或者大型游乐设施的；</w:t>
      </w:r>
    </w:p>
    <w:p w14:paraId="2B88D663">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使用各类特种设备（不含气瓶)总量20台以上（含20台)的。</w:t>
      </w:r>
    </w:p>
    <w:p w14:paraId="7655588E">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Times New Roman" w:hAnsi="Times New Roman" w:cs="Times New Roman"/>
          <w:b/>
          <w:lang w:val="en-US" w:eastAsia="zh-CN"/>
        </w:rPr>
      </w:pPr>
      <w:r>
        <w:rPr>
          <w:rFonts w:hint="default" w:ascii="Times New Roman" w:hAnsi="Times New Roman" w:cs="Times New Roman"/>
          <w:b/>
          <w:lang w:val="en-US" w:eastAsia="zh-CN"/>
        </w:rPr>
        <w:t xml:space="preserve">    除此之外的使用单位可以配备兼职安全管理员</w:t>
      </w:r>
      <w:r>
        <w:rPr>
          <w:rFonts w:hint="eastAsia" w:ascii="Times New Roman" w:hAnsi="Times New Roman" w:cs="Times New Roman"/>
          <w:b/>
          <w:lang w:val="en-US" w:eastAsia="zh-CN"/>
        </w:rPr>
        <w:t>，也可以委托具有特种设备安全管理人员资格的人员负责使用管理，但是特种设备安全使用的责任主体仍是使用单位</w:t>
      </w:r>
      <w:r>
        <w:rPr>
          <w:rFonts w:hint="default" w:ascii="Times New Roman" w:hAnsi="Times New Roman" w:cs="Times New Roman"/>
          <w:b/>
          <w:lang w:val="en-US" w:eastAsia="zh-CN"/>
        </w:rPr>
        <w:t>。</w:t>
      </w:r>
    </w:p>
    <w:p w14:paraId="3CFC81BE">
      <w:pPr>
        <w:pStyle w:val="2"/>
        <w:numPr>
          <w:ilvl w:val="0"/>
          <w:numId w:val="0"/>
        </w:numPr>
        <w:bidi w:val="0"/>
        <w:ind w:leftChars="200"/>
        <w:rPr>
          <w:rFonts w:hint="default" w:ascii="Times New Roman" w:hAnsi="Times New Roman" w:cs="Times New Roman"/>
          <w:lang w:val="en-US" w:eastAsia="zh-CN"/>
        </w:rPr>
      </w:pPr>
      <w:bookmarkStart w:id="6" w:name="_Toc25855"/>
      <w:r>
        <w:rPr>
          <w:rFonts w:hint="default" w:ascii="Times New Roman" w:hAnsi="Times New Roman" w:cs="Times New Roman"/>
          <w:lang w:val="en-US" w:eastAsia="zh-CN"/>
        </w:rPr>
        <w:t>（五）特种设备安全管理人员持证要求</w:t>
      </w:r>
      <w:bookmarkEnd w:id="6"/>
    </w:p>
    <w:p w14:paraId="23F81D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依规应当设置安全管理机构使用单位的</w:t>
      </w:r>
      <w:r>
        <w:rPr>
          <w:rFonts w:hint="eastAsia" w:ascii="方正楷体简体" w:hAnsi="方正楷体简体" w:eastAsia="方正楷体简体" w:cs="方正楷体简体"/>
          <w:b/>
          <w:bCs/>
          <w:color w:val="FF0000"/>
          <w:lang w:val="en-US" w:eastAsia="zh-CN"/>
        </w:rPr>
        <w:t>特种设备安全管理负责人应持特种设备安全管理员证（A证）</w:t>
      </w:r>
      <w:r>
        <w:rPr>
          <w:rFonts w:hint="default" w:ascii="Times New Roman" w:hAnsi="Times New Roman" w:cs="Times New Roman"/>
          <w:b/>
          <w:bCs/>
          <w:lang w:val="en-US" w:eastAsia="zh-CN"/>
        </w:rPr>
        <w:t>。</w:t>
      </w:r>
      <w:r>
        <w:rPr>
          <w:rFonts w:hint="default" w:ascii="Times New Roman" w:hAnsi="Times New Roman" w:cs="Times New Roman"/>
          <w:b/>
          <w:bCs/>
          <w:color w:val="FF0000"/>
          <w:lang w:val="en-US" w:eastAsia="zh-CN"/>
        </w:rPr>
        <w:t>特种设备专职安全管理员应当持有A证</w:t>
      </w:r>
      <w:r>
        <w:rPr>
          <w:rFonts w:hint="default" w:ascii="Times New Roman" w:hAnsi="Times New Roman" w:cs="Times New Roman"/>
          <w:b/>
          <w:bCs/>
          <w:lang w:val="en-US" w:eastAsia="zh-CN"/>
        </w:rPr>
        <w:t>。除此之外的安全管理人员没有持证要求。</w:t>
      </w:r>
    </w:p>
    <w:p w14:paraId="2DAA56D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特种设备安全总监、安全员没有持证要求。</w:t>
      </w:r>
    </w:p>
    <w:p w14:paraId="3E228D6E">
      <w:pPr>
        <w:pStyle w:val="2"/>
        <w:numPr>
          <w:ilvl w:val="0"/>
          <w:numId w:val="0"/>
        </w:numPr>
        <w:bidi w:val="0"/>
        <w:ind w:firstLine="640" w:firstLineChars="200"/>
        <w:rPr>
          <w:rFonts w:hint="default" w:ascii="Times New Roman" w:hAnsi="Times New Roman" w:cs="Times New Roman"/>
          <w:lang w:val="en-US" w:eastAsia="zh-CN"/>
        </w:rPr>
      </w:pPr>
      <w:bookmarkStart w:id="7" w:name="_Toc1036"/>
      <w:r>
        <w:rPr>
          <w:rFonts w:hint="default" w:ascii="Times New Roman" w:hAnsi="Times New Roman" w:cs="Times New Roman"/>
          <w:lang w:val="en-US" w:eastAsia="zh-CN"/>
        </w:rPr>
        <w:t>（六）特种设备安全管理人员职责</w:t>
      </w:r>
      <w:bookmarkEnd w:id="7"/>
    </w:p>
    <w:p w14:paraId="072A7528">
      <w:pPr>
        <w:pStyle w:val="4"/>
        <w:numPr>
          <w:ilvl w:val="0"/>
          <w:numId w:val="6"/>
        </w:numPr>
        <w:bidi w:val="0"/>
        <w:rPr>
          <w:rFonts w:hint="default" w:ascii="Times New Roman" w:hAnsi="Times New Roman" w:cs="Times New Roman"/>
        </w:rPr>
      </w:pPr>
      <w:bookmarkStart w:id="8" w:name="_Toc20554"/>
      <w:r>
        <w:rPr>
          <w:rFonts w:hint="default" w:ascii="Times New Roman" w:hAnsi="Times New Roman" w:cs="Times New Roman"/>
        </w:rPr>
        <w:t>主要负责人</w:t>
      </w:r>
      <w:r>
        <w:rPr>
          <w:rFonts w:hint="default" w:ascii="Times New Roman" w:hAnsi="Times New Roman" w:cs="Times New Roman"/>
          <w:lang w:eastAsia="zh-CN"/>
        </w:rPr>
        <w:t>工作职责</w:t>
      </w:r>
      <w:bookmarkEnd w:id="8"/>
    </w:p>
    <w:p w14:paraId="244D65A9">
      <w:pPr>
        <w:bidi w:val="0"/>
        <w:rPr>
          <w:rFonts w:hint="default" w:ascii="Times New Roman" w:hAnsi="Times New Roman" w:cs="Times New Roman"/>
        </w:rPr>
      </w:pPr>
      <w:r>
        <w:rPr>
          <w:rFonts w:hint="default" w:ascii="Times New Roman" w:hAnsi="Times New Roman" w:cs="Times New Roman"/>
        </w:rPr>
        <w:t>（1）对本单位所使用的特种设备使用安全负总责；</w:t>
      </w:r>
    </w:p>
    <w:p w14:paraId="4936E254">
      <w:pPr>
        <w:bidi w:val="0"/>
        <w:rPr>
          <w:rFonts w:hint="default" w:ascii="Times New Roman" w:hAnsi="Times New Roman" w:cs="Times New Roman"/>
        </w:rPr>
      </w:pPr>
      <w:r>
        <w:rPr>
          <w:rFonts w:hint="default" w:ascii="Times New Roman" w:hAnsi="Times New Roman" w:cs="Times New Roman"/>
        </w:rPr>
        <w:t>（2）确保建立、实施、保持和持续改进特种设备双重预防机制；</w:t>
      </w:r>
    </w:p>
    <w:p w14:paraId="65024A40">
      <w:pPr>
        <w:bidi w:val="0"/>
        <w:rPr>
          <w:rFonts w:hint="default" w:ascii="Times New Roman" w:hAnsi="Times New Roman" w:cs="Times New Roman"/>
        </w:rPr>
      </w:pPr>
      <w:r>
        <w:rPr>
          <w:rFonts w:hint="default" w:ascii="Times New Roman" w:hAnsi="Times New Roman" w:cs="Times New Roman"/>
        </w:rPr>
        <w:t>（3）确保全员参与特种设备安全风险分级管控和隐患排查治理，并履行其职责；</w:t>
      </w:r>
    </w:p>
    <w:p w14:paraId="113B0604">
      <w:pPr>
        <w:bidi w:val="0"/>
        <w:rPr>
          <w:rFonts w:hint="default" w:ascii="Times New Roman" w:hAnsi="Times New Roman" w:cs="Times New Roman"/>
        </w:rPr>
      </w:pPr>
      <w:r>
        <w:rPr>
          <w:rFonts w:hint="default" w:ascii="Times New Roman" w:hAnsi="Times New Roman" w:cs="Times New Roman"/>
        </w:rPr>
        <w:t>（4）确保安全生产资源投入，建立考核奖惩机制，定期对双重预防机制建设情况进行督导和考核；</w:t>
      </w:r>
    </w:p>
    <w:p w14:paraId="20A8A6FD">
      <w:pPr>
        <w:bidi w:val="0"/>
        <w:rPr>
          <w:rFonts w:hint="default" w:ascii="Times New Roman" w:hAnsi="Times New Roman" w:cs="Times New Roman"/>
        </w:rPr>
      </w:pPr>
      <w:r>
        <w:rPr>
          <w:rFonts w:hint="default" w:ascii="Times New Roman" w:hAnsi="Times New Roman" w:cs="Times New Roman"/>
        </w:rPr>
        <w:t>（5）督促落实特种设备专项应急预案的制定、演练；</w:t>
      </w:r>
    </w:p>
    <w:p w14:paraId="339210F1">
      <w:pPr>
        <w:bidi w:val="0"/>
        <w:rPr>
          <w:rFonts w:hint="default" w:ascii="Times New Roman" w:hAnsi="Times New Roman" w:cs="Times New Roman"/>
        </w:rPr>
      </w:pPr>
      <w:r>
        <w:rPr>
          <w:rFonts w:hint="default" w:ascii="Times New Roman" w:hAnsi="Times New Roman" w:cs="Times New Roman"/>
        </w:rPr>
        <w:t>（6）及时、如实报告特种设备安全事故，组织事故抢救。</w:t>
      </w:r>
    </w:p>
    <w:p w14:paraId="7A764F7A">
      <w:pPr>
        <w:pStyle w:val="4"/>
        <w:numPr>
          <w:ilvl w:val="0"/>
          <w:numId w:val="6"/>
        </w:numPr>
        <w:bidi w:val="0"/>
        <w:rPr>
          <w:rFonts w:hint="default" w:ascii="Times New Roman" w:hAnsi="Times New Roman" w:cs="Times New Roman"/>
          <w:lang w:val="en-US" w:eastAsia="zh-CN"/>
        </w:rPr>
      </w:pPr>
      <w:bookmarkStart w:id="9" w:name="_Toc32655"/>
      <w:r>
        <w:rPr>
          <w:rFonts w:hint="default" w:ascii="Times New Roman" w:hAnsi="Times New Roman" w:cs="Times New Roman"/>
          <w:lang w:val="en-US" w:eastAsia="zh-CN"/>
        </w:rPr>
        <w:t>特种设备安全负责人（特种设备安全总监）职责</w:t>
      </w:r>
      <w:bookmarkEnd w:id="9"/>
    </w:p>
    <w:p w14:paraId="51148B1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eastAsia="方正仿宋简体" w:cs="Times New Roman"/>
          <w:b/>
          <w:bCs/>
          <w:i w:val="0"/>
          <w:color w:val="auto"/>
          <w:spacing w:val="0"/>
          <w:w w:val="100"/>
          <w:kern w:val="2"/>
          <w:sz w:val="32"/>
          <w:szCs w:val="24"/>
          <w:lang w:val="en-US" w:eastAsia="zh-CN" w:bidi="ar-SA"/>
        </w:rPr>
        <w:t>《特种设备使用管理规则》（TSG08-2017）</w:t>
      </w:r>
      <w:r>
        <w:rPr>
          <w:rFonts w:hint="default" w:ascii="Times New Roman" w:hAnsi="Times New Roman" w:cs="Times New Roman"/>
          <w:b/>
          <w:bCs/>
          <w:i w:val="0"/>
          <w:color w:val="auto"/>
          <w:spacing w:val="0"/>
          <w:w w:val="100"/>
          <w:kern w:val="2"/>
          <w:sz w:val="32"/>
          <w:szCs w:val="24"/>
          <w:lang w:val="en-US" w:eastAsia="zh-CN" w:bidi="ar-SA"/>
        </w:rPr>
        <w:t>2.4.2.1规定，</w:t>
      </w:r>
      <w:r>
        <w:rPr>
          <w:rFonts w:hint="eastAsia" w:ascii="Times New Roman" w:hAnsi="Times New Roman" w:cs="Times New Roman"/>
          <w:b/>
          <w:bCs/>
          <w:i w:val="0"/>
          <w:color w:val="auto"/>
          <w:spacing w:val="0"/>
          <w:w w:val="100"/>
          <w:kern w:val="2"/>
          <w:sz w:val="32"/>
          <w:szCs w:val="24"/>
          <w:lang w:val="en-US" w:eastAsia="zh-CN" w:bidi="ar-SA"/>
        </w:rPr>
        <w:t>特种设备安全负责人</w:t>
      </w:r>
      <w:r>
        <w:rPr>
          <w:rFonts w:hint="default" w:ascii="Times New Roman" w:hAnsi="Times New Roman" w:cs="Times New Roman"/>
          <w:b/>
          <w:bCs/>
          <w:i w:val="0"/>
          <w:color w:val="auto"/>
          <w:spacing w:val="0"/>
          <w:w w:val="100"/>
          <w:kern w:val="2"/>
          <w:sz w:val="32"/>
          <w:szCs w:val="24"/>
          <w:lang w:val="en-US" w:eastAsia="zh-CN" w:bidi="ar-SA"/>
        </w:rPr>
        <w:t>负有以下职责：</w:t>
      </w:r>
    </w:p>
    <w:p w14:paraId="57A4122B">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协助主要负责人履行本单位特种设备安全的领导职责，确保本单位特种设备的安全使用；</w:t>
      </w:r>
    </w:p>
    <w:p w14:paraId="06217B37">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宣传、贯彻《中华人民共和国特种设备安全法》以及有关法律、法规、规章和安全技术规范；</w:t>
      </w:r>
    </w:p>
    <w:p w14:paraId="3781EC81">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组织制定本单位特种设备安全管理制度，落实特种设备安全管理机构设置、安全管理员配备；</w:t>
      </w:r>
    </w:p>
    <w:p w14:paraId="4171533B">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组织制定特种设备事故应急专项预案，并且定期组织演练；</w:t>
      </w:r>
    </w:p>
    <w:p w14:paraId="1189EEAB">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对本单位特种设备安全管理工作实施情况进行检查；</w:t>
      </w:r>
    </w:p>
    <w:p w14:paraId="3E549A30">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组织进行隐患排查，并且提出处理意见；</w:t>
      </w:r>
    </w:p>
    <w:p w14:paraId="2320FA16">
      <w:pPr>
        <w:keepNext w:val="0"/>
        <w:keepLines w:val="0"/>
        <w:pageBreakBefore w:val="0"/>
        <w:widowControl w:val="0"/>
        <w:numPr>
          <w:ilvl w:val="0"/>
          <w:numId w:val="7"/>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i w:val="0"/>
          <w:color w:val="auto"/>
          <w:spacing w:val="0"/>
          <w:w w:val="100"/>
          <w:kern w:val="2"/>
          <w:sz w:val="32"/>
          <w:szCs w:val="24"/>
          <w:lang w:val="en-US" w:eastAsia="zh-CN" w:bidi="ar-SA"/>
        </w:rPr>
        <w:t>当安全管理员报告特种设备存在事故隐患应当停止使用时，立即作出停止使用特种设备的决定，并且及时报告本单位主要负责人。</w:t>
      </w:r>
    </w:p>
    <w:p w14:paraId="49EE7073">
      <w:pPr>
        <w:pStyle w:val="4"/>
        <w:numPr>
          <w:ilvl w:val="0"/>
          <w:numId w:val="6"/>
        </w:numPr>
        <w:bidi w:val="0"/>
        <w:ind w:left="0" w:leftChars="0" w:firstLine="643" w:firstLineChars="200"/>
        <w:rPr>
          <w:rFonts w:hint="default" w:ascii="Times New Roman" w:hAnsi="Times New Roman" w:cs="Times New Roman"/>
          <w:lang w:val="en-US" w:eastAsia="zh-CN"/>
        </w:rPr>
      </w:pPr>
      <w:bookmarkStart w:id="10" w:name="_Toc17720"/>
      <w:r>
        <w:rPr>
          <w:rFonts w:hint="default" w:ascii="Times New Roman" w:hAnsi="Times New Roman" w:cs="Times New Roman"/>
          <w:lang w:val="en-US" w:eastAsia="zh-CN"/>
        </w:rPr>
        <w:t>特种设备安全管理员（特种设备安全员）职责</w:t>
      </w:r>
      <w:bookmarkEnd w:id="10"/>
    </w:p>
    <w:p w14:paraId="1ED288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eastAsia="方正仿宋简体" w:cs="Times New Roman"/>
          <w:b/>
          <w:bCs/>
          <w:i w:val="0"/>
          <w:color w:val="auto"/>
          <w:spacing w:val="0"/>
          <w:w w:val="100"/>
          <w:kern w:val="2"/>
          <w:sz w:val="32"/>
          <w:szCs w:val="24"/>
          <w:lang w:val="en-US" w:eastAsia="zh-CN" w:bidi="ar-SA"/>
        </w:rPr>
        <w:t>《特种设备使用管理规则》（TSG08-2017）</w:t>
      </w:r>
      <w:r>
        <w:rPr>
          <w:rFonts w:hint="default" w:ascii="Times New Roman" w:hAnsi="Times New Roman" w:cs="Times New Roman"/>
          <w:b/>
          <w:bCs/>
          <w:i w:val="0"/>
          <w:color w:val="auto"/>
          <w:spacing w:val="0"/>
          <w:w w:val="100"/>
          <w:kern w:val="2"/>
          <w:sz w:val="32"/>
          <w:szCs w:val="24"/>
          <w:lang w:val="en-US" w:eastAsia="zh-CN" w:bidi="ar-SA"/>
        </w:rPr>
        <w:t>2.4.2.2.1规定，特种设备安全管理员负有以下职责：</w:t>
      </w:r>
    </w:p>
    <w:p w14:paraId="0F1B6D44">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组织建立特种设备安全技术档案；</w:t>
      </w:r>
    </w:p>
    <w:p w14:paraId="0BEF1BFE">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办理特种设备使用登记</w:t>
      </w:r>
      <w:r>
        <w:rPr>
          <w:rFonts w:hint="eastAsia" w:ascii="Times New Roman" w:hAnsi="Times New Roman" w:eastAsia="方正仿宋简体" w:cs="Times New Roman"/>
          <w:b/>
          <w:bCs w:val="0"/>
          <w:spacing w:val="4"/>
          <w:kern w:val="2"/>
          <w:sz w:val="32"/>
          <w:szCs w:val="32"/>
          <w:lang w:eastAsia="zh-CN"/>
        </w:rPr>
        <w:t>；</w:t>
      </w:r>
    </w:p>
    <w:p w14:paraId="5B4FB614">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组织制定特种设备操作规程；</w:t>
      </w:r>
    </w:p>
    <w:p w14:paraId="08DB7A93">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组织开展特种设备安全教育和节技能培训；</w:t>
      </w:r>
    </w:p>
    <w:p w14:paraId="15391274">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组织开展特种设备定期自行检查工作；</w:t>
      </w:r>
    </w:p>
    <w:p w14:paraId="56E9B851">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编制特种设备定期检验计划，督促落实定期检验和隐患治理工作；</w:t>
      </w:r>
    </w:p>
    <w:p w14:paraId="10B8EED9">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按照规定报告特种设备事故，参加特种设备事故救援，协助进行事故调查和善后处理；</w:t>
      </w:r>
    </w:p>
    <w:p w14:paraId="3E9CEFFD">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发现特种设备事故隐患，立即进行处理，情况紧急时，可以决定停止使用特种设备，并且及时报告本单位安全管理负责人；</w:t>
      </w:r>
    </w:p>
    <w:p w14:paraId="330E5E4C">
      <w:pPr>
        <w:pStyle w:val="20"/>
        <w:keepNext w:val="0"/>
        <w:keepLines w:val="0"/>
        <w:pageBreakBefore w:val="0"/>
        <w:widowControl w:val="0"/>
        <w:numPr>
          <w:ilvl w:val="0"/>
          <w:numId w:val="8"/>
        </w:numPr>
        <w:kinsoku/>
        <w:wordWrap/>
        <w:overflowPunct/>
        <w:topLinePunct w:val="0"/>
        <w:bidi w:val="0"/>
        <w:adjustRightInd w:val="0"/>
        <w:snapToGrid w:val="0"/>
        <w:spacing w:line="600" w:lineRule="exact"/>
        <w:ind w:left="0" w:leftChars="0" w:firstLine="642" w:firstLineChars="195"/>
        <w:textAlignment w:val="auto"/>
        <w:rPr>
          <w:rFonts w:hint="default" w:ascii="Times New Roman" w:hAnsi="Times New Roman" w:eastAsia="方正仿宋简体" w:cs="Times New Roman"/>
          <w:b/>
          <w:bCs w:val="0"/>
          <w:spacing w:val="4"/>
          <w:kern w:val="2"/>
          <w:sz w:val="32"/>
          <w:szCs w:val="32"/>
        </w:rPr>
      </w:pPr>
      <w:r>
        <w:rPr>
          <w:rFonts w:hint="default" w:ascii="Times New Roman" w:hAnsi="Times New Roman" w:eastAsia="方正仿宋简体" w:cs="Times New Roman"/>
          <w:b/>
          <w:bCs w:val="0"/>
          <w:spacing w:val="4"/>
          <w:kern w:val="2"/>
          <w:sz w:val="32"/>
          <w:szCs w:val="32"/>
        </w:rPr>
        <w:t>纠正和制止特种设备作业人员的违章行为。</w:t>
      </w:r>
    </w:p>
    <w:p w14:paraId="37651100">
      <w:pPr>
        <w:pStyle w:val="4"/>
        <w:numPr>
          <w:ilvl w:val="0"/>
          <w:numId w:val="6"/>
        </w:numPr>
        <w:bidi w:val="0"/>
        <w:ind w:left="0" w:leftChars="0" w:firstLine="643" w:firstLineChars="200"/>
        <w:rPr>
          <w:rFonts w:hint="default" w:ascii="Times New Roman" w:hAnsi="Times New Roman" w:cs="Times New Roman"/>
          <w:lang w:val="en-US" w:eastAsia="zh-CN"/>
        </w:rPr>
      </w:pPr>
      <w:bookmarkStart w:id="11" w:name="_Toc2947"/>
      <w:r>
        <w:rPr>
          <w:rFonts w:hint="default" w:ascii="Times New Roman" w:hAnsi="Times New Roman" w:cs="Times New Roman"/>
          <w:lang w:val="en-US" w:eastAsia="zh-CN"/>
        </w:rPr>
        <w:t>特种设备作业人员职责</w:t>
      </w:r>
      <w:bookmarkEnd w:id="11"/>
    </w:p>
    <w:p w14:paraId="4599951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eastAsia="方正仿宋简体" w:cs="Times New Roman"/>
          <w:b/>
          <w:bCs/>
          <w:i w:val="0"/>
          <w:color w:val="auto"/>
          <w:spacing w:val="0"/>
          <w:w w:val="100"/>
          <w:kern w:val="2"/>
          <w:sz w:val="32"/>
          <w:szCs w:val="24"/>
          <w:lang w:val="en-US" w:eastAsia="zh-CN" w:bidi="ar-SA"/>
        </w:rPr>
        <w:t>《特种设备使用管理规则》（TSG08-2017）</w:t>
      </w:r>
      <w:r>
        <w:rPr>
          <w:rFonts w:hint="default" w:ascii="Times New Roman" w:hAnsi="Times New Roman" w:cs="Times New Roman"/>
          <w:b/>
          <w:bCs/>
          <w:i w:val="0"/>
          <w:color w:val="auto"/>
          <w:spacing w:val="0"/>
          <w:w w:val="100"/>
          <w:kern w:val="2"/>
          <w:sz w:val="32"/>
          <w:szCs w:val="24"/>
          <w:lang w:val="en-US" w:eastAsia="zh-CN" w:bidi="ar-SA"/>
        </w:rPr>
        <w:t>2.4.</w:t>
      </w:r>
      <w:r>
        <w:rPr>
          <w:rFonts w:hint="eastAsia" w:ascii="Times New Roman" w:hAnsi="Times New Roman" w:cs="Times New Roman"/>
          <w:b/>
          <w:bCs/>
          <w:i w:val="0"/>
          <w:color w:val="auto"/>
          <w:spacing w:val="0"/>
          <w:w w:val="100"/>
          <w:kern w:val="2"/>
          <w:sz w:val="32"/>
          <w:szCs w:val="24"/>
          <w:lang w:val="en-US" w:eastAsia="zh-CN" w:bidi="ar-SA"/>
        </w:rPr>
        <w:t>4</w:t>
      </w:r>
      <w:r>
        <w:rPr>
          <w:rFonts w:hint="default" w:ascii="Times New Roman" w:hAnsi="Times New Roman" w:cs="Times New Roman"/>
          <w:b/>
          <w:bCs/>
          <w:i w:val="0"/>
          <w:color w:val="auto"/>
          <w:spacing w:val="0"/>
          <w:w w:val="100"/>
          <w:kern w:val="2"/>
          <w:sz w:val="32"/>
          <w:szCs w:val="24"/>
          <w:lang w:val="en-US" w:eastAsia="zh-CN" w:bidi="ar-SA"/>
        </w:rPr>
        <w:t>.1规定，特种设备作业人员负有以下职责：</w:t>
      </w:r>
    </w:p>
    <w:p w14:paraId="6E4DCAE2">
      <w:pPr>
        <w:numPr>
          <w:ilvl w:val="0"/>
          <w:numId w:val="9"/>
        </w:numPr>
        <w:bidi w:val="0"/>
        <w:rPr>
          <w:rFonts w:hint="default" w:ascii="Times New Roman" w:hAnsi="Times New Roman" w:cs="Times New Roman"/>
        </w:rPr>
      </w:pPr>
      <w:r>
        <w:rPr>
          <w:rFonts w:hint="default" w:ascii="Times New Roman" w:hAnsi="Times New Roman" w:cs="Times New Roman"/>
        </w:rPr>
        <w:t>严格执行特种设备有关安全管理制度，并且按照操作规程进行操作；</w:t>
      </w:r>
    </w:p>
    <w:p w14:paraId="76DCE801">
      <w:pPr>
        <w:numPr>
          <w:ilvl w:val="0"/>
          <w:numId w:val="9"/>
        </w:numPr>
        <w:bidi w:val="0"/>
        <w:rPr>
          <w:rFonts w:hint="default" w:ascii="Times New Roman" w:hAnsi="Times New Roman" w:cs="Times New Roman"/>
        </w:rPr>
      </w:pPr>
      <w:r>
        <w:rPr>
          <w:rFonts w:hint="default" w:ascii="Times New Roman" w:hAnsi="Times New Roman" w:cs="Times New Roman"/>
        </w:rPr>
        <w:t>按照规定填写作业、交接班等记录；</w:t>
      </w:r>
    </w:p>
    <w:p w14:paraId="08B63185">
      <w:pPr>
        <w:numPr>
          <w:ilvl w:val="0"/>
          <w:numId w:val="9"/>
        </w:numPr>
        <w:bidi w:val="0"/>
        <w:rPr>
          <w:rFonts w:hint="default" w:ascii="Times New Roman" w:hAnsi="Times New Roman" w:cs="Times New Roman"/>
        </w:rPr>
      </w:pPr>
      <w:r>
        <w:rPr>
          <w:rFonts w:hint="default" w:ascii="Times New Roman" w:hAnsi="Times New Roman" w:cs="Times New Roman"/>
        </w:rPr>
        <w:t>参加安全教育和技能培训；</w:t>
      </w:r>
    </w:p>
    <w:p w14:paraId="29805489">
      <w:pPr>
        <w:numPr>
          <w:ilvl w:val="0"/>
          <w:numId w:val="9"/>
        </w:numPr>
        <w:bidi w:val="0"/>
        <w:rPr>
          <w:rFonts w:hint="default" w:ascii="Times New Roman" w:hAnsi="Times New Roman" w:cs="Times New Roman"/>
        </w:rPr>
      </w:pPr>
      <w:r>
        <w:rPr>
          <w:rFonts w:hint="default" w:ascii="Times New Roman" w:hAnsi="Times New Roman" w:cs="Times New Roman"/>
        </w:rPr>
        <w:t>进行经常性维护保养，对发现的异常情况及时处理，并且作出记录；</w:t>
      </w:r>
    </w:p>
    <w:p w14:paraId="568965B1">
      <w:pPr>
        <w:numPr>
          <w:ilvl w:val="0"/>
          <w:numId w:val="9"/>
        </w:numPr>
        <w:bidi w:val="0"/>
        <w:rPr>
          <w:rFonts w:hint="default" w:ascii="Times New Roman" w:hAnsi="Times New Roman" w:cs="Times New Roman"/>
        </w:rPr>
      </w:pPr>
      <w:r>
        <w:rPr>
          <w:rFonts w:hint="default" w:ascii="Times New Roman" w:hAnsi="Times New Roman" w:cs="Times New Roman"/>
        </w:rPr>
        <w:t>作业过程中发现事故隐患或者其他不安全因素，应当立即采取紧急措施，并且按照规定的程序向特种设备安全管理人员和单位有关负责人报告；</w:t>
      </w:r>
    </w:p>
    <w:p w14:paraId="429F8F4A">
      <w:pPr>
        <w:numPr>
          <w:ilvl w:val="0"/>
          <w:numId w:val="9"/>
        </w:numPr>
        <w:bidi w:val="0"/>
        <w:rPr>
          <w:rFonts w:hint="default" w:ascii="Times New Roman" w:hAnsi="Times New Roman" w:cs="Times New Roman"/>
        </w:rPr>
      </w:pPr>
      <w:r>
        <w:rPr>
          <w:rFonts w:hint="default" w:ascii="Times New Roman" w:hAnsi="Times New Roman" w:cs="Times New Roman"/>
        </w:rPr>
        <w:t>参加应急演练，掌握相应的应急处置技能。</w:t>
      </w:r>
    </w:p>
    <w:p w14:paraId="52388DA9">
      <w:pPr>
        <w:numPr>
          <w:ilvl w:val="0"/>
          <w:numId w:val="9"/>
        </w:numPr>
        <w:bidi w:val="0"/>
        <w:rPr>
          <w:rFonts w:hint="default" w:ascii="Times New Roman" w:hAnsi="Times New Roman" w:cs="Times New Roman"/>
        </w:rPr>
      </w:pPr>
      <w:r>
        <w:rPr>
          <w:rFonts w:hint="default" w:ascii="Times New Roman" w:hAnsi="Times New Roman" w:cs="Times New Roman"/>
        </w:rPr>
        <w:t>锅炉作业人员应当严格执行锅炉节能管理制度，参加锅炉节能教育和技术培训。</w:t>
      </w:r>
    </w:p>
    <w:p w14:paraId="6A18B871">
      <w:pPr>
        <w:pStyle w:val="2"/>
        <w:numPr>
          <w:ilvl w:val="0"/>
          <w:numId w:val="0"/>
        </w:numPr>
        <w:bidi w:val="0"/>
        <w:ind w:leftChars="200"/>
        <w:rPr>
          <w:rFonts w:hint="default" w:ascii="Times New Roman" w:hAnsi="Times New Roman" w:cs="Times New Roman"/>
          <w:lang w:val="en-US" w:eastAsia="zh-CN"/>
        </w:rPr>
      </w:pPr>
      <w:bookmarkStart w:id="12" w:name="_Toc32190"/>
      <w:r>
        <w:rPr>
          <w:rFonts w:hint="default" w:ascii="Times New Roman" w:hAnsi="Times New Roman" w:cs="Times New Roman"/>
          <w:lang w:val="en-US" w:eastAsia="zh-CN"/>
        </w:rPr>
        <w:t>（七）设置安全管理机构和安全管理人员参考模板</w:t>
      </w:r>
      <w:bookmarkEnd w:id="12"/>
    </w:p>
    <w:p w14:paraId="1379E32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应当设置安全管理机构单位的参考模板见附件1-1。</w:t>
      </w:r>
    </w:p>
    <w:p w14:paraId="232E62E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无需设置安全管理机构，但需任命专职安全管理员单位的参考模板见附件1-2。</w:t>
      </w:r>
    </w:p>
    <w:p w14:paraId="05BF60C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无需设置安全管理机构且无需任命专职安全管理员单位的参考模板见附件1-3。</w:t>
      </w:r>
    </w:p>
    <w:p w14:paraId="2211A4DC">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1E58B994">
      <w:pPr>
        <w:pStyle w:val="3"/>
        <w:bidi w:val="0"/>
        <w:ind w:left="0" w:leftChars="0" w:firstLine="0" w:firstLineChars="0"/>
        <w:rPr>
          <w:rFonts w:hint="default" w:ascii="Times New Roman" w:hAnsi="Times New Roman" w:cs="Times New Roman"/>
          <w:lang w:val="en-US" w:eastAsia="zh-CN"/>
        </w:rPr>
      </w:pPr>
      <w:bookmarkStart w:id="13" w:name="_Toc30435"/>
      <w:r>
        <w:rPr>
          <w:rFonts w:hint="default" w:ascii="Times New Roman" w:hAnsi="Times New Roman" w:cs="Times New Roman"/>
          <w:lang w:val="en-US" w:eastAsia="zh-CN"/>
        </w:rPr>
        <w:t>三、特种设备安全管理制度和安全操作规程</w:t>
      </w:r>
      <w:bookmarkEnd w:id="13"/>
    </w:p>
    <w:p w14:paraId="06E80FB3">
      <w:pPr>
        <w:pStyle w:val="2"/>
        <w:bidi w:val="0"/>
        <w:rPr>
          <w:rFonts w:hint="default" w:ascii="Times New Roman" w:hAnsi="Times New Roman" w:cs="Times New Roman"/>
          <w:lang w:val="en-US" w:eastAsia="zh-CN"/>
        </w:rPr>
      </w:pPr>
      <w:bookmarkStart w:id="14" w:name="_Toc32354"/>
      <w:r>
        <w:rPr>
          <w:rFonts w:hint="default" w:ascii="Times New Roman" w:hAnsi="Times New Roman" w:cs="Times New Roman"/>
          <w:lang w:val="en-US" w:eastAsia="zh-CN"/>
        </w:rPr>
        <w:t>（一）特种设备安全管理制度及参考模板</w:t>
      </w:r>
      <w:bookmarkEnd w:id="14"/>
    </w:p>
    <w:p w14:paraId="53E63A1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b/>
          <w:bCs/>
          <w:i w:val="0"/>
          <w:color w:val="auto"/>
          <w:spacing w:val="0"/>
          <w:w w:val="100"/>
          <w:kern w:val="2"/>
          <w:sz w:val="32"/>
          <w:szCs w:val="24"/>
          <w:lang w:val="en-US" w:eastAsia="zh-CN" w:bidi="ar-SA"/>
        </w:rPr>
      </w:pPr>
      <w:r>
        <w:rPr>
          <w:rFonts w:hint="default" w:ascii="Times New Roman" w:hAnsi="Times New Roman" w:cs="Times New Roman"/>
          <w:b/>
          <w:bCs/>
          <w:lang w:val="en-US" w:eastAsia="zh-CN"/>
        </w:rPr>
        <w:t>《</w:t>
      </w:r>
      <w:r>
        <w:rPr>
          <w:rFonts w:hint="default" w:ascii="Times New Roman" w:hAnsi="Times New Roman" w:eastAsia="方正仿宋简体" w:cs="Times New Roman"/>
          <w:b/>
          <w:bCs/>
          <w:i w:val="0"/>
          <w:color w:val="auto"/>
          <w:spacing w:val="0"/>
          <w:w w:val="100"/>
          <w:kern w:val="2"/>
          <w:sz w:val="32"/>
          <w:szCs w:val="24"/>
          <w:lang w:val="en-US" w:eastAsia="zh-CN" w:bidi="ar-SA"/>
        </w:rPr>
        <w:t>特种设备使用管理规则》（TSG08-2017）</w:t>
      </w:r>
      <w:r>
        <w:rPr>
          <w:rFonts w:hint="default" w:ascii="Times New Roman" w:hAnsi="Times New Roman" w:cs="Times New Roman"/>
          <w:b/>
          <w:bCs/>
          <w:i w:val="0"/>
          <w:color w:val="auto"/>
          <w:spacing w:val="0"/>
          <w:w w:val="100"/>
          <w:kern w:val="2"/>
          <w:sz w:val="32"/>
          <w:szCs w:val="24"/>
          <w:lang w:val="en-US" w:eastAsia="zh-CN" w:bidi="ar-SA"/>
        </w:rPr>
        <w:t>2.6.1规定，使用单位应当至少建立以下安全管理制度：</w:t>
      </w:r>
    </w:p>
    <w:p w14:paraId="3B14D5A8">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特种设备经常性维护保养、定期自行检查和有关记录制度；</w:t>
      </w:r>
    </w:p>
    <w:p w14:paraId="64E5DC6D">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特种设备使用登记、定期检验、锅炉能效测试申请实施管理制度；</w:t>
      </w:r>
    </w:p>
    <w:p w14:paraId="1F8E5746">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特种设备隐患排查治理制度；</w:t>
      </w:r>
    </w:p>
    <w:p w14:paraId="0C8CDA0A">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特种设备安全管理人员与作业人员管理和培训制度；</w:t>
      </w:r>
    </w:p>
    <w:p w14:paraId="65C9EB69">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特种设备采购、安装、改造、修理、报废等管理制度；</w:t>
      </w:r>
    </w:p>
    <w:p w14:paraId="545D9BE9">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特种设备应急救援管理制度；</w:t>
      </w:r>
    </w:p>
    <w:p w14:paraId="1FC6A893">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7</w:t>
      </w:r>
      <w:r>
        <w:rPr>
          <w:rFonts w:hint="default" w:ascii="Times New Roman" w:hAnsi="Times New Roman" w:cs="Times New Roman"/>
          <w:lang w:eastAsia="zh-CN"/>
        </w:rPr>
        <w:t>）</w:t>
      </w:r>
      <w:r>
        <w:rPr>
          <w:rFonts w:hint="default" w:ascii="Times New Roman" w:hAnsi="Times New Roman" w:cs="Times New Roman"/>
        </w:rPr>
        <w:t>特种设备事故报告和处理制度；</w:t>
      </w:r>
    </w:p>
    <w:p w14:paraId="51EB7551">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8</w:t>
      </w:r>
      <w:r>
        <w:rPr>
          <w:rFonts w:hint="default" w:ascii="Times New Roman" w:hAnsi="Times New Roman" w:cs="Times New Roman"/>
          <w:lang w:eastAsia="zh-CN"/>
        </w:rPr>
        <w:t>）</w:t>
      </w:r>
      <w:r>
        <w:rPr>
          <w:rFonts w:hint="default" w:ascii="Times New Roman" w:hAnsi="Times New Roman" w:cs="Times New Roman"/>
        </w:rPr>
        <w:t>高耗能特种设备节能管理制度。</w:t>
      </w:r>
    </w:p>
    <w:p w14:paraId="01525A97">
      <w:pPr>
        <w:bidi w:val="0"/>
        <w:rPr>
          <w:rFonts w:hint="default" w:ascii="Times New Roman" w:hAnsi="Times New Roman" w:eastAsia="方正楷体简体" w:cs="Times New Roman"/>
          <w:color w:val="FF0000"/>
          <w:lang w:val="en-US" w:eastAsia="zh-CN"/>
        </w:rPr>
      </w:pPr>
      <w:r>
        <w:rPr>
          <w:rFonts w:hint="eastAsia" w:ascii="方正仿宋简体" w:hAnsi="方正仿宋简体" w:eastAsia="方正仿宋简体" w:cs="方正仿宋简体"/>
          <w:color w:val="auto"/>
          <w:lang w:eastAsia="zh-CN"/>
        </w:rPr>
        <w:t>特种设备安全管理制度参考模板见附件</w:t>
      </w:r>
      <w:r>
        <w:rPr>
          <w:rFonts w:hint="eastAsia" w:ascii="方正仿宋简体" w:hAnsi="方正仿宋简体" w:eastAsia="方正仿宋简体" w:cs="方正仿宋简体"/>
          <w:color w:val="auto"/>
          <w:lang w:val="en-US" w:eastAsia="zh-CN"/>
        </w:rPr>
        <w:t>2，</w:t>
      </w:r>
      <w:r>
        <w:rPr>
          <w:rFonts w:hint="default" w:ascii="Times New Roman" w:hAnsi="Times New Roman" w:eastAsia="方正楷体简体" w:cs="Times New Roman"/>
          <w:color w:val="FF0000"/>
          <w:lang w:val="en-US" w:eastAsia="zh-CN"/>
        </w:rPr>
        <w:t>各使用单位不得照抄照搬模板，应根据本企业实际制定。</w:t>
      </w:r>
    </w:p>
    <w:p w14:paraId="178827A0">
      <w:pPr>
        <w:pStyle w:val="2"/>
        <w:bidi w:val="0"/>
        <w:rPr>
          <w:rFonts w:hint="default" w:ascii="Times New Roman" w:hAnsi="Times New Roman" w:cs="Times New Roman"/>
          <w:lang w:val="en-US" w:eastAsia="zh-CN"/>
        </w:rPr>
      </w:pPr>
      <w:bookmarkStart w:id="15" w:name="_Toc10186"/>
      <w:r>
        <w:rPr>
          <w:rFonts w:hint="default" w:ascii="Times New Roman" w:hAnsi="Times New Roman" w:cs="Times New Roman"/>
          <w:lang w:val="en-US" w:eastAsia="zh-CN"/>
        </w:rPr>
        <w:t>（二）特种设备安全操作规程</w:t>
      </w:r>
      <w:bookmarkEnd w:id="15"/>
    </w:p>
    <w:p w14:paraId="4CAF684F">
      <w:pPr>
        <w:bidi w:val="0"/>
        <w:rPr>
          <w:rFonts w:hint="default" w:ascii="Times New Roman" w:hAnsi="Times New Roman" w:cs="Times New Roman"/>
          <w:lang w:val="en-US" w:eastAsia="zh-CN"/>
        </w:rPr>
      </w:pPr>
      <w:r>
        <w:rPr>
          <w:rFonts w:hint="default" w:ascii="Times New Roman" w:hAnsi="Times New Roman" w:cs="Times New Roman"/>
          <w:lang w:val="en-US" w:eastAsia="zh-CN"/>
        </w:rPr>
        <w:t>《特种设备使用管理规则》（TSG08-2017）2.6.2规定，使用单位应当根据所使用设备运行特点等，制定操作规程。操作规程一般包括设备运行参数、操作程序和方法、维护保养要求、安全注意事项、巡回检查和异常情况处置规定，以及相应记录等。</w:t>
      </w:r>
    </w:p>
    <w:p w14:paraId="6778E8E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使用单位应根据特种设备使用说明书，在设备制造厂家的指导下，逐台或逐类制定安全操作规程。</w:t>
      </w:r>
    </w:p>
    <w:p w14:paraId="33089589">
      <w:pPr>
        <w:pStyle w:val="2"/>
        <w:bidi w:val="0"/>
        <w:rPr>
          <w:rFonts w:hint="default" w:ascii="Times New Roman" w:hAnsi="Times New Roman" w:cs="Times New Roman"/>
          <w:lang w:eastAsia="zh-CN"/>
        </w:rPr>
      </w:pPr>
      <w:bookmarkStart w:id="16" w:name="_Toc25044"/>
      <w:r>
        <w:rPr>
          <w:rFonts w:hint="default" w:ascii="Times New Roman" w:hAnsi="Times New Roman" w:cs="Times New Roman"/>
          <w:lang w:eastAsia="zh-CN"/>
        </w:rPr>
        <w:t>（三）规章制度标准化建设</w:t>
      </w:r>
      <w:bookmarkEnd w:id="16"/>
    </w:p>
    <w:p w14:paraId="33AC2517">
      <w:pPr>
        <w:bidi w:val="0"/>
        <w:rPr>
          <w:rFonts w:hint="default" w:ascii="Times New Roman" w:hAnsi="Times New Roman" w:cs="Times New Roman"/>
          <w:lang w:eastAsia="zh-CN"/>
        </w:rPr>
      </w:pPr>
      <w:r>
        <w:rPr>
          <w:rFonts w:hint="default" w:ascii="Times New Roman" w:hAnsi="Times New Roman" w:cs="Times New Roman"/>
          <w:lang w:eastAsia="zh-CN"/>
        </w:rPr>
        <w:t>为加强安全生产标准化建设，特种设备安全管理制度</w:t>
      </w:r>
      <w:r>
        <w:rPr>
          <w:rFonts w:hint="eastAsia" w:ascii="Times New Roman" w:hAnsi="Times New Roman" w:cs="Times New Roman"/>
          <w:lang w:eastAsia="zh-CN"/>
        </w:rPr>
        <w:t>、</w:t>
      </w:r>
      <w:r>
        <w:rPr>
          <w:rFonts w:hint="default" w:ascii="Times New Roman" w:hAnsi="Times New Roman" w:cs="Times New Roman"/>
          <w:lang w:eastAsia="zh-CN"/>
        </w:rPr>
        <w:t>安全操作规程</w:t>
      </w:r>
      <w:r>
        <w:rPr>
          <w:rFonts w:hint="eastAsia" w:ascii="Times New Roman" w:hAnsi="Times New Roman" w:cs="Times New Roman"/>
          <w:lang w:eastAsia="zh-CN"/>
        </w:rPr>
        <w:t>、应急预案、特种设备“日管控、周排查、月调度”工作制度（参考模板见附件</w:t>
      </w:r>
      <w:r>
        <w:rPr>
          <w:rFonts w:hint="eastAsia" w:ascii="Times New Roman" w:hAnsi="Times New Roman" w:cs="Times New Roman"/>
          <w:lang w:val="en-US" w:eastAsia="zh-CN"/>
        </w:rPr>
        <w:t>3</w:t>
      </w:r>
      <w:r>
        <w:rPr>
          <w:rFonts w:hint="eastAsia" w:ascii="Times New Roman" w:hAnsi="Times New Roman" w:cs="Times New Roman"/>
          <w:lang w:eastAsia="zh-CN"/>
        </w:rPr>
        <w:t>）、特种设备风险管控清单（可融入本企业安全生产双重预防机制，参考模板见附件</w:t>
      </w:r>
      <w:r>
        <w:rPr>
          <w:rFonts w:hint="eastAsia" w:ascii="Times New Roman" w:hAnsi="Times New Roman" w:cs="Times New Roman"/>
          <w:lang w:val="en-US" w:eastAsia="zh-CN"/>
        </w:rPr>
        <w:t>4</w:t>
      </w:r>
      <w:r>
        <w:rPr>
          <w:rFonts w:hint="eastAsia" w:ascii="Times New Roman" w:hAnsi="Times New Roman" w:cs="Times New Roman"/>
          <w:lang w:eastAsia="zh-CN"/>
        </w:rPr>
        <w:t>）等相关规章制度文件</w:t>
      </w:r>
      <w:r>
        <w:rPr>
          <w:rFonts w:hint="eastAsia" w:ascii="方正楷体简体" w:hAnsi="方正楷体简体" w:eastAsia="方正楷体简体" w:cs="方正楷体简体"/>
          <w:color w:val="FF0000"/>
          <w:lang w:eastAsia="zh-CN"/>
        </w:rPr>
        <w:t>应汇编成册、统一存档</w:t>
      </w:r>
      <w:r>
        <w:rPr>
          <w:rFonts w:hint="default" w:ascii="Times New Roman" w:hAnsi="Times New Roman" w:cs="Times New Roman"/>
          <w:lang w:eastAsia="zh-CN"/>
        </w:rPr>
        <w:t>。</w:t>
      </w:r>
    </w:p>
    <w:p w14:paraId="611D02C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相关安全管理制度、安全操作规程应固定在作业场所的显著位置。</w:t>
      </w:r>
    </w:p>
    <w:p w14:paraId="1A1C12B6">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0A8764FA">
      <w:pPr>
        <w:pStyle w:val="3"/>
        <w:numPr>
          <w:ilvl w:val="0"/>
          <w:numId w:val="10"/>
        </w:numPr>
        <w:bidi w:val="0"/>
        <w:rPr>
          <w:rFonts w:hint="default" w:ascii="Times New Roman" w:hAnsi="Times New Roman" w:cs="Times New Roman"/>
          <w:lang w:val="en-US" w:eastAsia="zh-CN"/>
        </w:rPr>
      </w:pPr>
      <w:bookmarkStart w:id="17" w:name="_Toc28451"/>
      <w:r>
        <w:rPr>
          <w:rFonts w:hint="default" w:ascii="Times New Roman" w:hAnsi="Times New Roman" w:cs="Times New Roman"/>
          <w:lang w:val="en-US" w:eastAsia="zh-CN"/>
        </w:rPr>
        <w:t>特种设备及其安全附件管理台账</w:t>
      </w:r>
      <w:bookmarkEnd w:id="17"/>
    </w:p>
    <w:p w14:paraId="3F9698E0">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《特种设备使用管理规则》（TSG08-2017）2.2（5）规定，使用单位应建立特种设备台账并</w:t>
      </w:r>
      <w:r>
        <w:rPr>
          <w:rFonts w:hint="eastAsia" w:ascii="方正楷体简体" w:hAnsi="方正楷体简体" w:eastAsia="方正楷体简体" w:cs="方正楷体简体"/>
          <w:color w:val="FF0000"/>
          <w:lang w:val="en-US" w:eastAsia="zh-CN"/>
        </w:rPr>
        <w:t>动态更新</w:t>
      </w:r>
      <w:r>
        <w:rPr>
          <w:rFonts w:hint="default" w:ascii="Times New Roman" w:hAnsi="Times New Roman" w:cs="Times New Roman"/>
          <w:lang w:val="en-US" w:eastAsia="zh-CN"/>
        </w:rPr>
        <w:t>。</w:t>
      </w:r>
    </w:p>
    <w:p w14:paraId="1702DFF6">
      <w:pPr>
        <w:keepNext w:val="0"/>
        <w:keepLines w:val="0"/>
        <w:pageBreakBefore w:val="0"/>
        <w:widowControl w:val="0"/>
        <w:kinsoku/>
        <w:wordWrap/>
        <w:overflowPunct/>
        <w:topLinePunct w:val="0"/>
        <w:autoSpaceDE/>
        <w:autoSpaceDN/>
        <w:bidi w:val="0"/>
        <w:adjustRightInd/>
        <w:snapToGrid/>
        <w:spacing w:before="313" w:beforeLines="100" w:after="63" w:afterLines="20" w:line="520" w:lineRule="exact"/>
        <w:ind w:left="0" w:leftChars="0" w:firstLine="0" w:firstLineChars="0"/>
        <w:jc w:val="center"/>
        <w:textAlignment w:val="auto"/>
        <w:rPr>
          <w:rFonts w:hint="eastAsia" w:ascii="方正楷体简体" w:hAnsi="方正楷体简体" w:eastAsia="方正楷体简体" w:cs="方正楷体简体"/>
          <w:color w:val="auto"/>
          <w:lang w:val="en-US" w:eastAsia="zh-CN"/>
        </w:rPr>
      </w:pPr>
      <w:r>
        <w:rPr>
          <w:rFonts w:hint="eastAsia" w:ascii="方正楷体简体" w:hAnsi="方正楷体简体" w:eastAsia="方正楷体简体" w:cs="方正楷体简体"/>
          <w:color w:val="auto"/>
          <w:lang w:val="en-US" w:eastAsia="zh-CN"/>
        </w:rPr>
        <w:t>XXX公司特种设备管理台账（参考模板）</w:t>
      </w:r>
    </w:p>
    <w:p w14:paraId="27BCE216">
      <w:pPr>
        <w:keepNext w:val="0"/>
        <w:keepLines w:val="0"/>
        <w:pageBreakBefore w:val="0"/>
        <w:widowControl w:val="0"/>
        <w:kinsoku/>
        <w:wordWrap/>
        <w:overflowPunct/>
        <w:topLinePunct w:val="0"/>
        <w:autoSpaceDE/>
        <w:autoSpaceDN/>
        <w:bidi w:val="0"/>
        <w:adjustRightInd/>
        <w:snapToGrid/>
        <w:spacing w:line="520" w:lineRule="exact"/>
        <w:ind w:left="3" w:leftChars="-300" w:right="-973" w:rightChars="-304" w:hanging="963" w:hangingChars="457"/>
        <w:jc w:val="both"/>
        <w:textAlignment w:val="auto"/>
        <w:rPr>
          <w:rFonts w:hint="default" w:ascii="方正楷体简体" w:hAnsi="方正楷体简体" w:eastAsia="方正楷体简体" w:cs="方正楷体简体"/>
          <w:color w:val="auto"/>
          <w:sz w:val="21"/>
          <w:szCs w:val="21"/>
          <w:lang w:val="en-US" w:eastAsia="zh-CN"/>
        </w:rPr>
      </w:pPr>
      <w:r>
        <w:rPr>
          <w:rFonts w:hint="eastAsia" w:ascii="方正楷体简体" w:hAnsi="方正楷体简体" w:eastAsia="方正楷体简体" w:cs="方正楷体简体"/>
          <w:color w:val="auto"/>
          <w:sz w:val="21"/>
          <w:szCs w:val="21"/>
          <w:lang w:val="en-US" w:eastAsia="zh-CN"/>
        </w:rPr>
        <w:t>单位名称（盖章）：                      填表人：                     填表日期：    年   月   日</w:t>
      </w:r>
    </w:p>
    <w:tbl>
      <w:tblPr>
        <w:tblStyle w:val="17"/>
        <w:tblW w:w="9932" w:type="dxa"/>
        <w:tblInd w:w="-7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65"/>
        <w:gridCol w:w="870"/>
        <w:gridCol w:w="1080"/>
        <w:gridCol w:w="1065"/>
        <w:gridCol w:w="1065"/>
        <w:gridCol w:w="1125"/>
        <w:gridCol w:w="975"/>
        <w:gridCol w:w="960"/>
        <w:gridCol w:w="1247"/>
      </w:tblGrid>
      <w:tr w14:paraId="7BCB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0D1FF9C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序号</w:t>
            </w:r>
          </w:p>
        </w:tc>
        <w:tc>
          <w:tcPr>
            <w:tcW w:w="1065" w:type="dxa"/>
            <w:vAlign w:val="center"/>
          </w:tcPr>
          <w:p w14:paraId="10926459">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设备名称</w:t>
            </w:r>
          </w:p>
        </w:tc>
        <w:tc>
          <w:tcPr>
            <w:tcW w:w="870" w:type="dxa"/>
            <w:vAlign w:val="center"/>
          </w:tcPr>
          <w:p w14:paraId="6D8F361E">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eastAsia"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设备</w:t>
            </w:r>
          </w:p>
          <w:p w14:paraId="0E319361">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型号</w:t>
            </w:r>
          </w:p>
        </w:tc>
        <w:tc>
          <w:tcPr>
            <w:tcW w:w="1080" w:type="dxa"/>
            <w:vAlign w:val="center"/>
          </w:tcPr>
          <w:p w14:paraId="314D8C39">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使用登记证号</w:t>
            </w:r>
          </w:p>
        </w:tc>
        <w:tc>
          <w:tcPr>
            <w:tcW w:w="1065" w:type="dxa"/>
            <w:vAlign w:val="center"/>
          </w:tcPr>
          <w:p w14:paraId="6038124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eastAsia"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设备代码</w:t>
            </w:r>
          </w:p>
        </w:tc>
        <w:tc>
          <w:tcPr>
            <w:tcW w:w="1065" w:type="dxa"/>
            <w:vAlign w:val="center"/>
          </w:tcPr>
          <w:p w14:paraId="4EB3AB2D">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设备使用地点</w:t>
            </w:r>
          </w:p>
        </w:tc>
        <w:tc>
          <w:tcPr>
            <w:tcW w:w="1125" w:type="dxa"/>
            <w:vAlign w:val="center"/>
          </w:tcPr>
          <w:p w14:paraId="7173CDE3">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设计使用年限</w:t>
            </w:r>
          </w:p>
        </w:tc>
        <w:tc>
          <w:tcPr>
            <w:tcW w:w="975" w:type="dxa"/>
            <w:vAlign w:val="center"/>
          </w:tcPr>
          <w:p w14:paraId="6E7FE2F5">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投入使用时间</w:t>
            </w:r>
          </w:p>
        </w:tc>
        <w:tc>
          <w:tcPr>
            <w:tcW w:w="960" w:type="dxa"/>
            <w:vAlign w:val="center"/>
          </w:tcPr>
          <w:p w14:paraId="5D2F838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上次检验日期</w:t>
            </w:r>
          </w:p>
        </w:tc>
        <w:tc>
          <w:tcPr>
            <w:tcW w:w="1247" w:type="dxa"/>
            <w:vAlign w:val="center"/>
          </w:tcPr>
          <w:p w14:paraId="51C09608">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下次检验日期</w:t>
            </w:r>
          </w:p>
        </w:tc>
      </w:tr>
      <w:tr w14:paraId="7301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42CDF9F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746D851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3E6E00A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4BFF102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7305246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4BC8A5E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38ADE48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1F16B3C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4BB90CC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247" w:type="dxa"/>
            <w:vAlign w:val="center"/>
          </w:tcPr>
          <w:p w14:paraId="61C988A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7611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0C0303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7DB8941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66CF0ED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1D34F17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2CB4026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3616DD4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7A45995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5205840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50CA195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247" w:type="dxa"/>
            <w:vAlign w:val="center"/>
          </w:tcPr>
          <w:p w14:paraId="2A7CD9C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50D6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1CDE869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56DA7A5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3C03FA3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7ED65BB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185DF50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18177D1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479EBD3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6556970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1442563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247" w:type="dxa"/>
            <w:vAlign w:val="center"/>
          </w:tcPr>
          <w:p w14:paraId="6ABC039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4B44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7BDC000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2C2151D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43A8098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6E09508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2698D4E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5699AF1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33721C6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2577623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1B4845D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247" w:type="dxa"/>
            <w:vAlign w:val="center"/>
          </w:tcPr>
          <w:p w14:paraId="5C5995B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1BA7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FB70A8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539ABA0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180FB63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218EE75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007A8B3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2FADC35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6586638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5201565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6E8E38B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247" w:type="dxa"/>
            <w:vAlign w:val="center"/>
          </w:tcPr>
          <w:p w14:paraId="4679E49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1325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5A8ACF0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5311F27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4D9EDE6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0D39024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1ADA169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43984E1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45F88DA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0BF0ABF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0E3286F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247" w:type="dxa"/>
            <w:vAlign w:val="center"/>
          </w:tcPr>
          <w:p w14:paraId="2B4997F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bl>
    <w:p w14:paraId="28A5549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楷体简体" w:hAnsi="方正楷体简体" w:eastAsia="方正楷体简体" w:cs="方正楷体简体"/>
          <w:color w:val="FF0000"/>
          <w:lang w:val="en-US" w:eastAsia="zh-CN"/>
        </w:rPr>
      </w:pPr>
      <w:r>
        <w:rPr>
          <w:rFonts w:hint="eastAsia" w:ascii="方正楷体简体" w:hAnsi="方正楷体简体" w:eastAsia="方正楷体简体" w:cs="方正楷体简体"/>
          <w:color w:val="FF0000"/>
          <w:lang w:val="en-US" w:eastAsia="zh-CN"/>
        </w:rPr>
        <w:t>注意：D级锅炉、简单压力容器等无需办理使用登记的设备也应列入台账纳入管理，压力管道、气瓶也应纳入台账。</w:t>
      </w:r>
    </w:p>
    <w:p w14:paraId="5D9470D9">
      <w:pPr>
        <w:keepNext w:val="0"/>
        <w:keepLines w:val="0"/>
        <w:pageBreakBefore w:val="0"/>
        <w:widowControl w:val="0"/>
        <w:kinsoku/>
        <w:wordWrap/>
        <w:overflowPunct/>
        <w:topLinePunct w:val="0"/>
        <w:autoSpaceDE/>
        <w:autoSpaceDN/>
        <w:bidi w:val="0"/>
        <w:adjustRightInd/>
        <w:snapToGrid/>
        <w:spacing w:before="313" w:beforeLines="100" w:after="63" w:afterLines="20" w:line="520" w:lineRule="exact"/>
        <w:ind w:left="0" w:leftChars="0" w:firstLine="0" w:firstLineChars="0"/>
        <w:jc w:val="center"/>
        <w:textAlignment w:val="auto"/>
        <w:rPr>
          <w:rFonts w:hint="eastAsia" w:ascii="方正楷体简体" w:hAnsi="方正楷体简体" w:eastAsia="方正楷体简体" w:cs="方正楷体简体"/>
          <w:color w:val="auto"/>
          <w:lang w:val="en-US" w:eastAsia="zh-CN"/>
        </w:rPr>
      </w:pPr>
      <w:r>
        <w:rPr>
          <w:rFonts w:hint="eastAsia" w:ascii="方正楷体简体" w:hAnsi="方正楷体简体" w:eastAsia="方正楷体简体" w:cs="方正楷体简体"/>
          <w:color w:val="auto"/>
          <w:lang w:val="en-US" w:eastAsia="zh-CN"/>
        </w:rPr>
        <w:t>XXX公司特种设备安全附件台账（参考模板）</w:t>
      </w:r>
    </w:p>
    <w:p w14:paraId="6B7B45C9">
      <w:pPr>
        <w:keepNext w:val="0"/>
        <w:keepLines w:val="0"/>
        <w:pageBreakBefore w:val="0"/>
        <w:widowControl w:val="0"/>
        <w:kinsoku/>
        <w:wordWrap/>
        <w:overflowPunct/>
        <w:topLinePunct w:val="0"/>
        <w:autoSpaceDE/>
        <w:autoSpaceDN/>
        <w:bidi w:val="0"/>
        <w:adjustRightInd/>
        <w:snapToGrid/>
        <w:spacing w:line="520" w:lineRule="exact"/>
        <w:ind w:left="3" w:leftChars="-300" w:right="-973" w:rightChars="-304" w:hanging="963" w:hangingChars="457"/>
        <w:jc w:val="both"/>
        <w:textAlignment w:val="auto"/>
        <w:rPr>
          <w:rFonts w:hint="default" w:ascii="方正楷体简体" w:hAnsi="方正楷体简体" w:eastAsia="方正楷体简体" w:cs="方正楷体简体"/>
          <w:color w:val="auto"/>
          <w:sz w:val="21"/>
          <w:szCs w:val="21"/>
          <w:lang w:val="en-US" w:eastAsia="zh-CN"/>
        </w:rPr>
      </w:pPr>
      <w:r>
        <w:rPr>
          <w:rFonts w:hint="eastAsia" w:ascii="方正楷体简体" w:hAnsi="方正楷体简体" w:eastAsia="方正楷体简体" w:cs="方正楷体简体"/>
          <w:color w:val="auto"/>
          <w:sz w:val="21"/>
          <w:szCs w:val="21"/>
          <w:lang w:val="en-US" w:eastAsia="zh-CN"/>
        </w:rPr>
        <w:t>单位名称（盖章）：                      填表人：                      填表日期：    年   月   日</w:t>
      </w:r>
    </w:p>
    <w:tbl>
      <w:tblPr>
        <w:tblStyle w:val="17"/>
        <w:tblW w:w="10110" w:type="dxa"/>
        <w:tblInd w:w="-7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65"/>
        <w:gridCol w:w="870"/>
        <w:gridCol w:w="1080"/>
        <w:gridCol w:w="1065"/>
        <w:gridCol w:w="1125"/>
        <w:gridCol w:w="975"/>
        <w:gridCol w:w="960"/>
        <w:gridCol w:w="1590"/>
        <w:gridCol w:w="900"/>
      </w:tblGrid>
      <w:tr w14:paraId="1961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448AFE6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序号</w:t>
            </w:r>
          </w:p>
        </w:tc>
        <w:tc>
          <w:tcPr>
            <w:tcW w:w="1065" w:type="dxa"/>
            <w:vAlign w:val="center"/>
          </w:tcPr>
          <w:p w14:paraId="28764EE3">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名称</w:t>
            </w:r>
          </w:p>
        </w:tc>
        <w:tc>
          <w:tcPr>
            <w:tcW w:w="870" w:type="dxa"/>
            <w:vAlign w:val="center"/>
          </w:tcPr>
          <w:p w14:paraId="6A91A892">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型号</w:t>
            </w:r>
          </w:p>
        </w:tc>
        <w:tc>
          <w:tcPr>
            <w:tcW w:w="1080" w:type="dxa"/>
            <w:vAlign w:val="center"/>
          </w:tcPr>
          <w:p w14:paraId="1BA9FAF1">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出厂编号</w:t>
            </w:r>
          </w:p>
        </w:tc>
        <w:tc>
          <w:tcPr>
            <w:tcW w:w="1065" w:type="dxa"/>
            <w:vAlign w:val="center"/>
          </w:tcPr>
          <w:p w14:paraId="1994C6F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所属设备及位置</w:t>
            </w:r>
          </w:p>
        </w:tc>
        <w:tc>
          <w:tcPr>
            <w:tcW w:w="1125" w:type="dxa"/>
            <w:vAlign w:val="center"/>
          </w:tcPr>
          <w:p w14:paraId="7922BFF4">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校验日期</w:t>
            </w:r>
          </w:p>
        </w:tc>
        <w:tc>
          <w:tcPr>
            <w:tcW w:w="975" w:type="dxa"/>
            <w:vAlign w:val="center"/>
          </w:tcPr>
          <w:p w14:paraId="29F9BDD7">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校验结论</w:t>
            </w:r>
          </w:p>
        </w:tc>
        <w:tc>
          <w:tcPr>
            <w:tcW w:w="960" w:type="dxa"/>
            <w:vAlign w:val="center"/>
          </w:tcPr>
          <w:p w14:paraId="0712A92A">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下次校验日期</w:t>
            </w:r>
          </w:p>
        </w:tc>
        <w:tc>
          <w:tcPr>
            <w:tcW w:w="1590" w:type="dxa"/>
            <w:vAlign w:val="center"/>
          </w:tcPr>
          <w:p w14:paraId="7B314B57">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校验单位</w:t>
            </w:r>
          </w:p>
        </w:tc>
        <w:tc>
          <w:tcPr>
            <w:tcW w:w="900" w:type="dxa"/>
            <w:vAlign w:val="center"/>
          </w:tcPr>
          <w:p w14:paraId="0D79FD30">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备注</w:t>
            </w:r>
          </w:p>
        </w:tc>
      </w:tr>
      <w:tr w14:paraId="1154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23864E0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4B96E8B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50F37D2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6B94C9A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108058C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3D1DF41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18D736F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0AA29DC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590" w:type="dxa"/>
            <w:vAlign w:val="center"/>
          </w:tcPr>
          <w:p w14:paraId="3B99C61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00" w:type="dxa"/>
            <w:vAlign w:val="center"/>
          </w:tcPr>
          <w:p w14:paraId="50CB67D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68F4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4335B0B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6D8234B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3A5FC24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4390CD6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500623A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7D510FA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7240937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2900582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590" w:type="dxa"/>
            <w:vAlign w:val="center"/>
          </w:tcPr>
          <w:p w14:paraId="52813B0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00" w:type="dxa"/>
            <w:vAlign w:val="center"/>
          </w:tcPr>
          <w:p w14:paraId="3B1EAEC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3968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1DC565A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41E0F94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14212D6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46F671F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2178866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1EF8637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5641AAC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63FB32C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590" w:type="dxa"/>
            <w:vAlign w:val="center"/>
          </w:tcPr>
          <w:p w14:paraId="7F6CEE1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00" w:type="dxa"/>
            <w:vAlign w:val="center"/>
          </w:tcPr>
          <w:p w14:paraId="02A97E7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4B48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5E5E498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3145C8C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02D7F9A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4DD1975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66895A0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11CF87E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053EF59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242A13C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590" w:type="dxa"/>
            <w:vAlign w:val="center"/>
          </w:tcPr>
          <w:p w14:paraId="6AE9C6F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00" w:type="dxa"/>
            <w:vAlign w:val="center"/>
          </w:tcPr>
          <w:p w14:paraId="346A5C7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48EF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1FF59B0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3DA3411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35CC363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175F02D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09A219A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1ABA50A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679F541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7DDDDCA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590" w:type="dxa"/>
            <w:vAlign w:val="center"/>
          </w:tcPr>
          <w:p w14:paraId="04B12DD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00" w:type="dxa"/>
            <w:vAlign w:val="center"/>
          </w:tcPr>
          <w:p w14:paraId="42E2580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573A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0C5675F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6ADEAAB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870" w:type="dxa"/>
            <w:vAlign w:val="center"/>
          </w:tcPr>
          <w:p w14:paraId="1040D9D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0CDF59A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2C35EA6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326AD12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75" w:type="dxa"/>
            <w:vAlign w:val="center"/>
          </w:tcPr>
          <w:p w14:paraId="032AFD0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60" w:type="dxa"/>
            <w:vAlign w:val="center"/>
          </w:tcPr>
          <w:p w14:paraId="037F368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590" w:type="dxa"/>
            <w:vAlign w:val="center"/>
          </w:tcPr>
          <w:p w14:paraId="561E798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900" w:type="dxa"/>
            <w:vAlign w:val="center"/>
          </w:tcPr>
          <w:p w14:paraId="7491B7F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bl>
    <w:p w14:paraId="69B91BCE">
      <w:pPr>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注：安全附件包括安全阀、压力表、爆破片、测温仪表、液位计等。</w:t>
      </w:r>
    </w:p>
    <w:p w14:paraId="3BA59AA3">
      <w:pPr>
        <w:pStyle w:val="3"/>
        <w:numPr>
          <w:ilvl w:val="0"/>
          <w:numId w:val="10"/>
        </w:numPr>
        <w:bidi w:val="0"/>
        <w:rPr>
          <w:rFonts w:hint="default" w:ascii="Times New Roman" w:hAnsi="Times New Roman" w:cs="Times New Roman"/>
          <w:lang w:val="en-US" w:eastAsia="zh-CN"/>
        </w:rPr>
      </w:pPr>
      <w:bookmarkStart w:id="18" w:name="_Toc14950"/>
      <w:r>
        <w:rPr>
          <w:rFonts w:hint="default" w:ascii="Times New Roman" w:hAnsi="Times New Roman" w:cs="Times New Roman"/>
          <w:lang w:val="en-US" w:eastAsia="zh-CN"/>
        </w:rPr>
        <w:t>特种设备相关人员管理和培训考核</w:t>
      </w:r>
      <w:bookmarkEnd w:id="18"/>
    </w:p>
    <w:p w14:paraId="02573C67">
      <w:pPr>
        <w:pStyle w:val="2"/>
        <w:numPr>
          <w:ilvl w:val="0"/>
          <w:numId w:val="11"/>
        </w:numPr>
        <w:bidi w:val="0"/>
        <w:ind w:left="0" w:leftChars="0" w:firstLine="640" w:firstLineChars="200"/>
        <w:rPr>
          <w:rFonts w:hint="default" w:ascii="Times New Roman" w:hAnsi="Times New Roman" w:cs="Times New Roman"/>
          <w:lang w:val="en-US" w:eastAsia="zh-CN"/>
        </w:rPr>
      </w:pPr>
      <w:bookmarkStart w:id="19" w:name="_Toc20155"/>
      <w:r>
        <w:rPr>
          <w:rFonts w:hint="default" w:ascii="Times New Roman" w:hAnsi="Times New Roman" w:cs="Times New Roman"/>
          <w:lang w:val="en-US" w:eastAsia="zh-CN"/>
        </w:rPr>
        <w:t>特种设备安全管理人员和作业人员数量要求</w:t>
      </w:r>
      <w:bookmarkEnd w:id="19"/>
    </w:p>
    <w:p w14:paraId="731610CF">
      <w:pPr>
        <w:bidi w:val="0"/>
        <w:rPr>
          <w:rFonts w:hint="default" w:ascii="Times New Roman" w:hAnsi="Times New Roman" w:cs="Times New Roman"/>
          <w:lang w:val="en-US" w:eastAsia="zh-CN"/>
        </w:rPr>
      </w:pPr>
      <w:r>
        <w:rPr>
          <w:rFonts w:hint="default" w:ascii="Times New Roman" w:hAnsi="Times New Roman" w:cs="Times New Roman"/>
          <w:lang w:val="en-US" w:eastAsia="zh-CN"/>
        </w:rPr>
        <w:t>《特种设备使用管理规则》（TSG08-2017）2.4.4.2规定，使用单位应当根据本单位特种设备数量、特性等配备相应持证的特种设备作业人员，并且在使用特种设备时应当保证每班至少有一名持证的作业人员在岗。</w:t>
      </w:r>
    </w:p>
    <w:p w14:paraId="71A4EAA7">
      <w:pPr>
        <w:bidi w:val="0"/>
        <w:rPr>
          <w:rFonts w:hint="default" w:ascii="Times New Roman" w:hAnsi="Times New Roman" w:cs="Times New Roman"/>
        </w:rPr>
      </w:pPr>
      <w:r>
        <w:rPr>
          <w:rFonts w:hint="default" w:ascii="Times New Roman" w:hAnsi="Times New Roman" w:cs="Times New Roman"/>
          <w:lang w:val="en-US" w:eastAsia="zh-CN"/>
        </w:rPr>
        <w:t>山东省地方标准《特种设备作业人员配备要求》（DB37/T 3080—2022）规定，相关人员应满足以下要求：</w:t>
      </w:r>
    </w:p>
    <w:p w14:paraId="4C75B4F0">
      <w:pPr>
        <w:keepNext w:val="0"/>
        <w:keepLines w:val="0"/>
        <w:pageBreakBefore w:val="0"/>
        <w:widowControl w:val="0"/>
        <w:kinsoku/>
        <w:wordWrap/>
        <w:overflowPunct/>
        <w:topLinePunct w:val="0"/>
        <w:autoSpaceDE/>
        <w:autoSpaceDN/>
        <w:bidi w:val="0"/>
        <w:adjustRightInd/>
        <w:snapToGrid/>
        <w:spacing w:line="240" w:lineRule="auto"/>
        <w:ind w:left="-637" w:leftChars="-200" w:hanging="3" w:firstLineChars="0"/>
        <w:textAlignment w:val="auto"/>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6311900" cy="5054600"/>
            <wp:effectExtent l="0" t="0" r="12700"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6311900" cy="505460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6310630" cy="7258050"/>
            <wp:effectExtent l="0" t="0" r="1397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6310630" cy="72580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6195060" cy="7774940"/>
            <wp:effectExtent l="0" t="0" r="15240" b="165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6195060" cy="7774940"/>
                    </a:xfrm>
                    <a:prstGeom prst="rect">
                      <a:avLst/>
                    </a:prstGeom>
                    <a:noFill/>
                    <a:ln>
                      <a:noFill/>
                    </a:ln>
                  </pic:spPr>
                </pic:pic>
              </a:graphicData>
            </a:graphic>
          </wp:inline>
        </w:drawing>
      </w:r>
    </w:p>
    <w:p w14:paraId="0E9484D2">
      <w:pPr>
        <w:pStyle w:val="2"/>
        <w:numPr>
          <w:ilvl w:val="0"/>
          <w:numId w:val="11"/>
        </w:numPr>
        <w:bidi w:val="0"/>
        <w:ind w:left="0" w:leftChars="0" w:firstLine="640" w:firstLineChars="200"/>
        <w:rPr>
          <w:rFonts w:hint="default" w:ascii="Times New Roman" w:hAnsi="Times New Roman" w:cs="Times New Roman"/>
          <w:lang w:val="en-US" w:eastAsia="zh-CN"/>
        </w:rPr>
      </w:pPr>
      <w:bookmarkStart w:id="20" w:name="_Toc79"/>
      <w:r>
        <w:rPr>
          <w:rFonts w:hint="default" w:ascii="Times New Roman" w:hAnsi="Times New Roman" w:cs="Times New Roman"/>
          <w:lang w:val="en-US" w:eastAsia="zh-CN"/>
        </w:rPr>
        <w:t>特种设备安全管理和作业人员管理台账</w:t>
      </w:r>
      <w:bookmarkEnd w:id="20"/>
    </w:p>
    <w:p w14:paraId="43782B5F">
      <w:pPr>
        <w:keepNext w:val="0"/>
        <w:keepLines w:val="0"/>
        <w:pageBreakBefore w:val="0"/>
        <w:widowControl w:val="0"/>
        <w:kinsoku/>
        <w:wordWrap/>
        <w:overflowPunct/>
        <w:topLinePunct w:val="0"/>
        <w:autoSpaceDE/>
        <w:autoSpaceDN/>
        <w:bidi w:val="0"/>
        <w:adjustRightInd/>
        <w:snapToGrid/>
        <w:spacing w:before="313" w:beforeLines="100" w:after="63" w:afterLines="20" w:line="520" w:lineRule="exact"/>
        <w:ind w:left="0" w:leftChars="0" w:firstLine="0" w:firstLineChars="0"/>
        <w:jc w:val="center"/>
        <w:textAlignment w:val="auto"/>
        <w:rPr>
          <w:rFonts w:hint="eastAsia" w:ascii="方正楷体简体" w:hAnsi="方正楷体简体" w:eastAsia="方正楷体简体" w:cs="方正楷体简体"/>
          <w:color w:val="auto"/>
          <w:lang w:val="en-US" w:eastAsia="zh-CN"/>
        </w:rPr>
      </w:pPr>
      <w:r>
        <w:rPr>
          <w:rFonts w:hint="eastAsia" w:ascii="方正楷体简体" w:hAnsi="方正楷体简体" w:eastAsia="方正楷体简体" w:cs="方正楷体简体"/>
          <w:color w:val="auto"/>
          <w:lang w:val="en-US" w:eastAsia="zh-CN"/>
        </w:rPr>
        <w:t>XXX公司特种设备作业人员持证情况台账</w:t>
      </w:r>
    </w:p>
    <w:p w14:paraId="669598E7">
      <w:pPr>
        <w:keepNext w:val="0"/>
        <w:keepLines w:val="0"/>
        <w:pageBreakBefore w:val="0"/>
        <w:widowControl w:val="0"/>
        <w:kinsoku/>
        <w:wordWrap/>
        <w:overflowPunct/>
        <w:topLinePunct w:val="0"/>
        <w:autoSpaceDE/>
        <w:autoSpaceDN/>
        <w:bidi w:val="0"/>
        <w:adjustRightInd/>
        <w:snapToGrid/>
        <w:spacing w:line="520" w:lineRule="exact"/>
        <w:ind w:left="3" w:leftChars="-300" w:right="-973" w:rightChars="-304" w:hanging="963" w:hangingChars="457"/>
        <w:jc w:val="both"/>
        <w:textAlignment w:val="auto"/>
        <w:rPr>
          <w:rFonts w:hint="default" w:ascii="方正楷体简体" w:hAnsi="方正楷体简体" w:eastAsia="方正楷体简体" w:cs="方正楷体简体"/>
          <w:color w:val="auto"/>
          <w:sz w:val="21"/>
          <w:szCs w:val="21"/>
          <w:lang w:val="en-US" w:eastAsia="zh-CN"/>
        </w:rPr>
      </w:pPr>
      <w:r>
        <w:rPr>
          <w:rFonts w:hint="eastAsia" w:ascii="方正楷体简体" w:hAnsi="方正楷体简体" w:eastAsia="方正楷体简体" w:cs="方正楷体简体"/>
          <w:color w:val="auto"/>
          <w:sz w:val="21"/>
          <w:szCs w:val="21"/>
          <w:lang w:val="en-US" w:eastAsia="zh-CN"/>
        </w:rPr>
        <w:t>单位名称（盖章）：                     填表人：                    填表日期：    年   月   日</w:t>
      </w:r>
    </w:p>
    <w:tbl>
      <w:tblPr>
        <w:tblStyle w:val="17"/>
        <w:tblW w:w="9917" w:type="dxa"/>
        <w:tblInd w:w="-7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65"/>
        <w:gridCol w:w="527"/>
        <w:gridCol w:w="1695"/>
        <w:gridCol w:w="1125"/>
        <w:gridCol w:w="1170"/>
        <w:gridCol w:w="1740"/>
        <w:gridCol w:w="1080"/>
        <w:gridCol w:w="1035"/>
      </w:tblGrid>
      <w:tr w14:paraId="21D0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1A039E7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序号</w:t>
            </w:r>
          </w:p>
        </w:tc>
        <w:tc>
          <w:tcPr>
            <w:tcW w:w="1065" w:type="dxa"/>
            <w:vAlign w:val="center"/>
          </w:tcPr>
          <w:p w14:paraId="3EF05C47">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姓名</w:t>
            </w:r>
          </w:p>
        </w:tc>
        <w:tc>
          <w:tcPr>
            <w:tcW w:w="527" w:type="dxa"/>
            <w:vAlign w:val="center"/>
          </w:tcPr>
          <w:p w14:paraId="6691D8C7">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eastAsia"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性别</w:t>
            </w:r>
          </w:p>
        </w:tc>
        <w:tc>
          <w:tcPr>
            <w:tcW w:w="1695" w:type="dxa"/>
            <w:vAlign w:val="center"/>
          </w:tcPr>
          <w:p w14:paraId="70803BA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证件编号</w:t>
            </w:r>
          </w:p>
        </w:tc>
        <w:tc>
          <w:tcPr>
            <w:tcW w:w="1125" w:type="dxa"/>
            <w:vAlign w:val="center"/>
          </w:tcPr>
          <w:p w14:paraId="799F3A0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持证项目（代号）</w:t>
            </w:r>
          </w:p>
        </w:tc>
        <w:tc>
          <w:tcPr>
            <w:tcW w:w="1170" w:type="dxa"/>
            <w:vAlign w:val="center"/>
          </w:tcPr>
          <w:p w14:paraId="300F9A7E">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岗位</w:t>
            </w:r>
          </w:p>
        </w:tc>
        <w:tc>
          <w:tcPr>
            <w:tcW w:w="1740" w:type="dxa"/>
            <w:vAlign w:val="center"/>
          </w:tcPr>
          <w:p w14:paraId="5730C27D">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发证机关</w:t>
            </w:r>
          </w:p>
        </w:tc>
        <w:tc>
          <w:tcPr>
            <w:tcW w:w="1080" w:type="dxa"/>
            <w:vAlign w:val="center"/>
          </w:tcPr>
          <w:p w14:paraId="6CB531AF">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eastAsia"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取证</w:t>
            </w:r>
          </w:p>
          <w:p w14:paraId="5E9FEF5A">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日期</w:t>
            </w:r>
          </w:p>
        </w:tc>
        <w:tc>
          <w:tcPr>
            <w:tcW w:w="1035" w:type="dxa"/>
            <w:vAlign w:val="center"/>
          </w:tcPr>
          <w:p w14:paraId="6811B1AA">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eastAsia"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有效</w:t>
            </w:r>
          </w:p>
          <w:p w14:paraId="6D51D8B9">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r>
              <w:rPr>
                <w:rFonts w:hint="eastAsia" w:ascii="方正楷体简体" w:hAnsi="方正楷体简体" w:eastAsia="方正楷体简体" w:cs="方正楷体简体"/>
                <w:color w:val="auto"/>
                <w:sz w:val="21"/>
                <w:szCs w:val="21"/>
                <w:vertAlign w:val="baseline"/>
                <w:lang w:val="en-US" w:eastAsia="zh-CN"/>
              </w:rPr>
              <w:t>日期</w:t>
            </w:r>
          </w:p>
        </w:tc>
      </w:tr>
      <w:tr w14:paraId="218D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2A03F4D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4150E0B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527" w:type="dxa"/>
            <w:vAlign w:val="center"/>
          </w:tcPr>
          <w:p w14:paraId="48CDE97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695" w:type="dxa"/>
            <w:vAlign w:val="center"/>
          </w:tcPr>
          <w:p w14:paraId="79E2094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3E41035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70" w:type="dxa"/>
            <w:vAlign w:val="center"/>
          </w:tcPr>
          <w:p w14:paraId="3C6F6A5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740" w:type="dxa"/>
            <w:vAlign w:val="center"/>
          </w:tcPr>
          <w:p w14:paraId="0BA2252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7DCFBD5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35" w:type="dxa"/>
            <w:vAlign w:val="center"/>
          </w:tcPr>
          <w:p w14:paraId="49549A6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33D9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7CBC21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30788D9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527" w:type="dxa"/>
            <w:vAlign w:val="center"/>
          </w:tcPr>
          <w:p w14:paraId="7E3D64F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695" w:type="dxa"/>
            <w:vAlign w:val="center"/>
          </w:tcPr>
          <w:p w14:paraId="249FCCE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21A1713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70" w:type="dxa"/>
            <w:vAlign w:val="center"/>
          </w:tcPr>
          <w:p w14:paraId="7AAE9EF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740" w:type="dxa"/>
            <w:vAlign w:val="center"/>
          </w:tcPr>
          <w:p w14:paraId="7301627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56C88E4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35" w:type="dxa"/>
            <w:vAlign w:val="center"/>
          </w:tcPr>
          <w:p w14:paraId="2CFF529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13BD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A1BA79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114F443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527" w:type="dxa"/>
            <w:vAlign w:val="center"/>
          </w:tcPr>
          <w:p w14:paraId="5074B6B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695" w:type="dxa"/>
            <w:vAlign w:val="center"/>
          </w:tcPr>
          <w:p w14:paraId="5D37A45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5F72405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70" w:type="dxa"/>
            <w:vAlign w:val="center"/>
          </w:tcPr>
          <w:p w14:paraId="6C612C5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740" w:type="dxa"/>
            <w:vAlign w:val="center"/>
          </w:tcPr>
          <w:p w14:paraId="67C2108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260A726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35" w:type="dxa"/>
            <w:vAlign w:val="center"/>
          </w:tcPr>
          <w:p w14:paraId="7756757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4A0C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67F656E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73D137A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527" w:type="dxa"/>
            <w:vAlign w:val="center"/>
          </w:tcPr>
          <w:p w14:paraId="0D13F1E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695" w:type="dxa"/>
            <w:vAlign w:val="center"/>
          </w:tcPr>
          <w:p w14:paraId="5878A8D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4F1B36E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70" w:type="dxa"/>
            <w:vAlign w:val="center"/>
          </w:tcPr>
          <w:p w14:paraId="75DCB42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740" w:type="dxa"/>
            <w:vAlign w:val="center"/>
          </w:tcPr>
          <w:p w14:paraId="0FF38C1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2A2A3C8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35" w:type="dxa"/>
            <w:vAlign w:val="center"/>
          </w:tcPr>
          <w:p w14:paraId="668722A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37B0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1A12D16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61DA68E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527" w:type="dxa"/>
            <w:vAlign w:val="center"/>
          </w:tcPr>
          <w:p w14:paraId="6729466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695" w:type="dxa"/>
            <w:vAlign w:val="center"/>
          </w:tcPr>
          <w:p w14:paraId="1F7F01A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54DFBCD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70" w:type="dxa"/>
            <w:vAlign w:val="center"/>
          </w:tcPr>
          <w:p w14:paraId="43C04F9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740" w:type="dxa"/>
            <w:vAlign w:val="center"/>
          </w:tcPr>
          <w:p w14:paraId="69345B1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1682E1E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35" w:type="dxa"/>
            <w:vAlign w:val="center"/>
          </w:tcPr>
          <w:p w14:paraId="6EC9BEA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r w14:paraId="4AFC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FA7A64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65" w:type="dxa"/>
            <w:vAlign w:val="center"/>
          </w:tcPr>
          <w:p w14:paraId="51ABD59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527" w:type="dxa"/>
            <w:vAlign w:val="center"/>
          </w:tcPr>
          <w:p w14:paraId="081C47F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695" w:type="dxa"/>
            <w:vAlign w:val="center"/>
          </w:tcPr>
          <w:p w14:paraId="12BCCDD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25" w:type="dxa"/>
            <w:vAlign w:val="center"/>
          </w:tcPr>
          <w:p w14:paraId="77532AE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170" w:type="dxa"/>
            <w:vAlign w:val="center"/>
          </w:tcPr>
          <w:p w14:paraId="1A08972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740" w:type="dxa"/>
            <w:vAlign w:val="center"/>
          </w:tcPr>
          <w:p w14:paraId="680D011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80" w:type="dxa"/>
            <w:vAlign w:val="center"/>
          </w:tcPr>
          <w:p w14:paraId="07F1E38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c>
          <w:tcPr>
            <w:tcW w:w="1035" w:type="dxa"/>
            <w:vAlign w:val="center"/>
          </w:tcPr>
          <w:p w14:paraId="67138DA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方正楷体简体" w:hAnsi="方正楷体简体" w:eastAsia="方正楷体简体" w:cs="方正楷体简体"/>
                <w:color w:val="auto"/>
                <w:sz w:val="21"/>
                <w:szCs w:val="21"/>
                <w:vertAlign w:val="baseline"/>
                <w:lang w:val="en-US" w:eastAsia="zh-CN"/>
              </w:rPr>
            </w:pPr>
          </w:p>
        </w:tc>
      </w:tr>
    </w:tbl>
    <w:p w14:paraId="67AB1349">
      <w:pPr>
        <w:pStyle w:val="2"/>
        <w:numPr>
          <w:ilvl w:val="0"/>
          <w:numId w:val="11"/>
        </w:numPr>
        <w:bidi w:val="0"/>
        <w:rPr>
          <w:rFonts w:hint="default" w:ascii="Times New Roman" w:hAnsi="Times New Roman" w:cs="Times New Roman"/>
          <w:lang w:val="en-US" w:eastAsia="zh-CN"/>
        </w:rPr>
      </w:pPr>
      <w:bookmarkStart w:id="21" w:name="_Toc27918"/>
      <w:r>
        <w:rPr>
          <w:rFonts w:hint="default" w:ascii="Times New Roman" w:hAnsi="Times New Roman" w:cs="Times New Roman"/>
          <w:lang w:val="en-US" w:eastAsia="zh-CN"/>
        </w:rPr>
        <w:t>特种设备安全管理和作业人员证书管理</w:t>
      </w:r>
      <w:bookmarkEnd w:id="21"/>
    </w:p>
    <w:p w14:paraId="5670CD8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《特种设备安全管理和作业人员证》每4年复审一次，持证人员必须在复审期届满3个月前向发证部门提出申请。超期未复审应重新取证。</w:t>
      </w:r>
    </w:p>
    <w:p w14:paraId="07B27737">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使用单位应在员工特种设备安全管理和作业人员证上填写作业项目、聘用起止日期并加盖单位公章。</w:t>
      </w:r>
    </w:p>
    <w:p w14:paraId="7A1C23C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楷体简体" w:hAnsi="方正楷体简体" w:eastAsia="方正楷体简体" w:cs="方正楷体简体"/>
          <w:color w:val="FF0000"/>
          <w:lang w:val="en-US" w:eastAsia="zh-CN"/>
        </w:rPr>
      </w:pPr>
      <w:r>
        <w:rPr>
          <w:rFonts w:hint="eastAsia" w:ascii="方正楷体简体" w:hAnsi="方正楷体简体" w:eastAsia="方正楷体简体" w:cs="方正楷体简体"/>
          <w:color w:val="FF0000"/>
          <w:lang w:val="en-US" w:eastAsia="zh-CN"/>
        </w:rPr>
        <w:t>申请特种设备安全管理和作业人员证见本《手册》第十二章“使用单位办事指南”。</w:t>
      </w:r>
    </w:p>
    <w:p w14:paraId="7A021280">
      <w:pPr>
        <w:pStyle w:val="2"/>
        <w:numPr>
          <w:ilvl w:val="0"/>
          <w:numId w:val="11"/>
        </w:numPr>
        <w:bidi w:val="0"/>
        <w:rPr>
          <w:rFonts w:hint="default" w:ascii="Times New Roman" w:hAnsi="Times New Roman" w:cs="Times New Roman"/>
          <w:lang w:val="en-US" w:eastAsia="zh-CN"/>
        </w:rPr>
      </w:pPr>
      <w:bookmarkStart w:id="22" w:name="_Toc31438"/>
      <w:r>
        <w:rPr>
          <w:rFonts w:hint="default" w:ascii="Times New Roman" w:hAnsi="Times New Roman" w:cs="Times New Roman"/>
          <w:lang w:val="en-US" w:eastAsia="zh-CN"/>
        </w:rPr>
        <w:t>安全管理人员和作业人员培训考核</w:t>
      </w:r>
      <w:bookmarkEnd w:id="22"/>
    </w:p>
    <w:p w14:paraId="78B69ABB">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使用单位应于每年年初制定特种设备年度教育培训计划</w:t>
      </w:r>
      <w:r>
        <w:rPr>
          <w:rFonts w:hint="eastAsia" w:ascii="Times New Roman" w:hAnsi="Times New Roman" w:cs="Times New Roman"/>
          <w:lang w:val="en-US" w:eastAsia="zh-CN"/>
        </w:rPr>
        <w:t>（可结合企业整体教育培训计划制定）</w:t>
      </w:r>
      <w:r>
        <w:rPr>
          <w:rFonts w:hint="default" w:ascii="Times New Roman" w:hAnsi="Times New Roman" w:cs="Times New Roman"/>
          <w:lang w:val="en-US" w:eastAsia="zh-CN"/>
        </w:rPr>
        <w:t>，按计划开展教育培训和考核。</w:t>
      </w:r>
      <w:r>
        <w:rPr>
          <w:rFonts w:hint="eastAsia" w:ascii="Times New Roman" w:hAnsi="Times New Roman" w:cs="Times New Roman"/>
          <w:lang w:val="en-US" w:eastAsia="zh-CN"/>
        </w:rPr>
        <w:t>培训对象为本单位所有特种设备从业人员，既包括持证的，也包括不需要持证的。</w:t>
      </w:r>
    </w:p>
    <w:p w14:paraId="7338503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应突出法律法规、安全管理制度、安全操作规程、安全隐患排查治理、重大事故隐患判定标准和应急预案的培训。</w:t>
      </w:r>
      <w:r>
        <w:rPr>
          <w:rFonts w:hint="default" w:ascii="Times New Roman" w:hAnsi="Times New Roman" w:cs="Times New Roman"/>
          <w:lang w:val="en-US" w:eastAsia="zh-CN"/>
        </w:rPr>
        <w:br w:type="page"/>
      </w:r>
    </w:p>
    <w:p w14:paraId="3BECCFD4">
      <w:pPr>
        <w:pStyle w:val="3"/>
        <w:numPr>
          <w:ilvl w:val="0"/>
          <w:numId w:val="10"/>
        </w:numPr>
        <w:bidi w:val="0"/>
        <w:rPr>
          <w:rFonts w:hint="default" w:ascii="Times New Roman" w:hAnsi="Times New Roman" w:cs="Times New Roman"/>
          <w:lang w:val="en-US" w:eastAsia="zh-CN"/>
        </w:rPr>
      </w:pPr>
      <w:bookmarkStart w:id="23" w:name="_Toc3139"/>
      <w:r>
        <w:rPr>
          <w:rFonts w:hint="default" w:ascii="Times New Roman" w:hAnsi="Times New Roman" w:cs="Times New Roman"/>
          <w:lang w:val="en-US" w:eastAsia="zh-CN"/>
        </w:rPr>
        <w:t>特种设备安全技术档案</w:t>
      </w:r>
      <w:bookmarkEnd w:id="23"/>
    </w:p>
    <w:p w14:paraId="156CF1A6">
      <w:pPr>
        <w:bidi w:val="0"/>
        <w:rPr>
          <w:rFonts w:hint="default" w:ascii="Times New Roman" w:hAnsi="Times New Roman" w:eastAsia="方正仿宋简体" w:cs="Times New Roman"/>
          <w:lang w:eastAsia="zh-CN"/>
        </w:rPr>
      </w:pPr>
      <w:r>
        <w:rPr>
          <w:rFonts w:hint="default" w:ascii="Times New Roman" w:hAnsi="Times New Roman" w:cs="Times New Roman"/>
          <w:lang w:val="en-US" w:eastAsia="zh-CN"/>
        </w:rPr>
        <w:t>《特种设备使用管理规则》（TSG08-2017）2.5规定，</w:t>
      </w:r>
      <w:r>
        <w:rPr>
          <w:rFonts w:hint="default" w:ascii="Times New Roman" w:hAnsi="Times New Roman" w:cs="Times New Roman"/>
        </w:rPr>
        <w:t>使用单位应当逐台建立特种设备安全与节能技术档案。</w:t>
      </w:r>
      <w:r>
        <w:rPr>
          <w:rFonts w:hint="default" w:ascii="Times New Roman" w:hAnsi="Times New Roman" w:cs="Times New Roman"/>
          <w:lang w:eastAsia="zh-CN"/>
        </w:rPr>
        <w:t>每台设备的安全技术档案放在一个档案盒或档案袋内，做到“一机一档”。</w:t>
      </w:r>
    </w:p>
    <w:p w14:paraId="01CFAE97">
      <w:pPr>
        <w:bidi w:val="0"/>
        <w:rPr>
          <w:rFonts w:hint="default" w:ascii="Times New Roman" w:hAnsi="Times New Roman" w:cs="Times New Roman"/>
        </w:rPr>
      </w:pPr>
      <w:r>
        <w:rPr>
          <w:rFonts w:hint="default" w:ascii="Times New Roman" w:hAnsi="Times New Roman" w:cs="Times New Roman"/>
        </w:rPr>
        <w:t>安全技术档案至少包括以下内容：</w:t>
      </w:r>
    </w:p>
    <w:p w14:paraId="75F069C6">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使用登记证；</w:t>
      </w:r>
    </w:p>
    <w:p w14:paraId="26919FCE">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《特种设备使用登记表》(格式见附件B，以下简称使用登记表)；</w:t>
      </w:r>
    </w:p>
    <w:p w14:paraId="0FC20CA6">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特种设备设计、制造技术资料和文件，包括设计文件、产品质量合格证明（含合格证及其数据表、质量证明书）、安装及使用维护保养说明、监督检验证书、型式试验证书等；</w:t>
      </w:r>
    </w:p>
    <w:p w14:paraId="746D2F5F">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特种设备安装、改造和修理的方案、图样（注2-4）、材料质量证明书和施工质量证明文件、安装改造维修监督检验报告、验收报告等技术资料；</w:t>
      </w:r>
    </w:p>
    <w:p w14:paraId="50EEF58B">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特种设备定期自行检查记录和定期检验报告；</w:t>
      </w:r>
    </w:p>
    <w:p w14:paraId="4444E801">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特种设备日常使用状况记录；</w:t>
      </w:r>
    </w:p>
    <w:p w14:paraId="7E7AF450">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特种设备及其附属仪器仪表维护保养记录；</w:t>
      </w:r>
    </w:p>
    <w:p w14:paraId="40971963">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特种设备安全附件和安全保护装置校验、检修、更换记录和有关报告；</w:t>
      </w:r>
    </w:p>
    <w:p w14:paraId="21DEB4C5">
      <w:pPr>
        <w:numPr>
          <w:ilvl w:val="0"/>
          <w:numId w:val="12"/>
        </w:numPr>
        <w:bidi w:val="0"/>
        <w:ind w:left="5" w:leftChars="0" w:firstLine="635" w:firstLineChars="0"/>
        <w:rPr>
          <w:rFonts w:hint="default" w:ascii="Times New Roman" w:hAnsi="Times New Roman" w:cs="Times New Roman"/>
        </w:rPr>
      </w:pPr>
      <w:r>
        <w:rPr>
          <w:rFonts w:hint="default" w:ascii="Times New Roman" w:hAnsi="Times New Roman" w:cs="Times New Roman"/>
        </w:rPr>
        <w:t>特种设备运行故障和事故记录及事故处理报告。</w:t>
      </w:r>
    </w:p>
    <w:p w14:paraId="159B06E5">
      <w:pPr>
        <w:bidi w:val="0"/>
        <w:rPr>
          <w:rFonts w:hint="default" w:ascii="Times New Roman" w:hAnsi="Times New Roman" w:cs="Times New Roman"/>
        </w:rPr>
      </w:pPr>
      <w:r>
        <w:rPr>
          <w:rFonts w:hint="default" w:ascii="Times New Roman" w:hAnsi="Times New Roman" w:cs="Times New Roman"/>
        </w:rPr>
        <w:t>特种设备节能技术档案包括锅炉能效测试报告、高耗能特种设备节能改造技术资料等。</w:t>
      </w:r>
    </w:p>
    <w:p w14:paraId="5E6BDEDC">
      <w:pPr>
        <w:bidi w:val="0"/>
        <w:rPr>
          <w:rFonts w:hint="default" w:ascii="Times New Roman" w:hAnsi="Times New Roman" w:cs="Times New Roman"/>
          <w:lang w:val="en-US" w:eastAsia="zh-CN"/>
        </w:rPr>
      </w:pPr>
      <w:r>
        <w:rPr>
          <w:rFonts w:hint="default" w:ascii="Times New Roman" w:hAnsi="Times New Roman" w:cs="Times New Roman"/>
        </w:rPr>
        <w:t>使用单位应当在设备使用地保存</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w:t>
      </w:r>
      <w:r>
        <w:rPr>
          <w:rFonts w:hint="default" w:ascii="Times New Roman" w:hAnsi="Times New Roman" w:cs="Times New Roman"/>
          <w:lang w:val="en-US" w:eastAsia="zh-CN"/>
        </w:rPr>
        <w:t>8</w:t>
      </w:r>
      <w:r>
        <w:rPr>
          <w:rFonts w:hint="default" w:ascii="Times New Roman" w:hAnsi="Times New Roman" w:cs="Times New Roman"/>
        </w:rPr>
        <w:t>、</w:t>
      </w:r>
      <w:r>
        <w:rPr>
          <w:rFonts w:hint="default" w:ascii="Times New Roman" w:hAnsi="Times New Roman" w:cs="Times New Roman"/>
          <w:lang w:val="en-US" w:eastAsia="zh-CN"/>
        </w:rPr>
        <w:t>9</w:t>
      </w:r>
      <w:r>
        <w:rPr>
          <w:rFonts w:hint="default" w:ascii="Times New Roman" w:hAnsi="Times New Roman" w:cs="Times New Roman"/>
        </w:rPr>
        <w:t>规定的资料和特种设备节能技术档案的原件或者复印件，以便备查。</w:t>
      </w:r>
    </w:p>
    <w:p w14:paraId="696C3275">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7CC93806">
      <w:pPr>
        <w:pStyle w:val="3"/>
        <w:numPr>
          <w:ilvl w:val="0"/>
          <w:numId w:val="10"/>
        </w:numPr>
        <w:bidi w:val="0"/>
        <w:rPr>
          <w:rFonts w:hint="default" w:ascii="Times New Roman" w:hAnsi="Times New Roman" w:cs="Times New Roman"/>
          <w:lang w:val="en-US" w:eastAsia="zh-CN"/>
        </w:rPr>
      </w:pPr>
      <w:bookmarkStart w:id="24" w:name="_Toc17329"/>
      <w:r>
        <w:rPr>
          <w:rFonts w:hint="default" w:ascii="Times New Roman" w:hAnsi="Times New Roman" w:cs="Times New Roman"/>
          <w:lang w:val="en-US" w:eastAsia="zh-CN"/>
        </w:rPr>
        <w:t>特种设备现场管理和隐患排查</w:t>
      </w:r>
      <w:bookmarkEnd w:id="24"/>
    </w:p>
    <w:p w14:paraId="083B2E56">
      <w:pPr>
        <w:pStyle w:val="2"/>
        <w:numPr>
          <w:ilvl w:val="0"/>
          <w:numId w:val="13"/>
        </w:numPr>
        <w:bidi w:val="0"/>
        <w:rPr>
          <w:rFonts w:hint="default"/>
          <w:lang w:val="en-US" w:eastAsia="zh-CN"/>
        </w:rPr>
      </w:pPr>
      <w:bookmarkStart w:id="25" w:name="_Toc17968"/>
      <w:r>
        <w:rPr>
          <w:rFonts w:hint="eastAsia"/>
          <w:lang w:val="en-US" w:eastAsia="zh-CN"/>
        </w:rPr>
        <w:t>固定</w:t>
      </w:r>
      <w:r>
        <w:rPr>
          <w:rFonts w:hint="default"/>
          <w:lang w:val="en-US" w:eastAsia="zh-CN"/>
        </w:rPr>
        <w:t>特种设备使用</w:t>
      </w:r>
      <w:r>
        <w:rPr>
          <w:rFonts w:hint="eastAsia"/>
          <w:lang w:val="en-US" w:eastAsia="zh-CN"/>
        </w:rPr>
        <w:t>标志</w:t>
      </w:r>
      <w:bookmarkEnd w:id="25"/>
    </w:p>
    <w:p w14:paraId="772E15D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《特种设备安全法》第三十三条规定，使用单位应当在特种设备投入使用前或者投入使用后30日内办理使用登记，并将使用标志固定在特种设备的显著位置。</w:t>
      </w:r>
      <w:r>
        <w:rPr>
          <w:rFonts w:hint="eastAsia" w:ascii="Times New Roman" w:hAnsi="Times New Roman" w:cs="Times New Roman"/>
          <w:lang w:val="en-US" w:eastAsia="zh-CN"/>
        </w:rPr>
        <w:t>整机出厂的一般应在投入使用前办理使用登记。</w:t>
      </w:r>
    </w:p>
    <w:p w14:paraId="5431AD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楷体简体" w:hAnsi="方正楷体简体" w:eastAsia="方正楷体简体" w:cs="方正楷体简体"/>
          <w:color w:val="FF0000"/>
          <w:lang w:val="en-US" w:eastAsia="zh-CN"/>
        </w:rPr>
      </w:pPr>
      <w:r>
        <w:rPr>
          <w:rFonts w:hint="eastAsia" w:ascii="方正楷体简体" w:hAnsi="方正楷体简体" w:eastAsia="方正楷体简体" w:cs="方正楷体简体"/>
          <w:color w:val="FF0000"/>
          <w:lang w:val="en-US" w:eastAsia="zh-CN"/>
        </w:rPr>
        <w:t>完成定期检验后，使用单位应及时将更新后的使用标志固定在特种设备的显著位置。</w:t>
      </w:r>
    </w:p>
    <w:p w14:paraId="1B848AE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D级锅炉、长输管道、公用管道以及《特种设备使用管理规则》3.3.2规定的9类压力容器不需要办理使用登记。</w:t>
      </w:r>
    </w:p>
    <w:p w14:paraId="47C2D5C2">
      <w:pPr>
        <w:pStyle w:val="2"/>
        <w:numPr>
          <w:ilvl w:val="0"/>
          <w:numId w:val="13"/>
        </w:numPr>
        <w:bidi w:val="0"/>
        <w:ind w:left="0" w:leftChars="0" w:firstLine="640" w:firstLineChars="200"/>
        <w:rPr>
          <w:rFonts w:hint="default" w:ascii="Times New Roman" w:hAnsi="Times New Roman" w:cs="Times New Roman"/>
          <w:lang w:val="en-US" w:eastAsia="zh-CN"/>
        </w:rPr>
      </w:pPr>
      <w:bookmarkStart w:id="26" w:name="_Toc16333"/>
      <w:r>
        <w:rPr>
          <w:rFonts w:hint="default" w:ascii="Times New Roman" w:hAnsi="Times New Roman" w:cs="Times New Roman"/>
          <w:lang w:val="en-US" w:eastAsia="zh-CN"/>
        </w:rPr>
        <w:t>特种设备及其安全附件定期检验</w:t>
      </w:r>
      <w:bookmarkEnd w:id="26"/>
    </w:p>
    <w:p w14:paraId="05A65DC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《特种设备安全法》第四十条规定，使用单位应在特种设备检验合格有效期届满前一个月向特种设备检验机构提出定期检验要求。</w:t>
      </w:r>
      <w:r>
        <w:rPr>
          <w:rFonts w:hint="eastAsia" w:ascii="方正楷体简体" w:hAnsi="方正楷体简体" w:eastAsia="方正楷体简体" w:cs="方正楷体简体"/>
          <w:color w:val="FF0000"/>
          <w:lang w:val="en-US" w:eastAsia="zh-CN"/>
        </w:rPr>
        <w:t>未经定期检验或者检验不合格的特种设备不得继续使用</w:t>
      </w:r>
      <w:r>
        <w:rPr>
          <w:rFonts w:hint="default" w:ascii="Times New Roman" w:hAnsi="Times New Roman" w:cs="Times New Roman"/>
          <w:lang w:val="en-US" w:eastAsia="zh-CN"/>
        </w:rPr>
        <w:t>。</w:t>
      </w:r>
    </w:p>
    <w:p w14:paraId="3AB5C957">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楷体简体" w:cs="Times New Roman"/>
          <w:color w:val="FF0000"/>
          <w:lang w:val="en-US" w:eastAsia="zh-CN"/>
        </w:rPr>
      </w:pPr>
      <w:r>
        <w:rPr>
          <w:rFonts w:hint="default" w:ascii="Times New Roman" w:hAnsi="Times New Roman" w:eastAsia="方正楷体简体" w:cs="Times New Roman"/>
          <w:color w:val="FF0000"/>
          <w:lang w:val="en-US" w:eastAsia="zh-CN"/>
        </w:rPr>
        <w:t>长输管道、公用管道等检验周期较长的设备，使用单位应根据实际情况提前3~6个月报检。</w:t>
      </w:r>
    </w:p>
    <w:p w14:paraId="6B7B524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《特种设备安全法》第三十九条规定，使用单位应对其使用特种设备安全附件和安全保护装置进行定期检验、检修。应在有效期届满前委托有资质的检验检测机构进行校验，</w:t>
      </w:r>
      <w:r>
        <w:rPr>
          <w:rFonts w:hint="eastAsia" w:ascii="方正楷体简体" w:hAnsi="方正楷体简体" w:eastAsia="方正楷体简体" w:cs="方正楷体简体"/>
          <w:color w:val="FF0000"/>
          <w:lang w:val="en-US" w:eastAsia="zh-CN"/>
        </w:rPr>
        <w:t>不得使用超期未检的安全附件</w:t>
      </w:r>
      <w:r>
        <w:rPr>
          <w:rFonts w:hint="default" w:ascii="Times New Roman" w:hAnsi="Times New Roman" w:cs="Times New Roman"/>
          <w:lang w:val="en-US" w:eastAsia="zh-CN"/>
        </w:rPr>
        <w:t>。</w:t>
      </w:r>
    </w:p>
    <w:p w14:paraId="760DD04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楷体简体" w:hAnsi="方正楷体简体" w:eastAsia="方正楷体简体" w:cs="方正楷体简体"/>
          <w:color w:val="FF0000"/>
          <w:lang w:val="en-US" w:eastAsia="zh-CN"/>
        </w:rPr>
      </w:pPr>
      <w:r>
        <w:rPr>
          <w:rFonts w:hint="eastAsia" w:ascii="方正楷体简体" w:hAnsi="方正楷体简体" w:eastAsia="方正楷体简体" w:cs="方正楷体简体"/>
          <w:color w:val="FF0000"/>
          <w:lang w:val="en-US" w:eastAsia="zh-CN"/>
        </w:rPr>
        <w:t>特种设备及其安全附件定期检验报告应存入相应设备的安全技术档案。</w:t>
      </w:r>
    </w:p>
    <w:p w14:paraId="4183F023">
      <w:pPr>
        <w:pStyle w:val="2"/>
        <w:numPr>
          <w:ilvl w:val="0"/>
          <w:numId w:val="13"/>
        </w:numPr>
        <w:bidi w:val="0"/>
        <w:ind w:left="0" w:leftChars="0" w:firstLine="640" w:firstLineChars="200"/>
        <w:rPr>
          <w:rFonts w:hint="default" w:ascii="Times New Roman" w:hAnsi="Times New Roman" w:cs="Times New Roman"/>
          <w:lang w:val="en-US" w:eastAsia="zh-CN"/>
        </w:rPr>
      </w:pPr>
      <w:bookmarkStart w:id="27" w:name="_Toc7518"/>
      <w:r>
        <w:rPr>
          <w:rFonts w:hint="eastAsia" w:ascii="Times New Roman" w:hAnsi="Times New Roman" w:cs="Times New Roman"/>
          <w:lang w:val="en-US" w:eastAsia="zh-CN"/>
        </w:rPr>
        <w:t>常见</w:t>
      </w:r>
      <w:r>
        <w:rPr>
          <w:rFonts w:hint="default" w:ascii="Times New Roman" w:hAnsi="Times New Roman" w:cs="Times New Roman"/>
          <w:lang w:val="en-US" w:eastAsia="zh-CN"/>
        </w:rPr>
        <w:t>特种设备定期检验</w:t>
      </w:r>
      <w:r>
        <w:rPr>
          <w:rFonts w:hint="eastAsia" w:ascii="Times New Roman" w:hAnsi="Times New Roman" w:cs="Times New Roman"/>
          <w:lang w:val="en-US" w:eastAsia="zh-CN"/>
        </w:rPr>
        <w:t>周期</w:t>
      </w:r>
      <w:bookmarkEnd w:id="27"/>
    </w:p>
    <w:p w14:paraId="758DB5D2">
      <w:pPr>
        <w:keepNext w:val="0"/>
        <w:keepLines w:val="0"/>
        <w:pageBreakBefore w:val="0"/>
        <w:widowControl w:val="0"/>
        <w:kinsoku/>
        <w:wordWrap/>
        <w:overflowPunct/>
        <w:topLinePunct w:val="0"/>
        <w:autoSpaceDE/>
        <w:autoSpaceDN/>
        <w:bidi w:val="0"/>
        <w:adjustRightInd/>
        <w:snapToGrid/>
        <w:spacing w:line="240" w:lineRule="auto"/>
        <w:ind w:left="6" w:leftChars="-200" w:hanging="646" w:hangingChars="201"/>
        <w:textAlignment w:val="auto"/>
      </w:pPr>
      <w:r>
        <w:drawing>
          <wp:inline distT="0" distB="0" distL="114300" distR="114300">
            <wp:extent cx="6334125" cy="7778115"/>
            <wp:effectExtent l="0" t="0" r="952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6334125" cy="7778115"/>
                    </a:xfrm>
                    <a:prstGeom prst="rect">
                      <a:avLst/>
                    </a:prstGeom>
                    <a:noFill/>
                    <a:ln>
                      <a:noFill/>
                    </a:ln>
                  </pic:spPr>
                </pic:pic>
              </a:graphicData>
            </a:graphic>
          </wp:inline>
        </w:drawing>
      </w:r>
    </w:p>
    <w:p w14:paraId="292F1A5E">
      <w:pPr>
        <w:ind w:left="-640" w:leftChars="-200" w:firstLine="0" w:firstLineChars="0"/>
      </w:pPr>
      <w:r>
        <w:br w:type="page"/>
      </w:r>
    </w:p>
    <w:p w14:paraId="559DA5FC">
      <w:pPr>
        <w:keepNext w:val="0"/>
        <w:keepLines w:val="0"/>
        <w:pageBreakBefore w:val="0"/>
        <w:widowControl w:val="0"/>
        <w:kinsoku/>
        <w:wordWrap/>
        <w:overflowPunct/>
        <w:topLinePunct w:val="0"/>
        <w:autoSpaceDE/>
        <w:autoSpaceDN/>
        <w:bidi w:val="0"/>
        <w:adjustRightInd/>
        <w:snapToGrid/>
        <w:spacing w:line="240" w:lineRule="auto"/>
        <w:ind w:left="3" w:leftChars="-200" w:hanging="643" w:hangingChars="200"/>
        <w:textAlignment w:val="auto"/>
        <w:rPr>
          <w:rFonts w:hint="default"/>
          <w:lang w:val="en-US" w:eastAsia="zh-CN"/>
        </w:rPr>
      </w:pPr>
      <w:r>
        <w:drawing>
          <wp:inline distT="0" distB="0" distL="114300" distR="114300">
            <wp:extent cx="6328410" cy="8725535"/>
            <wp:effectExtent l="0" t="0" r="1524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6328410" cy="8725535"/>
                    </a:xfrm>
                    <a:prstGeom prst="rect">
                      <a:avLst/>
                    </a:prstGeom>
                    <a:noFill/>
                    <a:ln>
                      <a:noFill/>
                    </a:ln>
                  </pic:spPr>
                </pic:pic>
              </a:graphicData>
            </a:graphic>
          </wp:inline>
        </w:drawing>
      </w:r>
    </w:p>
    <w:p w14:paraId="1D44B70D">
      <w:pPr>
        <w:keepNext w:val="0"/>
        <w:keepLines w:val="0"/>
        <w:pageBreakBefore w:val="0"/>
        <w:widowControl w:val="0"/>
        <w:kinsoku/>
        <w:wordWrap/>
        <w:overflowPunct/>
        <w:topLinePunct w:val="0"/>
        <w:autoSpaceDE/>
        <w:autoSpaceDN/>
        <w:bidi w:val="0"/>
        <w:adjustRightInd/>
        <w:snapToGrid/>
        <w:spacing w:line="240" w:lineRule="auto"/>
        <w:ind w:left="3" w:leftChars="-200" w:hanging="643" w:hangingChars="200"/>
        <w:textAlignment w:val="auto"/>
        <w:rPr>
          <w:rFonts w:hint="default" w:ascii="Times New Roman" w:hAnsi="Times New Roman" w:cs="Times New Roman"/>
          <w:lang w:val="en-US" w:eastAsia="zh-CN"/>
        </w:rPr>
      </w:pPr>
      <w:r>
        <w:drawing>
          <wp:inline distT="0" distB="0" distL="114300" distR="114300">
            <wp:extent cx="6319520" cy="8712200"/>
            <wp:effectExtent l="0" t="0" r="5080" b="1270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6319520" cy="8712200"/>
                    </a:xfrm>
                    <a:prstGeom prst="rect">
                      <a:avLst/>
                    </a:prstGeom>
                    <a:noFill/>
                    <a:ln>
                      <a:noFill/>
                    </a:ln>
                  </pic:spPr>
                </pic:pic>
              </a:graphicData>
            </a:graphic>
          </wp:inline>
        </w:drawing>
      </w:r>
      <w:r>
        <w:rPr>
          <w:rFonts w:hint="default" w:ascii="Times New Roman" w:hAnsi="Times New Roman" w:cs="Times New Roman"/>
          <w:lang w:val="en-US" w:eastAsia="zh-CN"/>
        </w:rPr>
        <w:br w:type="page"/>
      </w:r>
    </w:p>
    <w:p w14:paraId="03A065BD">
      <w:pPr>
        <w:pStyle w:val="2"/>
        <w:numPr>
          <w:ilvl w:val="0"/>
          <w:numId w:val="13"/>
        </w:numPr>
        <w:bidi w:val="0"/>
        <w:ind w:left="0" w:leftChars="0" w:firstLine="640" w:firstLineChars="200"/>
        <w:rPr>
          <w:rFonts w:hint="default" w:ascii="Times New Roman" w:hAnsi="Times New Roman" w:cs="Times New Roman"/>
          <w:lang w:val="en-US" w:eastAsia="zh-CN"/>
        </w:rPr>
      </w:pPr>
      <w:bookmarkStart w:id="28" w:name="_Toc31839"/>
      <w:r>
        <w:rPr>
          <w:rFonts w:hint="default" w:ascii="Times New Roman" w:hAnsi="Times New Roman" w:cs="Times New Roman"/>
          <w:lang w:val="en-US" w:eastAsia="zh-CN"/>
        </w:rPr>
        <w:t>特种设备维护保养和定期自行检查</w:t>
      </w:r>
      <w:bookmarkEnd w:id="28"/>
    </w:p>
    <w:p w14:paraId="4651B59E">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《特种设备安全法》第三十九条规定，使用单位应当对其使用的特种设备进行经常性维护保养和定期自行检查。</w:t>
      </w:r>
    </w:p>
    <w:p w14:paraId="0ED50E61">
      <w:pPr>
        <w:pStyle w:val="6"/>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简体" w:cs="Times New Roman"/>
          <w:b/>
          <w:kern w:val="2"/>
          <w:sz w:val="32"/>
          <w:szCs w:val="24"/>
          <w:lang w:val="en-US" w:eastAsia="zh-CN" w:bidi="ar-SA"/>
        </w:rPr>
      </w:pPr>
      <w:r>
        <w:rPr>
          <w:rFonts w:hint="default" w:ascii="Times New Roman" w:hAnsi="Times New Roman" w:eastAsia="方正仿宋简体" w:cs="Times New Roman"/>
          <w:b/>
          <w:kern w:val="2"/>
          <w:sz w:val="32"/>
          <w:szCs w:val="24"/>
          <w:lang w:val="en-US" w:eastAsia="zh-CN" w:bidi="ar-SA"/>
        </w:rPr>
        <w:t>维护保养应按照特种设备使用说明书规定的周期、方法和项目进行。定期自行检查按照特种设备相关安全技术规范的要求进行，分为月度检查和年度检查。</w:t>
      </w:r>
    </w:p>
    <w:p w14:paraId="539EB8D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楷体简体" w:hAnsi="方正楷体简体" w:eastAsia="方正楷体简体" w:cs="方正楷体简体"/>
          <w:color w:val="FF0000"/>
          <w:lang w:val="en-US" w:eastAsia="zh-CN"/>
        </w:rPr>
      </w:pPr>
      <w:r>
        <w:rPr>
          <w:rFonts w:hint="eastAsia" w:ascii="方正楷体简体" w:hAnsi="方正楷体简体" w:eastAsia="方正楷体简体" w:cs="方正楷体简体"/>
          <w:color w:val="FF0000"/>
          <w:lang w:val="en-US" w:eastAsia="zh-CN"/>
        </w:rPr>
        <w:t>维护保养工作记录、自行检查工作记录应存入特种设备安全技术档案。</w:t>
      </w:r>
    </w:p>
    <w:p w14:paraId="4EE5D386">
      <w:pPr>
        <w:pStyle w:val="2"/>
        <w:numPr>
          <w:ilvl w:val="0"/>
          <w:numId w:val="13"/>
        </w:numPr>
        <w:bidi w:val="0"/>
        <w:ind w:left="0" w:leftChars="0" w:firstLine="640" w:firstLineChars="200"/>
        <w:rPr>
          <w:rFonts w:hint="default" w:ascii="Times New Roman" w:hAnsi="Times New Roman" w:cs="Times New Roman"/>
          <w:lang w:val="en-US" w:eastAsia="zh-CN"/>
        </w:rPr>
      </w:pPr>
      <w:bookmarkStart w:id="29" w:name="_Toc13166"/>
      <w:r>
        <w:rPr>
          <w:rFonts w:hint="default" w:ascii="Times New Roman" w:hAnsi="Times New Roman" w:cs="Times New Roman"/>
          <w:lang w:val="en-US" w:eastAsia="zh-CN"/>
        </w:rPr>
        <w:t>特种设备日常使用状况记录</w:t>
      </w:r>
      <w:bookmarkEnd w:id="29"/>
    </w:p>
    <w:p w14:paraId="4F914FB4">
      <w:pPr>
        <w:bidi w:val="0"/>
        <w:rPr>
          <w:rFonts w:hint="default" w:ascii="Times New Roman" w:hAnsi="Times New Roman" w:cs="Times New Roman"/>
          <w:color w:val="FF0000"/>
          <w:lang w:val="en-US" w:eastAsia="zh-CN"/>
        </w:rPr>
      </w:pPr>
      <w:r>
        <w:rPr>
          <w:rFonts w:hint="default" w:ascii="Times New Roman" w:hAnsi="Times New Roman" w:cs="Times New Roman"/>
          <w:lang w:eastAsia="zh-CN"/>
        </w:rPr>
        <w:t>使用单位应如实记录特种设备日常使用状况，特别是</w:t>
      </w:r>
      <w:r>
        <w:rPr>
          <w:rFonts w:hint="default" w:ascii="Times New Roman" w:hAnsi="Times New Roman" w:cs="Times New Roman"/>
          <w:lang w:val="en-US" w:eastAsia="zh-CN"/>
        </w:rPr>
        <w:t>锅炉、压力容器、压力管道、大型游乐设施、客运索道等重点使用单位。</w:t>
      </w:r>
      <w:r>
        <w:rPr>
          <w:rFonts w:hint="eastAsia" w:ascii="方正楷体简体" w:hAnsi="方正楷体简体" w:eastAsia="方正楷体简体" w:cs="方正楷体简体"/>
          <w:color w:val="FF0000"/>
          <w:lang w:val="en-US" w:eastAsia="zh-CN"/>
        </w:rPr>
        <w:t>相关工作记录应</w:t>
      </w:r>
      <w:r>
        <w:rPr>
          <w:rFonts w:hint="eastAsia" w:ascii="方正楷体简体" w:hAnsi="方正楷体简体" w:eastAsia="方正楷体简体" w:cs="方正楷体简体"/>
          <w:color w:val="FF0000"/>
          <w:lang w:eastAsia="zh-CN"/>
        </w:rPr>
        <w:t>存入安全技术档案。</w:t>
      </w:r>
    </w:p>
    <w:p w14:paraId="73D341FC">
      <w:pPr>
        <w:pStyle w:val="2"/>
        <w:numPr>
          <w:ilvl w:val="0"/>
          <w:numId w:val="13"/>
        </w:numPr>
        <w:bidi w:val="0"/>
        <w:ind w:left="0" w:leftChars="0" w:firstLine="640" w:firstLineChars="200"/>
        <w:rPr>
          <w:rFonts w:hint="default" w:ascii="Times New Roman" w:hAnsi="Times New Roman" w:cs="Times New Roman"/>
          <w:lang w:val="en-US" w:eastAsia="zh-CN"/>
        </w:rPr>
      </w:pPr>
      <w:bookmarkStart w:id="30" w:name="_Toc8319"/>
      <w:r>
        <w:rPr>
          <w:rFonts w:hint="default" w:ascii="Times New Roman" w:hAnsi="Times New Roman" w:cs="Times New Roman"/>
          <w:lang w:val="en-US" w:eastAsia="zh-CN"/>
        </w:rPr>
        <w:t>特种设备隐患排查治理</w:t>
      </w:r>
      <w:bookmarkEnd w:id="30"/>
    </w:p>
    <w:p w14:paraId="68CD0A36">
      <w:pPr>
        <w:numPr>
          <w:ilvl w:val="0"/>
          <w:numId w:val="0"/>
        </w:numPr>
        <w:bidi w:val="0"/>
        <w:ind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t>《特种设备使用管理规则》2.11.1规定，使用单位应当按照隐患排查治理制度</w:t>
      </w:r>
      <w:r>
        <w:rPr>
          <w:rFonts w:hint="eastAsia" w:ascii="Times New Roman" w:hAnsi="Times New Roman" w:cs="Times New Roman"/>
          <w:lang w:val="en-US" w:eastAsia="zh-CN"/>
        </w:rPr>
        <w:t>，对照特种设备安全风险管控清单（可融入本企业安全生产双重预防机制）</w:t>
      </w:r>
      <w:r>
        <w:rPr>
          <w:rFonts w:hint="default" w:ascii="Times New Roman" w:hAnsi="Times New Roman" w:cs="Times New Roman"/>
          <w:lang w:val="en-US" w:eastAsia="zh-CN"/>
        </w:rPr>
        <w:t>进行隐患排查，发现事故隐患应当及时消除，待隐患消除后，方可继续使用。</w:t>
      </w:r>
    </w:p>
    <w:p w14:paraId="59159287">
      <w:pPr>
        <w:numPr>
          <w:ilvl w:val="0"/>
          <w:numId w:val="0"/>
        </w:numPr>
        <w:bidi w:val="0"/>
        <w:ind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t>使用单位应结合特种设备“日管控、周排查、月调度”工作机制开展隐患排查治理工作。特种设备“日管控、周排查、月调度”可纳入本单位双重预防机制一并开展，但应保证特种设备“日管控、周排查、月调度”各项工作要求得到落实。</w:t>
      </w:r>
    </w:p>
    <w:p w14:paraId="078FBAF9">
      <w:pPr>
        <w:numPr>
          <w:ilvl w:val="0"/>
          <w:numId w:val="0"/>
        </w:numPr>
        <w:bidi w:val="0"/>
        <w:ind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t>使用单位应保存“日管控、周排查、月调度”工作记录。周排查应由本单位</w:t>
      </w:r>
      <w:r>
        <w:rPr>
          <w:rFonts w:hint="default" w:ascii="方正楷体简体" w:hAnsi="方正楷体简体" w:eastAsia="方正楷体简体" w:cs="方正楷体简体"/>
          <w:color w:val="FF0000"/>
          <w:lang w:val="en-US" w:eastAsia="zh-CN"/>
        </w:rPr>
        <w:t>特种设备安全总监</w:t>
      </w:r>
      <w:r>
        <w:rPr>
          <w:rFonts w:hint="default" w:ascii="Times New Roman" w:hAnsi="Times New Roman" w:cs="Times New Roman"/>
          <w:lang w:val="en-US" w:eastAsia="zh-CN"/>
        </w:rPr>
        <w:t>组织开展</w:t>
      </w:r>
      <w:r>
        <w:rPr>
          <w:rFonts w:hint="eastAsia" w:ascii="Times New Roman" w:hAnsi="Times New Roman" w:cs="Times New Roman"/>
          <w:lang w:val="en-US" w:eastAsia="zh-CN"/>
        </w:rPr>
        <w:t>并在周排查工作记录上签字</w:t>
      </w:r>
      <w:r>
        <w:rPr>
          <w:rFonts w:hint="default" w:ascii="Times New Roman" w:hAnsi="Times New Roman" w:cs="Times New Roman"/>
          <w:lang w:val="en-US" w:eastAsia="zh-CN"/>
        </w:rPr>
        <w:t>，月调度会议应由</w:t>
      </w:r>
      <w:r>
        <w:rPr>
          <w:rFonts w:hint="eastAsia" w:ascii="方正楷体简体" w:hAnsi="方正楷体简体" w:eastAsia="方正楷体简体" w:cs="方正楷体简体"/>
          <w:color w:val="FF0000"/>
          <w:lang w:val="en-US" w:eastAsia="zh-CN"/>
        </w:rPr>
        <w:t>本单位主要负责人</w:t>
      </w:r>
      <w:r>
        <w:rPr>
          <w:rFonts w:hint="default" w:ascii="Times New Roman" w:hAnsi="Times New Roman" w:cs="Times New Roman"/>
          <w:lang w:val="en-US" w:eastAsia="zh-CN"/>
        </w:rPr>
        <w:t>召集</w:t>
      </w:r>
      <w:r>
        <w:rPr>
          <w:rFonts w:hint="eastAsia" w:ascii="Times New Roman" w:hAnsi="Times New Roman" w:cs="Times New Roman"/>
          <w:lang w:val="en-US" w:eastAsia="zh-CN"/>
        </w:rPr>
        <w:t>并在月调度会议纪要上签字</w:t>
      </w:r>
      <w:r>
        <w:rPr>
          <w:rFonts w:hint="default" w:ascii="Times New Roman" w:hAnsi="Times New Roman" w:cs="Times New Roman"/>
          <w:lang w:val="en-US" w:eastAsia="zh-CN"/>
        </w:rPr>
        <w:t>。</w:t>
      </w:r>
    </w:p>
    <w:p w14:paraId="40B9B90E">
      <w:pPr>
        <w:numPr>
          <w:ilvl w:val="0"/>
          <w:numId w:val="0"/>
        </w:numPr>
        <w:bidi w:val="0"/>
        <w:ind w:firstLine="643" w:firstLineChars="200"/>
        <w:rPr>
          <w:rFonts w:hint="eastAsia" w:ascii="方正楷体简体" w:hAnsi="方正楷体简体" w:eastAsia="方正楷体简体" w:cs="方正楷体简体"/>
          <w:color w:val="auto"/>
          <w:lang w:val="en-US" w:eastAsia="zh-CN"/>
        </w:rPr>
      </w:pPr>
      <w:r>
        <w:rPr>
          <w:rFonts w:hint="eastAsia" w:ascii="方正楷体简体" w:hAnsi="方正楷体简体" w:eastAsia="方正楷体简体" w:cs="方正楷体简体"/>
          <w:color w:val="FF0000"/>
          <w:lang w:val="en-US" w:eastAsia="zh-CN"/>
        </w:rPr>
        <w:t>使用单位应突出特种设备重大事故隐患的排查整治。</w:t>
      </w:r>
      <w:r>
        <w:rPr>
          <w:rFonts w:hint="eastAsia" w:ascii="方正楷体简体" w:hAnsi="方正楷体简体" w:eastAsia="方正楷体简体" w:cs="方正楷体简体"/>
          <w:color w:val="auto"/>
          <w:lang w:val="en-US" w:eastAsia="zh-CN"/>
        </w:rPr>
        <w:t>重大事故隐患判定标准见本《手册》第十章。重大事故隐患由由企业主要负责人牵头成立整改小组，明确整改责任人、整改方法和措施、整改时限和要求、资金和物资保障等，同时启动应急预案。</w:t>
      </w:r>
    </w:p>
    <w:p w14:paraId="242F06B3">
      <w:pPr>
        <w:numPr>
          <w:ilvl w:val="0"/>
          <w:numId w:val="0"/>
        </w:numPr>
        <w:bidi w:val="0"/>
        <w:ind w:firstLine="643" w:firstLineChars="200"/>
        <w:rPr>
          <w:rFonts w:hint="eastAsia" w:ascii="方正楷体简体" w:hAnsi="方正楷体简体" w:eastAsia="方正楷体简体" w:cs="方正楷体简体"/>
          <w:color w:val="FF0000"/>
          <w:lang w:val="en-US" w:eastAsia="zh-CN"/>
        </w:rPr>
      </w:pPr>
      <w:r>
        <w:rPr>
          <w:rFonts w:hint="eastAsia" w:ascii="方正楷体简体" w:hAnsi="方正楷体简体" w:eastAsia="方正楷体简体" w:cs="方正楷体简体"/>
          <w:color w:val="FF0000"/>
          <w:lang w:val="en-US" w:eastAsia="zh-CN"/>
        </w:rPr>
        <w:t>使用单位应建立特种设备安全隐患排查治理工作台账，针对检查发现的问题，制定整改责任人、整改措施、整改期限，实行闭环管理。</w:t>
      </w:r>
    </w:p>
    <w:p w14:paraId="4476329B">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63" w:afterLines="20"/>
        <w:jc w:val="center"/>
        <w:textAlignment w:val="auto"/>
        <w:rPr>
          <w:rFonts w:hint="eastAsia" w:ascii="方正楷体简体" w:hAnsi="方正楷体简体" w:eastAsia="方正楷体简体" w:cs="方正楷体简体"/>
          <w:color w:val="auto"/>
          <w:lang w:val="en-US" w:eastAsia="zh-CN"/>
        </w:rPr>
      </w:pPr>
      <w:r>
        <w:rPr>
          <w:rFonts w:hint="eastAsia" w:ascii="方正楷体简体" w:hAnsi="方正楷体简体" w:eastAsia="方正楷体简体" w:cs="方正楷体简体"/>
          <w:color w:val="auto"/>
          <w:lang w:val="en-US" w:eastAsia="zh-CN"/>
        </w:rPr>
        <w:t>特种设备安全隐患排查治理台账（参考模板）</w:t>
      </w:r>
    </w:p>
    <w:tbl>
      <w:tblPr>
        <w:tblStyle w:val="17"/>
        <w:tblW w:w="9855" w:type="dxa"/>
        <w:tblInd w:w="-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2309"/>
        <w:gridCol w:w="736"/>
        <w:gridCol w:w="990"/>
        <w:gridCol w:w="1260"/>
        <w:gridCol w:w="735"/>
        <w:gridCol w:w="1425"/>
        <w:gridCol w:w="765"/>
        <w:gridCol w:w="795"/>
      </w:tblGrid>
      <w:tr w14:paraId="3F26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40" w:type="dxa"/>
            <w:vAlign w:val="center"/>
          </w:tcPr>
          <w:p w14:paraId="2639D232">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center"/>
              <w:textAlignment w:val="auto"/>
              <w:rPr>
                <w:rFonts w:hint="eastAsia" w:ascii="方正楷体简体" w:hAnsi="方正楷体简体" w:eastAsia="方正楷体简体" w:cs="方正楷体简体"/>
                <w:sz w:val="24"/>
                <w:szCs w:val="24"/>
                <w:vertAlign w:val="baseline"/>
                <w:lang w:val="en-US" w:eastAsia="zh-CN"/>
              </w:rPr>
            </w:pPr>
            <w:r>
              <w:rPr>
                <w:rFonts w:hint="eastAsia" w:ascii="方正楷体简体" w:hAnsi="方正楷体简体" w:eastAsia="方正楷体简体" w:cs="方正楷体简体"/>
                <w:sz w:val="24"/>
                <w:szCs w:val="24"/>
                <w:lang w:val="en-US" w:eastAsia="zh-CN"/>
              </w:rPr>
              <w:t>序号</w:t>
            </w:r>
          </w:p>
        </w:tc>
        <w:tc>
          <w:tcPr>
            <w:tcW w:w="2309" w:type="dxa"/>
            <w:vAlign w:val="center"/>
          </w:tcPr>
          <w:p w14:paraId="26E748BD">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eastAsia" w:ascii="方正楷体简体" w:hAnsi="方正楷体简体" w:eastAsia="方正楷体简体" w:cs="方正楷体简体"/>
                <w:sz w:val="24"/>
                <w:szCs w:val="24"/>
                <w:lang w:val="en-US" w:eastAsia="zh-CN"/>
              </w:rPr>
            </w:pPr>
            <w:r>
              <w:rPr>
                <w:rFonts w:hint="eastAsia" w:ascii="方正楷体简体" w:hAnsi="方正楷体简体" w:eastAsia="方正楷体简体" w:cs="方正楷体简体"/>
                <w:sz w:val="24"/>
                <w:szCs w:val="24"/>
              </w:rPr>
              <w:t>隐患概况（部位、现象、严重程度）</w:t>
            </w:r>
          </w:p>
        </w:tc>
        <w:tc>
          <w:tcPr>
            <w:tcW w:w="736" w:type="dxa"/>
            <w:vAlign w:val="center"/>
          </w:tcPr>
          <w:p w14:paraId="51CE16B0">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eastAsia" w:ascii="方正楷体简体" w:hAnsi="方正楷体简体" w:eastAsia="方正楷体简体" w:cs="方正楷体简体"/>
                <w:sz w:val="24"/>
                <w:szCs w:val="24"/>
                <w:lang w:eastAsia="zh-CN"/>
              </w:rPr>
            </w:pPr>
            <w:r>
              <w:rPr>
                <w:rFonts w:hint="eastAsia" w:ascii="方正楷体简体" w:hAnsi="方正楷体简体" w:eastAsia="方正楷体简体" w:cs="方正楷体简体"/>
                <w:sz w:val="24"/>
                <w:szCs w:val="24"/>
                <w:lang w:eastAsia="zh-CN"/>
              </w:rPr>
              <w:t>发现时间</w:t>
            </w:r>
          </w:p>
        </w:tc>
        <w:tc>
          <w:tcPr>
            <w:tcW w:w="990" w:type="dxa"/>
            <w:vAlign w:val="center"/>
          </w:tcPr>
          <w:p w14:paraId="73828FFD">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eastAsia" w:ascii="方正楷体简体" w:hAnsi="方正楷体简体" w:eastAsia="方正楷体简体" w:cs="方正楷体简体"/>
                <w:sz w:val="24"/>
                <w:szCs w:val="24"/>
                <w:lang w:val="en-US" w:eastAsia="zh-CN"/>
              </w:rPr>
            </w:pPr>
            <w:r>
              <w:rPr>
                <w:rFonts w:hint="eastAsia" w:ascii="方正楷体简体" w:hAnsi="方正楷体简体" w:eastAsia="方正楷体简体" w:cs="方正楷体简体"/>
                <w:sz w:val="24"/>
                <w:szCs w:val="24"/>
                <w:lang w:eastAsia="zh-CN"/>
              </w:rPr>
              <w:t>整改</w:t>
            </w:r>
            <w:r>
              <w:rPr>
                <w:rFonts w:hint="eastAsia" w:ascii="方正楷体简体" w:hAnsi="方正楷体简体" w:eastAsia="方正楷体简体" w:cs="方正楷体简体"/>
                <w:sz w:val="24"/>
                <w:szCs w:val="24"/>
              </w:rPr>
              <w:t>责任人</w:t>
            </w:r>
          </w:p>
        </w:tc>
        <w:tc>
          <w:tcPr>
            <w:tcW w:w="1260" w:type="dxa"/>
            <w:vAlign w:val="center"/>
          </w:tcPr>
          <w:p w14:paraId="681CAB67">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eastAsia" w:ascii="方正楷体简体" w:hAnsi="方正楷体简体" w:eastAsia="方正楷体简体" w:cs="方正楷体简体"/>
                <w:sz w:val="24"/>
                <w:szCs w:val="24"/>
                <w:lang w:val="en-US" w:eastAsia="zh-CN"/>
              </w:rPr>
            </w:pPr>
            <w:r>
              <w:rPr>
                <w:rFonts w:hint="eastAsia" w:ascii="方正楷体简体" w:hAnsi="方正楷体简体" w:eastAsia="方正楷体简体" w:cs="方正楷体简体"/>
                <w:sz w:val="24"/>
                <w:szCs w:val="24"/>
              </w:rPr>
              <w:t>整改</w:t>
            </w:r>
            <w:r>
              <w:rPr>
                <w:rFonts w:hint="eastAsia" w:ascii="方正楷体简体" w:hAnsi="方正楷体简体" w:eastAsia="方正楷体简体" w:cs="方正楷体简体"/>
                <w:sz w:val="24"/>
                <w:szCs w:val="24"/>
                <w:lang w:eastAsia="zh-CN"/>
              </w:rPr>
              <w:t>措施</w:t>
            </w:r>
          </w:p>
        </w:tc>
        <w:tc>
          <w:tcPr>
            <w:tcW w:w="735" w:type="dxa"/>
            <w:vAlign w:val="center"/>
          </w:tcPr>
          <w:p w14:paraId="7A093183">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eastAsia" w:ascii="方正楷体简体" w:hAnsi="方正楷体简体" w:eastAsia="方正楷体简体" w:cs="方正楷体简体"/>
                <w:sz w:val="24"/>
                <w:szCs w:val="24"/>
                <w:lang w:val="en-US" w:eastAsia="zh-CN"/>
              </w:rPr>
            </w:pPr>
            <w:r>
              <w:rPr>
                <w:rFonts w:hint="eastAsia" w:ascii="方正楷体简体" w:hAnsi="方正楷体简体" w:eastAsia="方正楷体简体" w:cs="方正楷体简体"/>
                <w:sz w:val="24"/>
                <w:szCs w:val="24"/>
                <w:lang w:val="en-US" w:eastAsia="zh-CN"/>
              </w:rPr>
              <w:t>整改时限</w:t>
            </w:r>
          </w:p>
        </w:tc>
        <w:tc>
          <w:tcPr>
            <w:tcW w:w="1425" w:type="dxa"/>
            <w:vAlign w:val="center"/>
          </w:tcPr>
          <w:p w14:paraId="0214A647">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eastAsia" w:ascii="方正楷体简体" w:hAnsi="方正楷体简体" w:eastAsia="方正楷体简体" w:cs="方正楷体简体"/>
                <w:sz w:val="24"/>
                <w:szCs w:val="24"/>
                <w:lang w:val="en-US" w:eastAsia="zh-CN"/>
              </w:rPr>
            </w:pPr>
            <w:r>
              <w:rPr>
                <w:rFonts w:hint="eastAsia" w:ascii="方正楷体简体" w:hAnsi="方正楷体简体" w:eastAsia="方正楷体简体" w:cs="方正楷体简体"/>
                <w:sz w:val="24"/>
                <w:szCs w:val="24"/>
              </w:rPr>
              <w:t>处理情况</w:t>
            </w:r>
          </w:p>
        </w:tc>
        <w:tc>
          <w:tcPr>
            <w:tcW w:w="765" w:type="dxa"/>
            <w:vAlign w:val="center"/>
          </w:tcPr>
          <w:p w14:paraId="114220A9">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eastAsia" w:ascii="方正楷体简体" w:hAnsi="方正楷体简体" w:eastAsia="方正楷体简体" w:cs="方正楷体简体"/>
                <w:sz w:val="24"/>
                <w:szCs w:val="24"/>
                <w:lang w:val="en-US" w:eastAsia="zh-CN"/>
              </w:rPr>
            </w:pPr>
            <w:r>
              <w:rPr>
                <w:rFonts w:hint="eastAsia" w:ascii="方正楷体简体" w:hAnsi="方正楷体简体" w:eastAsia="方正楷体简体" w:cs="方正楷体简体"/>
                <w:sz w:val="24"/>
                <w:szCs w:val="24"/>
              </w:rPr>
              <w:t>确认人</w:t>
            </w:r>
          </w:p>
        </w:tc>
        <w:tc>
          <w:tcPr>
            <w:tcW w:w="795" w:type="dxa"/>
            <w:vAlign w:val="center"/>
          </w:tcPr>
          <w:p w14:paraId="2B5B15AF">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eastAsia" w:ascii="方正楷体简体" w:hAnsi="方正楷体简体" w:eastAsia="方正楷体简体" w:cs="方正楷体简体"/>
                <w:sz w:val="24"/>
                <w:szCs w:val="24"/>
                <w:lang w:eastAsia="zh-CN"/>
              </w:rPr>
            </w:pPr>
            <w:r>
              <w:rPr>
                <w:rFonts w:hint="eastAsia" w:ascii="方正楷体简体" w:hAnsi="方正楷体简体" w:eastAsia="方正楷体简体" w:cs="方正楷体简体"/>
                <w:sz w:val="24"/>
                <w:szCs w:val="24"/>
                <w:lang w:eastAsia="zh-CN"/>
              </w:rPr>
              <w:t>确认时间</w:t>
            </w:r>
          </w:p>
        </w:tc>
      </w:tr>
      <w:tr w14:paraId="6E13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30B9DF74">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2309" w:type="dxa"/>
            <w:vAlign w:val="center"/>
          </w:tcPr>
          <w:p w14:paraId="16C233B9">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6" w:type="dxa"/>
            <w:vAlign w:val="center"/>
          </w:tcPr>
          <w:p w14:paraId="7DBECC7F">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990" w:type="dxa"/>
            <w:vAlign w:val="center"/>
          </w:tcPr>
          <w:p w14:paraId="2EFE88DB">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260" w:type="dxa"/>
            <w:vAlign w:val="center"/>
          </w:tcPr>
          <w:p w14:paraId="4E3C74DE">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5" w:type="dxa"/>
            <w:vAlign w:val="center"/>
          </w:tcPr>
          <w:p w14:paraId="6A5CE824">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425" w:type="dxa"/>
            <w:vAlign w:val="center"/>
          </w:tcPr>
          <w:p w14:paraId="32A1239A">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65" w:type="dxa"/>
            <w:vAlign w:val="center"/>
          </w:tcPr>
          <w:p w14:paraId="6786240A">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95" w:type="dxa"/>
            <w:vAlign w:val="center"/>
          </w:tcPr>
          <w:p w14:paraId="365D64EB">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r>
      <w:tr w14:paraId="4FA0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18FA2C7E">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2309" w:type="dxa"/>
            <w:vAlign w:val="center"/>
          </w:tcPr>
          <w:p w14:paraId="57E690BB">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6" w:type="dxa"/>
            <w:vAlign w:val="center"/>
          </w:tcPr>
          <w:p w14:paraId="2254523B">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990" w:type="dxa"/>
            <w:vAlign w:val="center"/>
          </w:tcPr>
          <w:p w14:paraId="5C786980">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260" w:type="dxa"/>
            <w:vAlign w:val="center"/>
          </w:tcPr>
          <w:p w14:paraId="0A0C4630">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5" w:type="dxa"/>
            <w:vAlign w:val="center"/>
          </w:tcPr>
          <w:p w14:paraId="74030393">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425" w:type="dxa"/>
            <w:vAlign w:val="center"/>
          </w:tcPr>
          <w:p w14:paraId="5C50E744">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65" w:type="dxa"/>
            <w:vAlign w:val="center"/>
          </w:tcPr>
          <w:p w14:paraId="2F70350F">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95" w:type="dxa"/>
            <w:vAlign w:val="center"/>
          </w:tcPr>
          <w:p w14:paraId="749EE63D">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r>
      <w:tr w14:paraId="1CD9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41F3A8DA">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2309" w:type="dxa"/>
            <w:vAlign w:val="center"/>
          </w:tcPr>
          <w:p w14:paraId="30F4D242">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6" w:type="dxa"/>
            <w:vAlign w:val="center"/>
          </w:tcPr>
          <w:p w14:paraId="67D9DA29">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990" w:type="dxa"/>
            <w:vAlign w:val="center"/>
          </w:tcPr>
          <w:p w14:paraId="7F59218F">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260" w:type="dxa"/>
            <w:vAlign w:val="center"/>
          </w:tcPr>
          <w:p w14:paraId="0FAE097F">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5" w:type="dxa"/>
            <w:vAlign w:val="center"/>
          </w:tcPr>
          <w:p w14:paraId="5C35AEAD">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425" w:type="dxa"/>
            <w:vAlign w:val="center"/>
          </w:tcPr>
          <w:p w14:paraId="4EEA54AE">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65" w:type="dxa"/>
            <w:vAlign w:val="center"/>
          </w:tcPr>
          <w:p w14:paraId="5050B07C">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95" w:type="dxa"/>
            <w:vAlign w:val="center"/>
          </w:tcPr>
          <w:p w14:paraId="1A33C20C">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r>
      <w:tr w14:paraId="0175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408BADBB">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2309" w:type="dxa"/>
            <w:vAlign w:val="center"/>
          </w:tcPr>
          <w:p w14:paraId="180A3A71">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6" w:type="dxa"/>
            <w:vAlign w:val="center"/>
          </w:tcPr>
          <w:p w14:paraId="325DDF20">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990" w:type="dxa"/>
            <w:vAlign w:val="center"/>
          </w:tcPr>
          <w:p w14:paraId="1E299EDF">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260" w:type="dxa"/>
            <w:vAlign w:val="center"/>
          </w:tcPr>
          <w:p w14:paraId="0700C67E">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5" w:type="dxa"/>
            <w:vAlign w:val="center"/>
          </w:tcPr>
          <w:p w14:paraId="0AC62D6B">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425" w:type="dxa"/>
            <w:vAlign w:val="center"/>
          </w:tcPr>
          <w:p w14:paraId="38CF3BEF">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65" w:type="dxa"/>
            <w:vAlign w:val="center"/>
          </w:tcPr>
          <w:p w14:paraId="38D73A5B">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95" w:type="dxa"/>
            <w:vAlign w:val="center"/>
          </w:tcPr>
          <w:p w14:paraId="31A3749F">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r>
      <w:tr w14:paraId="1E51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644E1A72">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2309" w:type="dxa"/>
            <w:vAlign w:val="center"/>
          </w:tcPr>
          <w:p w14:paraId="0FB73331">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6" w:type="dxa"/>
            <w:vAlign w:val="center"/>
          </w:tcPr>
          <w:p w14:paraId="561FEBF8">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990" w:type="dxa"/>
            <w:vAlign w:val="center"/>
          </w:tcPr>
          <w:p w14:paraId="383B7F80">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260" w:type="dxa"/>
            <w:vAlign w:val="center"/>
          </w:tcPr>
          <w:p w14:paraId="4EA20BF2">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35" w:type="dxa"/>
            <w:vAlign w:val="center"/>
          </w:tcPr>
          <w:p w14:paraId="2E0DAA4A">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1425" w:type="dxa"/>
            <w:vAlign w:val="center"/>
          </w:tcPr>
          <w:p w14:paraId="096809E8">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65" w:type="dxa"/>
            <w:vAlign w:val="center"/>
          </w:tcPr>
          <w:p w14:paraId="422CF35A">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c>
          <w:tcPr>
            <w:tcW w:w="795" w:type="dxa"/>
            <w:vAlign w:val="center"/>
          </w:tcPr>
          <w:p w14:paraId="4959749B">
            <w:pPr>
              <w:keepNext w:val="0"/>
              <w:keepLines w:val="0"/>
              <w:pageBreakBefore w:val="0"/>
              <w:widowControl w:val="0"/>
              <w:kinsoku/>
              <w:wordWrap/>
              <w:overflowPunct/>
              <w:topLinePunct w:val="0"/>
              <w:autoSpaceDE/>
              <w:autoSpaceDN/>
              <w:bidi w:val="0"/>
              <w:adjustRightInd/>
              <w:snapToGrid/>
              <w:spacing w:line="160" w:lineRule="atLeast"/>
              <w:ind w:left="0" w:leftChars="0" w:firstLine="0" w:firstLineChars="0"/>
              <w:jc w:val="both"/>
              <w:textAlignment w:val="auto"/>
              <w:rPr>
                <w:rFonts w:hint="default"/>
                <w:sz w:val="24"/>
                <w:szCs w:val="24"/>
                <w:vertAlign w:val="baseline"/>
                <w:lang w:val="en-US" w:eastAsia="zh-CN"/>
              </w:rPr>
            </w:pPr>
          </w:p>
        </w:tc>
      </w:tr>
    </w:tbl>
    <w:p w14:paraId="6B28886E">
      <w:pPr>
        <w:bidi w:val="0"/>
        <w:ind w:left="0" w:leftChars="0" w:firstLine="0" w:firstLineChars="0"/>
        <w:rPr>
          <w:rFonts w:hint="default"/>
          <w:lang w:val="en-US" w:eastAsia="zh-CN"/>
        </w:rPr>
      </w:pPr>
    </w:p>
    <w:p w14:paraId="659D4FAF">
      <w:pPr>
        <w:numPr>
          <w:ilvl w:val="0"/>
          <w:numId w:val="0"/>
        </w:numPr>
        <w:bidi w:val="0"/>
        <w:ind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53395BD8">
      <w:pPr>
        <w:pStyle w:val="3"/>
        <w:numPr>
          <w:ilvl w:val="0"/>
          <w:numId w:val="10"/>
        </w:numPr>
        <w:bidi w:val="0"/>
        <w:rPr>
          <w:rFonts w:hint="default" w:ascii="Times New Roman" w:hAnsi="Times New Roman" w:cs="Times New Roman"/>
          <w:lang w:val="en-US" w:eastAsia="zh-CN"/>
        </w:rPr>
      </w:pPr>
      <w:bookmarkStart w:id="31" w:name="_Toc14147"/>
      <w:r>
        <w:rPr>
          <w:rFonts w:hint="default" w:ascii="Times New Roman" w:hAnsi="Times New Roman" w:cs="Times New Roman"/>
          <w:lang w:val="en-US" w:eastAsia="zh-CN"/>
        </w:rPr>
        <w:t>落实高能耗特种设备节能要求</w:t>
      </w:r>
      <w:bookmarkEnd w:id="31"/>
    </w:p>
    <w:p w14:paraId="7B77FF0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高耗能特种设备使用单位应按照安全技术规范的要求进行能效测试和水（介）质检验、水质化验工作。</w:t>
      </w:r>
    </w:p>
    <w:p w14:paraId="6B136D3B">
      <w:pPr>
        <w:pStyle w:val="2"/>
        <w:numPr>
          <w:ilvl w:val="0"/>
          <w:numId w:val="14"/>
        </w:numPr>
        <w:bidi w:val="0"/>
        <w:ind w:left="0" w:leftChars="0" w:firstLine="640" w:firstLineChars="200"/>
        <w:rPr>
          <w:rFonts w:hint="default" w:ascii="Times New Roman" w:hAnsi="Times New Roman" w:cs="Times New Roman"/>
          <w:lang w:val="en-US" w:eastAsia="zh-CN"/>
        </w:rPr>
      </w:pPr>
      <w:bookmarkStart w:id="32" w:name="_Toc23296"/>
      <w:r>
        <w:rPr>
          <w:rFonts w:hint="default" w:ascii="Times New Roman" w:hAnsi="Times New Roman" w:cs="Times New Roman"/>
          <w:lang w:val="en-US" w:eastAsia="zh-CN"/>
        </w:rPr>
        <w:t>能效测试</w:t>
      </w:r>
      <w:bookmarkEnd w:id="32"/>
    </w:p>
    <w:p w14:paraId="2E9C43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锅炉使用单位应当自行(或者委托有能力的测试机构)进行定期能效测试，一般每两年进行一次，测试工作可结合锅炉外部检验进行。通过锅炉产品能效测试的新建锅炉，在使用登记的六年内可以不进行定期能效测试。电加热锅炉、余热锅炉和垃圾焚烧锅炉可以不进行定期能效测试。</w:t>
      </w:r>
    </w:p>
    <w:p w14:paraId="1BAE1319">
      <w:pPr>
        <w:pStyle w:val="2"/>
        <w:numPr>
          <w:ilvl w:val="0"/>
          <w:numId w:val="14"/>
        </w:numPr>
        <w:bidi w:val="0"/>
        <w:ind w:left="0" w:leftChars="0" w:firstLine="640" w:firstLineChars="200"/>
        <w:rPr>
          <w:rFonts w:hint="default" w:ascii="Times New Roman" w:hAnsi="Times New Roman" w:cs="Times New Roman"/>
          <w:lang w:val="en-US" w:eastAsia="zh-CN"/>
        </w:rPr>
      </w:pPr>
      <w:bookmarkStart w:id="33" w:name="_Toc29151"/>
      <w:r>
        <w:rPr>
          <w:rFonts w:hint="default" w:ascii="Times New Roman" w:hAnsi="Times New Roman" w:cs="Times New Roman"/>
          <w:lang w:val="en-US" w:eastAsia="zh-CN"/>
        </w:rPr>
        <w:t>水（介）质定期检验</w:t>
      </w:r>
      <w:bookmarkEnd w:id="33"/>
    </w:p>
    <w:p w14:paraId="06957B6B">
      <w:pPr>
        <w:bidi w:val="0"/>
        <w:rPr>
          <w:rFonts w:hint="default" w:ascii="Times New Roman" w:hAnsi="Times New Roman" w:cs="Times New Roman"/>
          <w:lang w:val="en-US" w:eastAsia="zh-CN"/>
        </w:rPr>
      </w:pPr>
      <w:r>
        <w:rPr>
          <w:rFonts w:hint="eastAsia" w:ascii="Times New Roman" w:hAnsi="Times New Roman" w:cs="Times New Roman"/>
          <w:lang w:val="en-US" w:eastAsia="zh-CN"/>
        </w:rPr>
        <w:t>水（介）质处理定期检验结合锅炉外部检验进行。</w:t>
      </w:r>
      <w:r>
        <w:rPr>
          <w:rFonts w:hint="default" w:ascii="Times New Roman" w:hAnsi="Times New Roman" w:cs="Times New Roman"/>
          <w:lang w:val="en-US" w:eastAsia="zh-CN"/>
        </w:rPr>
        <w:t>有机有载体注入系统并完成系统调试后应在3个月内进行首次检验，在用有机热载体应当每年至少取样检验1次。</w:t>
      </w:r>
    </w:p>
    <w:p w14:paraId="2EBA40D0">
      <w:pPr>
        <w:pStyle w:val="2"/>
        <w:numPr>
          <w:ilvl w:val="0"/>
          <w:numId w:val="14"/>
        </w:numPr>
        <w:bidi w:val="0"/>
        <w:ind w:left="0" w:leftChars="0" w:firstLine="640" w:firstLineChars="200"/>
        <w:rPr>
          <w:rFonts w:hint="default" w:ascii="Times New Roman" w:hAnsi="Times New Roman" w:cs="Times New Roman"/>
          <w:lang w:val="en-US" w:eastAsia="zh-CN"/>
        </w:rPr>
      </w:pPr>
      <w:bookmarkStart w:id="34" w:name="_Toc14449"/>
      <w:r>
        <w:rPr>
          <w:rFonts w:hint="default" w:ascii="Times New Roman" w:hAnsi="Times New Roman" w:cs="Times New Roman"/>
          <w:lang w:val="en-US" w:eastAsia="zh-CN"/>
        </w:rPr>
        <w:t>锅炉水汽常规化验</w:t>
      </w:r>
      <w:bookmarkEnd w:id="34"/>
    </w:p>
    <w:p w14:paraId="5305B1B6">
      <w:pPr>
        <w:numPr>
          <w:ilvl w:val="0"/>
          <w:numId w:val="0"/>
        </w:numPr>
        <w:bidi w:val="0"/>
        <w:ind w:firstLine="643" w:firstLineChars="200"/>
        <w:rPr>
          <w:rFonts w:hint="eastAsia" w:ascii="Times New Roman" w:hAnsi="Times New Roman" w:cs="Times New Roman"/>
          <w:lang w:val="en-US" w:eastAsia="zh-CN"/>
        </w:rPr>
      </w:pPr>
      <w:r>
        <w:rPr>
          <w:rFonts w:hint="eastAsia" w:ascii="Times New Roman" w:hAnsi="Times New Roman" w:cs="Times New Roman"/>
          <w:lang w:val="en-US" w:eastAsia="zh-CN"/>
        </w:rPr>
        <w:t>《锅炉安全技术规程》（TSG11-2020）8.9规定，使用单位应当做好水（介）质处理工作，保证水汽或者有机热载体的质量符合标准要求。采取必要的检测手段监测水汽质量，每班至少化验1次水汽质量，当水汽质量不符合标准要求时，应当及时查找原因并处理至合格。</w:t>
      </w:r>
    </w:p>
    <w:p w14:paraId="33A4DD6D">
      <w:pPr>
        <w:numPr>
          <w:ilvl w:val="0"/>
          <w:numId w:val="0"/>
        </w:numPr>
        <w:bidi w:val="0"/>
        <w:ind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t>由企业取得锅炉水处理资格证的职工实施</w:t>
      </w:r>
      <w:r>
        <w:rPr>
          <w:rFonts w:hint="eastAsia" w:ascii="Times New Roman" w:hAnsi="Times New Roman" w:cs="Times New Roman"/>
          <w:lang w:val="en-US" w:eastAsia="zh-CN"/>
        </w:rPr>
        <w:t>，</w:t>
      </w:r>
      <w:r>
        <w:rPr>
          <w:rFonts w:hint="default" w:ascii="Times New Roman" w:hAnsi="Times New Roman" w:cs="Times New Roman"/>
          <w:lang w:val="en-US" w:eastAsia="zh-CN"/>
        </w:rPr>
        <w:t>每次化验应当记录并存档。</w:t>
      </w:r>
    </w:p>
    <w:p w14:paraId="010E784A">
      <w:pPr>
        <w:pStyle w:val="2"/>
        <w:numPr>
          <w:ilvl w:val="0"/>
          <w:numId w:val="14"/>
        </w:numPr>
        <w:bidi w:val="0"/>
        <w:ind w:left="0" w:leftChars="0" w:firstLine="640" w:firstLineChars="200"/>
        <w:rPr>
          <w:rFonts w:hint="default" w:ascii="Times New Roman" w:hAnsi="Times New Roman" w:cs="Times New Roman"/>
          <w:lang w:val="en-US" w:eastAsia="zh-CN"/>
        </w:rPr>
      </w:pPr>
      <w:bookmarkStart w:id="35" w:name="_Toc20187"/>
      <w:r>
        <w:rPr>
          <w:rFonts w:hint="default" w:ascii="Times New Roman" w:hAnsi="Times New Roman" w:cs="Times New Roman"/>
          <w:lang w:val="en-US" w:eastAsia="zh-CN"/>
        </w:rPr>
        <w:t>节能安全技术档案</w:t>
      </w:r>
      <w:bookmarkEnd w:id="35"/>
    </w:p>
    <w:p w14:paraId="21A3418B">
      <w:pPr>
        <w:bidi w:val="0"/>
        <w:rPr>
          <w:rFonts w:hint="default" w:ascii="Times New Roman" w:hAnsi="Times New Roman" w:cs="Times New Roman"/>
        </w:rPr>
      </w:pPr>
      <w:r>
        <w:rPr>
          <w:rFonts w:hint="default" w:ascii="Times New Roman" w:hAnsi="Times New Roman" w:cs="Times New Roman"/>
        </w:rPr>
        <w:t>至少包括以下内容：含有设计能效指标的设计文件；能效测试报告；设备经济运行文件和操作说明书；日常运行能效监控记录、能耗状况记录；节能改造技术资料；能效定期检查记录。</w:t>
      </w:r>
    </w:p>
    <w:p w14:paraId="424B9A3F">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39C84C50">
      <w:pPr>
        <w:pStyle w:val="3"/>
        <w:numPr>
          <w:ilvl w:val="0"/>
          <w:numId w:val="10"/>
        </w:numPr>
        <w:bidi w:val="0"/>
        <w:rPr>
          <w:rFonts w:hint="default" w:ascii="Times New Roman" w:hAnsi="Times New Roman" w:cs="Times New Roman"/>
          <w:lang w:val="en-US" w:eastAsia="zh-CN"/>
        </w:rPr>
      </w:pPr>
      <w:bookmarkStart w:id="36" w:name="_Toc27174"/>
      <w:r>
        <w:rPr>
          <w:rFonts w:hint="default" w:ascii="Times New Roman" w:hAnsi="Times New Roman" w:cs="Times New Roman"/>
          <w:lang w:val="en-US" w:eastAsia="zh-CN"/>
        </w:rPr>
        <w:t>特种设备专项应急预案和应急演练</w:t>
      </w:r>
      <w:bookmarkEnd w:id="36"/>
    </w:p>
    <w:p w14:paraId="25727CA4">
      <w:pPr>
        <w:pStyle w:val="2"/>
        <w:numPr>
          <w:ilvl w:val="0"/>
          <w:numId w:val="15"/>
        </w:numPr>
        <w:bidi w:val="0"/>
        <w:ind w:left="0" w:leftChars="0" w:firstLine="420" w:firstLineChars="0"/>
        <w:rPr>
          <w:rFonts w:hint="default" w:ascii="Times New Roman" w:hAnsi="Times New Roman" w:cs="Times New Roman"/>
          <w:lang w:val="en-US" w:eastAsia="zh-CN"/>
        </w:rPr>
      </w:pPr>
      <w:bookmarkStart w:id="37" w:name="_Toc26077"/>
      <w:r>
        <w:rPr>
          <w:rFonts w:hint="default" w:ascii="Times New Roman" w:hAnsi="Times New Roman" w:cs="Times New Roman"/>
          <w:lang w:val="en-US" w:eastAsia="zh-CN"/>
        </w:rPr>
        <w:t>特种设备应急预案制定和演练要求</w:t>
      </w:r>
      <w:bookmarkEnd w:id="37"/>
    </w:p>
    <w:p w14:paraId="039FFEFC">
      <w:pPr>
        <w:bidi w:val="0"/>
        <w:rPr>
          <w:rFonts w:hint="default" w:ascii="Times New Roman" w:hAnsi="Times New Roman" w:cs="Times New Roman"/>
          <w:lang w:val="en-US" w:eastAsia="zh-CN"/>
        </w:rPr>
      </w:pPr>
      <w:r>
        <w:rPr>
          <w:rFonts w:hint="default" w:ascii="Times New Roman" w:hAnsi="Times New Roman" w:cs="Times New Roman"/>
          <w:lang w:val="en-US" w:eastAsia="zh-CN"/>
        </w:rPr>
        <w:t>《特种设备使用管理规则》（TSG08-2017）2.12.1规定，按照本规则要求应当设置特种设备安全管理机构和配备专职安全管理员的使用单位，应当制定特种设备事故专项应急预案，每年至少演练一次，并且作出记录。其他使用单位可以在企业综合应急预案中编制特种设备事故应急的内容，适时开展特种设备事故应急演练，并且作出记录。</w:t>
      </w:r>
    </w:p>
    <w:p w14:paraId="23BD8459">
      <w:pPr>
        <w:bidi w:val="0"/>
        <w:rPr>
          <w:rFonts w:hint="default" w:ascii="Times New Roman" w:hAnsi="Times New Roman" w:cs="Times New Roman"/>
          <w:lang w:val="en-US" w:eastAsia="zh-CN"/>
        </w:rPr>
      </w:pPr>
      <w:r>
        <w:rPr>
          <w:rFonts w:hint="default" w:ascii="Times New Roman" w:hAnsi="Times New Roman" w:cs="Times New Roman"/>
          <w:lang w:val="en-US" w:eastAsia="zh-CN"/>
        </w:rPr>
        <w:t>制定特种设备应急预案的核心要求：</w:t>
      </w:r>
      <w:r>
        <w:rPr>
          <w:rFonts w:hint="eastAsia" w:ascii="Times New Roman" w:hAnsi="Times New Roman" w:cs="Times New Roman"/>
          <w:lang w:val="en-US" w:eastAsia="zh-CN"/>
        </w:rPr>
        <w:t>“</w:t>
      </w:r>
      <w:r>
        <w:rPr>
          <w:rFonts w:hint="default" w:ascii="Times New Roman" w:hAnsi="Times New Roman" w:cs="Times New Roman"/>
          <w:lang w:val="en-US" w:eastAsia="zh-CN"/>
        </w:rPr>
        <w:t>覆盖本单位所有类型的特种设备、具备可操作性</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2799E7D6">
      <w:pPr>
        <w:bidi w:val="0"/>
        <w:rPr>
          <w:rFonts w:hint="default" w:ascii="Times New Roman" w:hAnsi="Times New Roman" w:cs="Times New Roman"/>
          <w:lang w:val="en-US" w:eastAsia="zh-CN"/>
        </w:rPr>
      </w:pPr>
      <w:r>
        <w:rPr>
          <w:rFonts w:hint="default" w:ascii="Times New Roman" w:hAnsi="Times New Roman" w:cs="Times New Roman"/>
          <w:lang w:val="en-US" w:eastAsia="zh-CN"/>
        </w:rPr>
        <w:t>使用单位应于每年年初制定年度特种设备应急演练计划（可结合企业总体演练计划制定），演练计划应覆盖本单位所有类型的特种设备。大型游乐设施使用单位应覆盖本单位所有类别的大型游乐设施。使用单位应按照年度演练计划开展应急演练并留存相关演练记录备查。</w:t>
      </w:r>
    </w:p>
    <w:p w14:paraId="47B194DA">
      <w:pPr>
        <w:pStyle w:val="2"/>
        <w:numPr>
          <w:ilvl w:val="0"/>
          <w:numId w:val="15"/>
        </w:numPr>
        <w:bidi w:val="0"/>
        <w:ind w:left="0" w:leftChars="0" w:firstLine="420" w:firstLineChars="0"/>
        <w:rPr>
          <w:rFonts w:hint="default" w:ascii="Times New Roman" w:hAnsi="Times New Roman" w:cs="Times New Roman"/>
          <w:lang w:val="en-US" w:eastAsia="zh-CN"/>
        </w:rPr>
      </w:pPr>
      <w:bookmarkStart w:id="38" w:name="_Toc3684"/>
      <w:r>
        <w:rPr>
          <w:rFonts w:hint="default" w:ascii="Times New Roman" w:hAnsi="Times New Roman" w:cs="Times New Roman"/>
          <w:lang w:val="en-US" w:eastAsia="zh-CN"/>
        </w:rPr>
        <w:t>特种设备专项应急预案编制要求</w:t>
      </w:r>
      <w:bookmarkEnd w:id="38"/>
    </w:p>
    <w:p w14:paraId="6AEAAAB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专项应急预案应包括适用范围、组织机构及职责、预防与预警、应急响应、应急处置、应急保障等内容。</w:t>
      </w:r>
    </w:p>
    <w:p w14:paraId="04B6E968">
      <w:pPr>
        <w:bidi w:val="0"/>
        <w:rPr>
          <w:rFonts w:hint="default" w:ascii="Times New Roman" w:hAnsi="Times New Roman" w:cs="Times New Roman"/>
          <w:lang w:val="en-US" w:eastAsia="zh-CN"/>
        </w:rPr>
      </w:pPr>
      <w:r>
        <w:rPr>
          <w:rFonts w:hint="default" w:ascii="Times New Roman" w:hAnsi="Times New Roman" w:cs="Times New Roman"/>
          <w:lang w:val="en-US" w:eastAsia="zh-CN"/>
        </w:rPr>
        <w:t>应急处置措施是专项应急预案的核心。要充分分析特种设备安全风险特点，根据本企业场区布局、设备设施、工艺流程、工艺参数等情况，针对可能发生的事故类型，科学制定应急处置措施</w:t>
      </w:r>
      <w:r>
        <w:rPr>
          <w:rFonts w:hint="eastAsia" w:ascii="Times New Roman" w:hAnsi="Times New Roman" w:cs="Times New Roman"/>
          <w:lang w:val="en-US" w:eastAsia="zh-CN"/>
        </w:rPr>
        <w:t>，确保应急措施具有可操作性</w:t>
      </w:r>
      <w:r>
        <w:rPr>
          <w:rFonts w:hint="default" w:ascii="Times New Roman" w:hAnsi="Times New Roman" w:cs="Times New Roman"/>
          <w:lang w:val="en-US" w:eastAsia="zh-CN"/>
        </w:rPr>
        <w:t>。应急处置措施应覆盖本单位所有类型的特种设备。</w:t>
      </w:r>
    </w:p>
    <w:p w14:paraId="0CA3A0AE">
      <w:pPr>
        <w:bidi w:val="0"/>
        <w:rPr>
          <w:rFonts w:hint="default" w:ascii="Times New Roman" w:hAnsi="Times New Roman" w:cs="Times New Roman"/>
          <w:lang w:val="en-US" w:eastAsia="zh-CN"/>
        </w:rPr>
      </w:pPr>
      <w:r>
        <w:rPr>
          <w:rFonts w:hint="eastAsia" w:ascii="Times New Roman" w:hAnsi="Times New Roman" w:cs="Times New Roman"/>
          <w:lang w:val="en-US" w:eastAsia="zh-CN"/>
        </w:rPr>
        <w:t>特种设备应急预案可参照《特种设备事故应急预案编制导则》（GBT 33942）制定。</w:t>
      </w:r>
    </w:p>
    <w:p w14:paraId="51E9D3B3">
      <w:pPr>
        <w:pStyle w:val="2"/>
        <w:numPr>
          <w:ilvl w:val="0"/>
          <w:numId w:val="15"/>
        </w:numPr>
        <w:bidi w:val="0"/>
        <w:ind w:left="0" w:leftChars="0" w:firstLine="420" w:firstLineChars="0"/>
        <w:rPr>
          <w:rFonts w:hint="default" w:ascii="Times New Roman" w:hAnsi="Times New Roman" w:cs="Times New Roman"/>
          <w:lang w:val="en-US" w:eastAsia="zh-CN"/>
        </w:rPr>
      </w:pPr>
      <w:bookmarkStart w:id="39" w:name="_Toc29816"/>
      <w:r>
        <w:rPr>
          <w:rFonts w:hint="default" w:ascii="Times New Roman" w:hAnsi="Times New Roman" w:cs="Times New Roman"/>
          <w:lang w:val="en-US" w:eastAsia="zh-CN"/>
        </w:rPr>
        <w:t>是否按设备类别制定专项应急预案</w:t>
      </w:r>
      <w:bookmarkEnd w:id="39"/>
    </w:p>
    <w:p w14:paraId="6A1CF5BA">
      <w:pPr>
        <w:bidi w:val="0"/>
        <w:rPr>
          <w:rFonts w:hint="default" w:ascii="Times New Roman" w:hAnsi="Times New Roman" w:cs="Times New Roman"/>
          <w:lang w:val="en-US" w:eastAsia="zh-CN"/>
        </w:rPr>
      </w:pPr>
      <w:r>
        <w:rPr>
          <w:rFonts w:hint="default" w:ascii="Times New Roman" w:hAnsi="Times New Roman" w:cs="Times New Roman"/>
          <w:lang w:val="en-US" w:eastAsia="zh-CN"/>
        </w:rPr>
        <w:t>国家法律法规仅要求达到相应条件的企业应制定特种设备专项应急预案，未强制要求按设备类别分别制定专项应急预案。使用单位是否按设备类别分别制定，需结合本单位特种设备数量、类型差异、风险等级及管理效率综合判断，并非绝对“必须分开”或“统一合并”。</w:t>
      </w:r>
    </w:p>
    <w:p w14:paraId="5C51443D">
      <w:pPr>
        <w:bidi w:val="0"/>
        <w:rPr>
          <w:rFonts w:hint="default" w:ascii="Times New Roman" w:hAnsi="Times New Roman" w:cs="Times New Roman"/>
          <w:lang w:val="en-US" w:eastAsia="zh-CN"/>
        </w:rPr>
      </w:pPr>
      <w:r>
        <w:rPr>
          <w:rFonts w:hint="default" w:ascii="Times New Roman" w:hAnsi="Times New Roman" w:cs="Times New Roman"/>
          <w:lang w:val="en-US" w:eastAsia="zh-CN"/>
        </w:rPr>
        <w:t>建议按要求应设置特种设备安全管理机构和大型游乐设施使用单位按设备</w:t>
      </w:r>
      <w:r>
        <w:rPr>
          <w:rFonts w:hint="eastAsia" w:ascii="Times New Roman" w:hAnsi="Times New Roman" w:cs="Times New Roman"/>
          <w:lang w:val="en-US" w:eastAsia="zh-CN"/>
        </w:rPr>
        <w:t>类型分别</w:t>
      </w:r>
      <w:r>
        <w:rPr>
          <w:rFonts w:hint="default" w:ascii="Times New Roman" w:hAnsi="Times New Roman" w:cs="Times New Roman"/>
          <w:lang w:val="en-US" w:eastAsia="zh-CN"/>
        </w:rPr>
        <w:t>制定特种设备专项应急预案</w:t>
      </w:r>
      <w:r>
        <w:rPr>
          <w:rFonts w:hint="eastAsia" w:ascii="Times New Roman" w:hAnsi="Times New Roman" w:cs="Times New Roman"/>
          <w:lang w:val="en-US" w:eastAsia="zh-CN"/>
        </w:rPr>
        <w:t>，比如锅炉专项应急预案、压力容器专项应急预案</w:t>
      </w:r>
      <w:r>
        <w:rPr>
          <w:rFonts w:hint="default" w:ascii="Times New Roman" w:hAnsi="Times New Roman" w:cs="Times New Roman"/>
          <w:lang w:val="en-US" w:eastAsia="zh-CN"/>
        </w:rPr>
        <w:t>。其他企业可采取在</w:t>
      </w:r>
      <w:r>
        <w:rPr>
          <w:rFonts w:hint="eastAsia" w:ascii="Times New Roman" w:hAnsi="Times New Roman" w:cs="Times New Roman"/>
          <w:lang w:val="en-US" w:eastAsia="zh-CN"/>
        </w:rPr>
        <w:t>特种设备专项</w:t>
      </w:r>
      <w:r>
        <w:rPr>
          <w:rFonts w:hint="default" w:ascii="Times New Roman" w:hAnsi="Times New Roman" w:cs="Times New Roman"/>
          <w:lang w:val="en-US" w:eastAsia="zh-CN"/>
        </w:rPr>
        <w:t>应急预案中分章节制定不同类型设备应急处置措施和处置流程的方式制定特种设备专项应急预案。</w:t>
      </w:r>
    </w:p>
    <w:p w14:paraId="7E0AC261">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657B54F1">
      <w:pPr>
        <w:pStyle w:val="3"/>
        <w:numPr>
          <w:ilvl w:val="0"/>
          <w:numId w:val="10"/>
        </w:numPr>
        <w:bidi w:val="0"/>
        <w:ind w:left="0" w:leftChars="0" w:firstLine="0" w:firstLineChars="0"/>
        <w:rPr>
          <w:rFonts w:hint="eastAsia" w:ascii="Times New Roman" w:hAnsi="Times New Roman" w:cs="Times New Roman"/>
          <w:lang w:val="en-US" w:eastAsia="zh-CN"/>
        </w:rPr>
      </w:pPr>
      <w:bookmarkStart w:id="40" w:name="_Toc19248"/>
      <w:r>
        <w:rPr>
          <w:rFonts w:hint="eastAsia" w:ascii="Times New Roman" w:hAnsi="Times New Roman" w:cs="Times New Roman"/>
          <w:lang w:val="en-US" w:eastAsia="zh-CN"/>
        </w:rPr>
        <w:t>特种设备安全信息化建设</w:t>
      </w:r>
      <w:bookmarkEnd w:id="40"/>
    </w:p>
    <w:p w14:paraId="326E6BDD">
      <w:pPr>
        <w:rPr>
          <w:rFonts w:hint="eastAsia" w:cs="Times New Roman"/>
          <w:sz w:val="32"/>
          <w:szCs w:val="32"/>
          <w:lang w:val="en-US" w:eastAsia="zh-CN"/>
        </w:rPr>
      </w:pPr>
      <w:r>
        <w:rPr>
          <w:rFonts w:hint="eastAsia"/>
          <w:lang w:val="en-US" w:eastAsia="zh-CN"/>
        </w:rPr>
        <w:t>《山东省市场监督管理局关于加强山东省特种设备安全监督管理系统企业端平台使用工作的通知》文件要求，使用单位应在“山东省特种设备安全监管系统企业端”完成</w:t>
      </w:r>
      <w:r>
        <w:rPr>
          <w:rFonts w:hint="eastAsia" w:eastAsia="方正仿宋简体" w:cs="Times New Roman"/>
          <w:sz w:val="32"/>
          <w:szCs w:val="32"/>
          <w:lang w:val="en-US" w:eastAsia="zh-CN"/>
        </w:rPr>
        <w:t>设备信息和作业人员信息完善、各项管理制度和双重预防体系的上传</w:t>
      </w:r>
      <w:r>
        <w:rPr>
          <w:rFonts w:hint="eastAsia" w:cs="Times New Roman"/>
          <w:sz w:val="32"/>
          <w:szCs w:val="32"/>
          <w:lang w:val="en-US" w:eastAsia="zh-CN"/>
        </w:rPr>
        <w:t>工作。</w:t>
      </w:r>
    </w:p>
    <w:p w14:paraId="7E93BD08">
      <w:pPr>
        <w:rPr>
          <w:rFonts w:hint="eastAsia"/>
          <w:lang w:val="en-US" w:eastAsia="zh-CN"/>
        </w:rPr>
      </w:pPr>
      <w:r>
        <w:rPr>
          <w:rFonts w:hint="eastAsia" w:cs="Times New Roman"/>
          <w:sz w:val="32"/>
          <w:szCs w:val="32"/>
          <w:lang w:val="en-US" w:eastAsia="zh-CN"/>
        </w:rPr>
        <w:t>操作方法：</w:t>
      </w:r>
      <w:r>
        <w:rPr>
          <w:rFonts w:hint="eastAsia"/>
          <w:lang w:val="en-US" w:eastAsia="zh-CN"/>
        </w:rPr>
        <w:t>输入网址</w:t>
      </w:r>
      <w:r>
        <w:rPr>
          <w:rFonts w:hint="default" w:ascii="Times New Roman" w:hAnsi="Times New Roman" w:cs="Times New Roman"/>
          <w:lang w:val="en-US" w:eastAsia="zh-CN"/>
        </w:rPr>
        <w:t>http://218.57.139.17:9070/QYSE/</w:t>
      </w:r>
      <w:r>
        <w:rPr>
          <w:rFonts w:hint="eastAsia" w:ascii="Times New Roman" w:hAnsi="Times New Roman" w:cs="Times New Roman"/>
          <w:lang w:val="en-US" w:eastAsia="zh-CN"/>
        </w:rPr>
        <w:t>，进入</w:t>
      </w:r>
      <w:r>
        <w:rPr>
          <w:rFonts w:hint="eastAsia"/>
          <w:lang w:val="en-US" w:eastAsia="zh-CN"/>
        </w:rPr>
        <w:t>“山东省特种设备安全监管系统企业端”（系统只支持【360浏览器的极速模式】和【谷歌浏览器】）登陆界面，点击“用户注册”后注册“使用单位”类型的账号，账号经县级市场监管部门审核后即完成注册。后续工作可按照《山东省特种设备企业端管理平台使用单位操作手册》进行操作。《操作手册》可在“企业端”登陆界面的左侧下载。</w:t>
      </w:r>
    </w:p>
    <w:p w14:paraId="7C3DA6E6">
      <w:pPr>
        <w:bidi w:val="0"/>
        <w:rPr>
          <w:rFonts w:hint="eastAsia"/>
          <w:lang w:val="en-US" w:eastAsia="zh-CN"/>
        </w:rPr>
      </w:pPr>
      <w:r>
        <w:rPr>
          <w:rFonts w:hint="eastAsia"/>
          <w:lang w:val="en-US" w:eastAsia="zh-CN"/>
        </w:rPr>
        <w:t>使用单位也可在“企业端”网上办理开工告知、使用登记等日常业务。</w:t>
      </w:r>
    </w:p>
    <w:p w14:paraId="23DB4B66">
      <w:pPr>
        <w:bidi w:val="0"/>
        <w:rPr>
          <w:rFonts w:hint="eastAsia"/>
          <w:lang w:val="en-US" w:eastAsia="zh-CN"/>
        </w:rPr>
      </w:pPr>
      <w:r>
        <w:rPr>
          <w:rFonts w:hint="eastAsia"/>
          <w:lang w:val="en-US" w:eastAsia="zh-CN"/>
        </w:rPr>
        <w:t>企业端平台应用中有何问题，请及时联系平台服务方，电话0531-67881719。</w:t>
      </w:r>
    </w:p>
    <w:p w14:paraId="6E414A0C">
      <w:pPr>
        <w:rPr>
          <w:rFonts w:hint="eastAsia" w:ascii="Times New Roman" w:hAnsi="Times New Roman" w:cs="Times New Roman"/>
          <w:lang w:val="en-US" w:eastAsia="zh-CN"/>
        </w:rPr>
      </w:pPr>
      <w:r>
        <w:rPr>
          <w:rFonts w:hint="eastAsia" w:ascii="Times New Roman" w:hAnsi="Times New Roman" w:cs="Times New Roman"/>
          <w:lang w:val="en-US" w:eastAsia="zh-CN"/>
        </w:rPr>
        <w:br w:type="page"/>
      </w:r>
    </w:p>
    <w:p w14:paraId="4C22721D">
      <w:pPr>
        <w:pStyle w:val="3"/>
        <w:numPr>
          <w:ilvl w:val="0"/>
          <w:numId w:val="10"/>
        </w:numPr>
        <w:bidi w:val="0"/>
        <w:ind w:left="0" w:leftChars="0" w:firstLine="0" w:firstLineChars="0"/>
        <w:rPr>
          <w:rFonts w:hint="eastAsia" w:ascii="Times New Roman" w:hAnsi="Times New Roman" w:cs="Times New Roman"/>
          <w:lang w:val="en-US" w:eastAsia="zh-CN"/>
        </w:rPr>
      </w:pPr>
      <w:bookmarkStart w:id="41" w:name="_Toc29788"/>
      <w:r>
        <w:rPr>
          <w:rFonts w:hint="eastAsia" w:ascii="Times New Roman" w:hAnsi="Times New Roman" w:cs="Times New Roman"/>
          <w:lang w:val="en-US" w:eastAsia="zh-CN"/>
        </w:rPr>
        <w:t>特种设备重大事故隐患判定标准</w:t>
      </w:r>
      <w:bookmarkEnd w:id="41"/>
    </w:p>
    <w:p w14:paraId="5457A50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eastAsia"/>
          <w:lang w:val="en-US" w:eastAsia="zh-CN"/>
        </w:rPr>
        <w:t>特种设备重大事故隐患是指在特种设备使用过程中，存在的危</w:t>
      </w:r>
      <w:r>
        <w:rPr>
          <w:rFonts w:hint="default" w:ascii="Times New Roman" w:hAnsi="Times New Roman" w:cs="Times New Roman"/>
          <w:lang w:val="en-US" w:eastAsia="zh-CN"/>
        </w:rPr>
        <w:t>害程度较大、可能导致群死群伤或造成重大经济损失的潜在不安全情形</w:t>
      </w:r>
      <w:r>
        <w:rPr>
          <w:rFonts w:hint="eastAsia" w:ascii="Times New Roman" w:hAnsi="Times New Roman" w:cs="Times New Roman"/>
          <w:lang w:val="en-US" w:eastAsia="zh-CN"/>
        </w:rPr>
        <w:t>，</w:t>
      </w:r>
      <w:r>
        <w:rPr>
          <w:rFonts w:hint="default" w:ascii="Times New Roman" w:hAnsi="Times New Roman" w:cs="Times New Roman"/>
          <w:lang w:val="en-US" w:eastAsia="zh-CN"/>
        </w:rPr>
        <w:t>对应《特种设备安全法》中的严重事故隐患。</w:t>
      </w:r>
    </w:p>
    <w:p w14:paraId="651C988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使用单位发现所使用特种设备存在重大事故隐患的，</w:t>
      </w:r>
      <w:r>
        <w:rPr>
          <w:rFonts w:hint="eastAsia" w:ascii="方正楷体简体" w:hAnsi="方正楷体简体" w:eastAsia="方正楷体简体" w:cs="方正楷体简体"/>
          <w:color w:val="FF0000"/>
          <w:lang w:val="en-US" w:eastAsia="zh-CN"/>
        </w:rPr>
        <w:t>应立即停止使用该设备，采取措施消除事故隐患后方可使用</w:t>
      </w:r>
      <w:r>
        <w:rPr>
          <w:rFonts w:hint="default" w:ascii="Times New Roman" w:hAnsi="Times New Roman" w:cs="Times New Roman"/>
          <w:color w:val="FF0000"/>
          <w:lang w:val="en-US" w:eastAsia="zh-CN"/>
        </w:rPr>
        <w:t>。</w:t>
      </w:r>
      <w:r>
        <w:rPr>
          <w:rFonts w:hint="eastAsia" w:ascii="方正楷体简体" w:hAnsi="方正楷体简体" w:eastAsia="方正楷体简体" w:cs="方正楷体简体"/>
          <w:color w:val="FF0000"/>
          <w:lang w:val="en-US" w:eastAsia="zh-CN"/>
        </w:rPr>
        <w:t>使用单位无法自行处理或整改后仍存在较大风险时，应向属地县级特种设备安全监察部门报告。</w:t>
      </w:r>
      <w:r>
        <w:rPr>
          <w:rFonts w:hint="default" w:ascii="Times New Roman" w:hAnsi="Times New Roman" w:cs="Times New Roman"/>
          <w:lang w:val="en-US" w:eastAsia="zh-CN"/>
        </w:rPr>
        <w:t>《特种设备重大事故隐患判定准则》（GB45067</w:t>
      </w:r>
      <w:r>
        <w:rPr>
          <w:rFonts w:hint="eastAsia" w:ascii="Times New Roman" w:hAnsi="Times New Roman" w:cs="Times New Roman"/>
          <w:lang w:val="en-US" w:eastAsia="zh-CN"/>
        </w:rPr>
        <w:t>-</w:t>
      </w:r>
      <w:r>
        <w:rPr>
          <w:rFonts w:hint="default" w:ascii="Times New Roman" w:hAnsi="Times New Roman" w:cs="Times New Roman"/>
          <w:lang w:val="en-US" w:eastAsia="zh-CN"/>
        </w:rPr>
        <w:t>2024）规定，以下情形属于特种设备重大事故隐患：</w:t>
      </w:r>
    </w:p>
    <w:p w14:paraId="59B9E58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1.特种设备有下列情形之一仍继续使用的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002BED8D">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特种设备未取得许可生产、因安全问题国家明令淘汰、已经报废或者达到报废条件。</w:t>
      </w:r>
    </w:p>
    <w:p w14:paraId="273746ED">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特种设备发生过事故</w:t>
      </w:r>
      <w:r>
        <w:rPr>
          <w:rFonts w:hint="eastAsia" w:ascii="Times New Roman" w:hAnsi="Times New Roman" w:cs="Times New Roman"/>
          <w:lang w:val="en-US" w:eastAsia="zh-CN"/>
        </w:rPr>
        <w:t>，</w:t>
      </w:r>
      <w:r>
        <w:rPr>
          <w:rFonts w:hint="default" w:ascii="Times New Roman" w:hAnsi="Times New Roman" w:cs="Times New Roman"/>
          <w:lang w:val="en-US" w:eastAsia="zh-CN"/>
        </w:rPr>
        <w:t>未对其进行全面检查、消除事故隐患。</w:t>
      </w:r>
    </w:p>
    <w:p w14:paraId="27D99F24">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未按规定进行监督检验或者监督检验不合格。</w:t>
      </w:r>
    </w:p>
    <w:p w14:paraId="72D1EEB8">
      <w:pPr>
        <w:keepNext w:val="0"/>
        <w:keepLines w:val="0"/>
        <w:pageBreakBefore w:val="0"/>
        <w:widowControl w:val="0"/>
        <w:numPr>
          <w:ilvl w:val="0"/>
          <w:numId w:val="16"/>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本章</w:t>
      </w:r>
      <w:r>
        <w:rPr>
          <w:rFonts w:hint="default" w:ascii="Times New Roman" w:hAnsi="Times New Roman" w:cs="Times New Roman"/>
          <w:lang w:val="en-US" w:eastAsia="zh-CN"/>
        </w:rPr>
        <w:t>2~10中规定的超过规定参数、使用范围的情形。</w:t>
      </w:r>
    </w:p>
    <w:p w14:paraId="28378AA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2.锅炉有下列情形之一仍继续使用的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4C5F31D1">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定期检验的检验结论为</w:t>
      </w:r>
      <w:r>
        <w:rPr>
          <w:rFonts w:hint="eastAsia" w:ascii="Times New Roman" w:hAnsi="Times New Roman" w:cs="Times New Roman"/>
          <w:lang w:val="en-US" w:eastAsia="zh-CN"/>
        </w:rPr>
        <w:t>“</w:t>
      </w:r>
      <w:r>
        <w:rPr>
          <w:rFonts w:hint="default" w:ascii="Times New Roman" w:hAnsi="Times New Roman" w:cs="Times New Roman"/>
          <w:lang w:val="en-US" w:eastAsia="zh-CN"/>
        </w:rPr>
        <w:t>不符合要求</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4E460A9B">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热工仪表失效或控制电</w:t>
      </w:r>
      <w:r>
        <w:rPr>
          <w:rFonts w:hint="eastAsia" w:ascii="Times New Roman" w:hAnsi="Times New Roman" w:cs="Times New Roman"/>
          <w:lang w:val="en-US" w:eastAsia="zh-CN"/>
        </w:rPr>
        <w:t>（气）</w:t>
      </w:r>
      <w:r>
        <w:rPr>
          <w:rFonts w:hint="default" w:ascii="Times New Roman" w:hAnsi="Times New Roman" w:cs="Times New Roman"/>
          <w:lang w:val="en-US" w:eastAsia="zh-CN"/>
        </w:rPr>
        <w:t>源中断</w:t>
      </w:r>
      <w:r>
        <w:rPr>
          <w:rFonts w:hint="eastAsia" w:ascii="Times New Roman" w:hAnsi="Times New Roman" w:cs="Times New Roman"/>
          <w:lang w:val="en-US" w:eastAsia="zh-CN"/>
        </w:rPr>
        <w:t>，</w:t>
      </w:r>
      <w:r>
        <w:rPr>
          <w:rFonts w:hint="default" w:ascii="Times New Roman" w:hAnsi="Times New Roman" w:cs="Times New Roman"/>
          <w:lang w:val="en-US" w:eastAsia="zh-CN"/>
        </w:rPr>
        <w:t>导致无法监视</w:t>
      </w:r>
      <w:r>
        <w:rPr>
          <w:rFonts w:hint="eastAsia" w:ascii="Times New Roman" w:hAnsi="Times New Roman" w:cs="Times New Roman"/>
          <w:lang w:val="en-US" w:eastAsia="zh-CN"/>
        </w:rPr>
        <w:t>、</w:t>
      </w:r>
      <w:r>
        <w:rPr>
          <w:rFonts w:hint="default" w:ascii="Times New Roman" w:hAnsi="Times New Roman" w:cs="Times New Roman"/>
          <w:lang w:val="en-US" w:eastAsia="zh-CN"/>
        </w:rPr>
        <w:t>调整主要运行参数。</w:t>
      </w:r>
    </w:p>
    <w:p w14:paraId="64FCAF6F">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安全阀</w:t>
      </w:r>
      <w:r>
        <w:rPr>
          <w:rFonts w:hint="eastAsia" w:ascii="Times New Roman" w:hAnsi="Times New Roman" w:cs="Times New Roman"/>
          <w:lang w:val="en-US" w:eastAsia="zh-CN"/>
        </w:rPr>
        <w:t>（</w:t>
      </w:r>
      <w:r>
        <w:rPr>
          <w:rFonts w:hint="default" w:ascii="Times New Roman" w:hAnsi="Times New Roman" w:cs="Times New Roman"/>
          <w:lang w:val="en-US" w:eastAsia="zh-CN"/>
        </w:rPr>
        <w:t>爆破片装置</w:t>
      </w:r>
      <w:r>
        <w:rPr>
          <w:rFonts w:hint="eastAsia" w:ascii="Times New Roman" w:hAnsi="Times New Roman" w:cs="Times New Roman"/>
          <w:lang w:val="en-US" w:eastAsia="zh-CN"/>
        </w:rPr>
        <w:t>）</w:t>
      </w:r>
      <w:r>
        <w:rPr>
          <w:rFonts w:hint="default" w:ascii="Times New Roman" w:hAnsi="Times New Roman" w:cs="Times New Roman"/>
          <w:lang w:val="en-US" w:eastAsia="zh-CN"/>
        </w:rPr>
        <w:t>缺失或失效。</w:t>
      </w:r>
    </w:p>
    <w:p w14:paraId="74F2665B">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系统报警装置缺失或失效。</w:t>
      </w:r>
    </w:p>
    <w:p w14:paraId="4D9DD9AD">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联锁保护装置缺失或失效。</w:t>
      </w:r>
    </w:p>
    <w:p w14:paraId="0D5406E8">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熄火保护装置缺失或失效。</w:t>
      </w:r>
    </w:p>
    <w:p w14:paraId="223C6540">
      <w:pPr>
        <w:keepNext w:val="0"/>
        <w:keepLines w:val="0"/>
        <w:pageBreakBefore w:val="0"/>
        <w:widowControl w:val="0"/>
        <w:numPr>
          <w:ilvl w:val="0"/>
          <w:numId w:val="17"/>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电站锅炉主要汽水管道泄漏或锅炉范围内管道破裂。</w:t>
      </w:r>
    </w:p>
    <w:p w14:paraId="7FC777D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3.压力容器有下列情形之一仍继续使用的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2482B0FB">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定期检验的检验结论为</w:t>
      </w:r>
      <w:r>
        <w:rPr>
          <w:rFonts w:hint="eastAsia" w:ascii="Times New Roman" w:hAnsi="Times New Roman" w:cs="Times New Roman"/>
          <w:lang w:val="en-US" w:eastAsia="zh-CN"/>
        </w:rPr>
        <w:t>“</w:t>
      </w:r>
      <w:r>
        <w:rPr>
          <w:rFonts w:hint="default" w:ascii="Times New Roman" w:hAnsi="Times New Roman" w:cs="Times New Roman"/>
          <w:lang w:val="en-US" w:eastAsia="zh-CN"/>
        </w:rPr>
        <w:t>不符合要求</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0B73FA3D">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固定式压力容器改做移动式压力容器使用。</w:t>
      </w:r>
    </w:p>
    <w:p w14:paraId="753BF6AB">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固定式压力容器、移动式压力容器的安全阀、爆破片装置、紧急切断装置缺失或失效。</w:t>
      </w:r>
    </w:p>
    <w:p w14:paraId="222A6512">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快开门式压力容器的快开安全保护联锁装置缺失或失效。</w:t>
      </w:r>
    </w:p>
    <w:p w14:paraId="2417365E">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氧舱的接地装置缺失或失效。</w:t>
      </w:r>
    </w:p>
    <w:p w14:paraId="41B7855C">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氧舱安全保护联锁装置</w:t>
      </w:r>
      <w:r>
        <w:rPr>
          <w:rFonts w:hint="eastAsia" w:ascii="Times New Roman" w:hAnsi="Times New Roman" w:cs="Times New Roman"/>
          <w:lang w:val="en-US" w:eastAsia="zh-CN"/>
        </w:rPr>
        <w:t>（</w:t>
      </w:r>
      <w:r>
        <w:rPr>
          <w:rFonts w:hint="default" w:ascii="Times New Roman" w:hAnsi="Times New Roman" w:cs="Times New Roman"/>
          <w:lang w:val="en-US" w:eastAsia="zh-CN"/>
        </w:rPr>
        <w:t>联锁功能</w:t>
      </w:r>
      <w:r>
        <w:rPr>
          <w:rFonts w:hint="eastAsia" w:ascii="Times New Roman" w:hAnsi="Times New Roman" w:cs="Times New Roman"/>
          <w:lang w:val="en-US" w:eastAsia="zh-CN"/>
        </w:rPr>
        <w:t>）</w:t>
      </w:r>
      <w:r>
        <w:rPr>
          <w:rFonts w:hint="default" w:ascii="Times New Roman" w:hAnsi="Times New Roman" w:cs="Times New Roman"/>
          <w:lang w:val="en-US" w:eastAsia="zh-CN"/>
        </w:rPr>
        <w:t>失效。</w:t>
      </w:r>
    </w:p>
    <w:p w14:paraId="35B35ED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4.压力管道有下列情形之一仍继续使用的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296FBE00">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定期检验的检验结论为</w:t>
      </w:r>
      <w:r>
        <w:rPr>
          <w:rFonts w:hint="eastAsia" w:ascii="Times New Roman" w:hAnsi="Times New Roman" w:cs="Times New Roman"/>
          <w:lang w:val="en-US" w:eastAsia="zh-CN"/>
        </w:rPr>
        <w:t>“</w:t>
      </w:r>
      <w:r>
        <w:rPr>
          <w:rFonts w:hint="default" w:ascii="Times New Roman" w:hAnsi="Times New Roman" w:cs="Times New Roman"/>
          <w:lang w:val="en-US" w:eastAsia="zh-CN"/>
        </w:rPr>
        <w:t>不符合要求</w:t>
      </w:r>
      <w:r>
        <w:rPr>
          <w:rFonts w:hint="eastAsia" w:ascii="Times New Roman" w:hAnsi="Times New Roman" w:cs="Times New Roman"/>
          <w:lang w:val="en-US" w:eastAsia="zh-CN"/>
        </w:rPr>
        <w:t>”</w:t>
      </w:r>
      <w:r>
        <w:rPr>
          <w:rFonts w:hint="default" w:ascii="Times New Roman" w:hAnsi="Times New Roman" w:cs="Times New Roman"/>
          <w:lang w:val="en-US" w:eastAsia="zh-CN"/>
        </w:rPr>
        <w:t>或</w:t>
      </w:r>
      <w:r>
        <w:rPr>
          <w:rFonts w:hint="eastAsia" w:ascii="Times New Roman" w:hAnsi="Times New Roman" w:cs="Times New Roman"/>
          <w:lang w:val="en-US" w:eastAsia="zh-CN"/>
        </w:rPr>
        <w:t>“</w:t>
      </w:r>
      <w:r>
        <w:rPr>
          <w:rFonts w:hint="default" w:ascii="Times New Roman" w:hAnsi="Times New Roman" w:cs="Times New Roman"/>
          <w:lang w:val="en-US" w:eastAsia="zh-CN"/>
        </w:rPr>
        <w:t>不允许使用</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64F061D5">
      <w:pPr>
        <w:keepNext w:val="0"/>
        <w:keepLines w:val="0"/>
        <w:pageBreakBefore w:val="0"/>
        <w:widowControl w:val="0"/>
        <w:numPr>
          <w:ilvl w:val="0"/>
          <w:numId w:val="19"/>
        </w:numPr>
        <w:kinsoku/>
        <w:wordWrap/>
        <w:overflowPunct/>
        <w:topLinePunct w:val="0"/>
        <w:autoSpaceDE/>
        <w:autoSpaceDN/>
        <w:bidi w:val="0"/>
        <w:adjustRightInd/>
        <w:snapToGrid/>
        <w:spacing w:line="560" w:lineRule="exact"/>
        <w:ind w:left="0" w:leftChars="0" w:firstLine="64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安全阀、爆破片装置、紧急切断装置缺失或失效。</w:t>
      </w:r>
    </w:p>
    <w:p w14:paraId="6776D47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5.移动式压力容器或者气瓶充装有下列情形之一的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62612821">
      <w:pPr>
        <w:keepNext w:val="0"/>
        <w:keepLines w:val="0"/>
        <w:pageBreakBefore w:val="0"/>
        <w:widowControl w:val="0"/>
        <w:numPr>
          <w:ilvl w:val="0"/>
          <w:numId w:val="20"/>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未经许可</w:t>
      </w:r>
      <w:r>
        <w:rPr>
          <w:rFonts w:hint="eastAsia" w:ascii="Times New Roman" w:hAnsi="Times New Roman" w:cs="Times New Roman"/>
          <w:lang w:val="en-US" w:eastAsia="zh-CN"/>
        </w:rPr>
        <w:t>，</w:t>
      </w:r>
      <w:r>
        <w:rPr>
          <w:rFonts w:hint="default" w:ascii="Times New Roman" w:hAnsi="Times New Roman" w:cs="Times New Roman"/>
          <w:lang w:val="en-US" w:eastAsia="zh-CN"/>
        </w:rPr>
        <w:t>擅自从事移动式压力容器充装或者气瓶充装活动。</w:t>
      </w:r>
    </w:p>
    <w:p w14:paraId="5877066B">
      <w:pPr>
        <w:keepNext w:val="0"/>
        <w:keepLines w:val="0"/>
        <w:pageBreakBefore w:val="0"/>
        <w:widowControl w:val="0"/>
        <w:numPr>
          <w:ilvl w:val="0"/>
          <w:numId w:val="20"/>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移动式压力容器、气瓶错装介质。</w:t>
      </w:r>
    </w:p>
    <w:p w14:paraId="1A1A55FA">
      <w:pPr>
        <w:keepNext w:val="0"/>
        <w:keepLines w:val="0"/>
        <w:pageBreakBefore w:val="0"/>
        <w:widowControl w:val="0"/>
        <w:numPr>
          <w:ilvl w:val="0"/>
          <w:numId w:val="20"/>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充装设备设施上的紧急切断装置缺失或失效</w:t>
      </w:r>
      <w:r>
        <w:rPr>
          <w:rFonts w:hint="eastAsia" w:ascii="Times New Roman" w:hAnsi="Times New Roman" w:cs="Times New Roman"/>
          <w:lang w:val="en-US" w:eastAsia="zh-CN"/>
        </w:rPr>
        <w:t>，</w:t>
      </w:r>
      <w:r>
        <w:rPr>
          <w:rFonts w:hint="default" w:ascii="Times New Roman" w:hAnsi="Times New Roman" w:cs="Times New Roman"/>
          <w:lang w:val="en-US" w:eastAsia="zh-CN"/>
        </w:rPr>
        <w:t>仍继续使用的。</w:t>
      </w:r>
    </w:p>
    <w:p w14:paraId="3A155BE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6.电梯有下列情形之一仍继续使用的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7235DACE">
      <w:pPr>
        <w:keepNext w:val="0"/>
        <w:keepLines w:val="0"/>
        <w:pageBreakBefore w:val="0"/>
        <w:widowControl w:val="0"/>
        <w:numPr>
          <w:ilvl w:val="0"/>
          <w:numId w:val="21"/>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定期检验的检验结论为</w:t>
      </w:r>
      <w:r>
        <w:rPr>
          <w:rFonts w:hint="eastAsia" w:ascii="Times New Roman" w:hAnsi="Times New Roman" w:cs="Times New Roman"/>
          <w:lang w:val="en-US" w:eastAsia="zh-CN"/>
        </w:rPr>
        <w:t>“</w:t>
      </w:r>
      <w:r>
        <w:rPr>
          <w:rFonts w:hint="default" w:ascii="Times New Roman" w:hAnsi="Times New Roman" w:cs="Times New Roman"/>
          <w:lang w:val="en-US" w:eastAsia="zh-CN"/>
        </w:rPr>
        <w:t>不合格</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4BCF5A00">
      <w:pPr>
        <w:keepNext w:val="0"/>
        <w:keepLines w:val="0"/>
        <w:pageBreakBefore w:val="0"/>
        <w:widowControl w:val="0"/>
        <w:numPr>
          <w:ilvl w:val="0"/>
          <w:numId w:val="21"/>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乘客与载货电梯门锁安全回路被短接。</w:t>
      </w:r>
    </w:p>
    <w:p w14:paraId="0AD2326C">
      <w:pPr>
        <w:keepNext w:val="0"/>
        <w:keepLines w:val="0"/>
        <w:pageBreakBefore w:val="0"/>
        <w:widowControl w:val="0"/>
        <w:numPr>
          <w:ilvl w:val="0"/>
          <w:numId w:val="21"/>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限速器-安全钳联动试验失效。</w:t>
      </w:r>
    </w:p>
    <w:p w14:paraId="3E299BBC">
      <w:pPr>
        <w:keepNext w:val="0"/>
        <w:keepLines w:val="0"/>
        <w:pageBreakBefore w:val="0"/>
        <w:widowControl w:val="0"/>
        <w:numPr>
          <w:ilvl w:val="0"/>
          <w:numId w:val="21"/>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自动扶梯、自动人行道紧急停止开关缺失或失效。</w:t>
      </w:r>
    </w:p>
    <w:p w14:paraId="3BBD1C71">
      <w:pPr>
        <w:keepNext w:val="0"/>
        <w:keepLines w:val="0"/>
        <w:pageBreakBefore w:val="0"/>
        <w:widowControl w:val="0"/>
        <w:numPr>
          <w:ilvl w:val="0"/>
          <w:numId w:val="21"/>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自动扶梯、自动人行道扶手带外缘与任何障碍物之间距离小于400mm 时,未按要求装设防护挡板。</w:t>
      </w:r>
    </w:p>
    <w:p w14:paraId="0C73EBE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7.起重机械有下列情形之一仍继续使用的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3B07ACC7">
      <w:pPr>
        <w:keepNext w:val="0"/>
        <w:keepLines w:val="0"/>
        <w:pageBreakBefore w:val="0"/>
        <w:widowControl w:val="0"/>
        <w:numPr>
          <w:ilvl w:val="0"/>
          <w:numId w:val="22"/>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未经首次检验。</w:t>
      </w:r>
    </w:p>
    <w:p w14:paraId="4B312442">
      <w:pPr>
        <w:keepNext w:val="0"/>
        <w:keepLines w:val="0"/>
        <w:pageBreakBefore w:val="0"/>
        <w:widowControl w:val="0"/>
        <w:numPr>
          <w:ilvl w:val="0"/>
          <w:numId w:val="22"/>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定期检验(含首次检验)的检验结论为</w:t>
      </w:r>
      <w:r>
        <w:rPr>
          <w:rFonts w:hint="eastAsia" w:ascii="Times New Roman" w:hAnsi="Times New Roman" w:cs="Times New Roman"/>
          <w:lang w:val="en-US" w:eastAsia="zh-CN"/>
        </w:rPr>
        <w:t>“</w:t>
      </w:r>
      <w:r>
        <w:rPr>
          <w:rFonts w:hint="default" w:ascii="Times New Roman" w:hAnsi="Times New Roman" w:cs="Times New Roman"/>
          <w:lang w:val="en-US" w:eastAsia="zh-CN"/>
        </w:rPr>
        <w:t>不合格</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6AFBE76D">
      <w:pPr>
        <w:keepNext w:val="0"/>
        <w:keepLines w:val="0"/>
        <w:pageBreakBefore w:val="0"/>
        <w:widowControl w:val="0"/>
        <w:numPr>
          <w:ilvl w:val="0"/>
          <w:numId w:val="22"/>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急停开关缺失或失效。</w:t>
      </w:r>
    </w:p>
    <w:p w14:paraId="5707B1B4">
      <w:pPr>
        <w:keepNext w:val="0"/>
        <w:keepLines w:val="0"/>
        <w:pageBreakBefore w:val="0"/>
        <w:widowControl w:val="0"/>
        <w:numPr>
          <w:ilvl w:val="0"/>
          <w:numId w:val="22"/>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起重量限制器、起重力矩限制器、防坠安全器缺失或失效。</w:t>
      </w:r>
    </w:p>
    <w:p w14:paraId="46CD7056">
      <w:pPr>
        <w:keepNext w:val="0"/>
        <w:keepLines w:val="0"/>
        <w:pageBreakBefore w:val="0"/>
        <w:widowControl w:val="0"/>
        <w:numPr>
          <w:ilvl w:val="0"/>
          <w:numId w:val="22"/>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室外工作的轨道式起重机械抗风防滑装置缺失或失效。</w:t>
      </w:r>
    </w:p>
    <w:p w14:paraId="7F8B3A3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8.客运索道有下列情形之一仍继续使用的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108CC753">
      <w:pPr>
        <w:keepNext w:val="0"/>
        <w:keepLines w:val="0"/>
        <w:pageBreakBefore w:val="0"/>
        <w:widowControl w:val="0"/>
        <w:numPr>
          <w:ilvl w:val="0"/>
          <w:numId w:val="23"/>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定期检验的检验结论为</w:t>
      </w:r>
      <w:r>
        <w:rPr>
          <w:rFonts w:hint="eastAsia" w:ascii="Times New Roman" w:hAnsi="Times New Roman" w:cs="Times New Roman"/>
          <w:lang w:val="en-US" w:eastAsia="zh-CN"/>
        </w:rPr>
        <w:t>“</w:t>
      </w:r>
      <w:r>
        <w:rPr>
          <w:rFonts w:hint="default" w:ascii="Times New Roman" w:hAnsi="Times New Roman" w:cs="Times New Roman"/>
          <w:lang w:val="en-US" w:eastAsia="zh-CN"/>
        </w:rPr>
        <w:t>不合格</w:t>
      </w:r>
      <w:r>
        <w:rPr>
          <w:rFonts w:hint="eastAsia" w:ascii="Times New Roman" w:hAnsi="Times New Roman" w:cs="Times New Roman"/>
          <w:lang w:val="en-US" w:eastAsia="zh-CN"/>
        </w:rPr>
        <w:t>”</w:t>
      </w:r>
      <w:r>
        <w:rPr>
          <w:rFonts w:hint="default" w:ascii="Times New Roman" w:hAnsi="Times New Roman" w:cs="Times New Roman"/>
          <w:lang w:val="en-US" w:eastAsia="zh-CN"/>
        </w:rPr>
        <w:t>或</w:t>
      </w:r>
      <w:r>
        <w:rPr>
          <w:rFonts w:hint="eastAsia" w:ascii="Times New Roman" w:hAnsi="Times New Roman" w:cs="Times New Roman"/>
          <w:lang w:val="en-US" w:eastAsia="zh-CN"/>
        </w:rPr>
        <w:t>“</w:t>
      </w:r>
      <w:r>
        <w:rPr>
          <w:rFonts w:hint="default" w:ascii="Times New Roman" w:hAnsi="Times New Roman" w:cs="Times New Roman"/>
          <w:lang w:val="en-US" w:eastAsia="zh-CN"/>
        </w:rPr>
        <w:t>复检不合格</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6AB36FC5">
      <w:pPr>
        <w:keepNext w:val="0"/>
        <w:keepLines w:val="0"/>
        <w:pageBreakBefore w:val="0"/>
        <w:widowControl w:val="0"/>
        <w:numPr>
          <w:ilvl w:val="0"/>
          <w:numId w:val="23"/>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控制室、站台、机房紧急停车开关缺失或失效。</w:t>
      </w:r>
    </w:p>
    <w:p w14:paraId="4EF025C8">
      <w:pPr>
        <w:keepNext w:val="0"/>
        <w:keepLines w:val="0"/>
        <w:pageBreakBefore w:val="0"/>
        <w:widowControl w:val="0"/>
        <w:numPr>
          <w:ilvl w:val="0"/>
          <w:numId w:val="23"/>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吊厢、吊篮、客车门不能锁闭且未停用。</w:t>
      </w:r>
    </w:p>
    <w:p w14:paraId="1D8861DA">
      <w:pPr>
        <w:keepNext w:val="0"/>
        <w:keepLines w:val="0"/>
        <w:pageBreakBefore w:val="0"/>
        <w:widowControl w:val="0"/>
        <w:numPr>
          <w:ilvl w:val="0"/>
          <w:numId w:val="23"/>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辅机、备用电源不能启动运行。</w:t>
      </w:r>
    </w:p>
    <w:p w14:paraId="605C3A38">
      <w:pPr>
        <w:keepNext w:val="0"/>
        <w:keepLines w:val="0"/>
        <w:pageBreakBefore w:val="0"/>
        <w:widowControl w:val="0"/>
        <w:numPr>
          <w:ilvl w:val="0"/>
          <w:numId w:val="23"/>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电气系统安全回路发生故障后采用短接方法继续运营。</w:t>
      </w:r>
    </w:p>
    <w:p w14:paraId="5A2E295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9.大型游乐设施有下列情形之一仍继续使用的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0DF09C3C">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定期检验的检验结论为</w:t>
      </w:r>
      <w:r>
        <w:rPr>
          <w:rFonts w:hint="eastAsia" w:ascii="Times New Roman" w:hAnsi="Times New Roman" w:cs="Times New Roman"/>
          <w:lang w:val="en-US" w:eastAsia="zh-CN"/>
        </w:rPr>
        <w:t>“</w:t>
      </w:r>
      <w:r>
        <w:rPr>
          <w:rFonts w:hint="default" w:ascii="Times New Roman" w:hAnsi="Times New Roman" w:cs="Times New Roman"/>
          <w:lang w:val="en-US" w:eastAsia="zh-CN"/>
        </w:rPr>
        <w:t>不合格</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0AC00C2A">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安全带、安全压杠和安全挡杆等乘客束缚装置缺失或失效。</w:t>
      </w:r>
    </w:p>
    <w:p w14:paraId="18C8AE9C">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座舱舱门锁紧装置缺失或失效。</w:t>
      </w:r>
    </w:p>
    <w:p w14:paraId="643030D3">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制动装置、限位装置、防碰撞及缓冲装置、止逆行装置、限速装置缺失或失效。</w:t>
      </w:r>
    </w:p>
    <w:p w14:paraId="0ACB9559">
      <w:pPr>
        <w:keepNext w:val="0"/>
        <w:keepLines w:val="0"/>
        <w:pageBreakBefore w:val="0"/>
        <w:widowControl w:val="0"/>
        <w:numPr>
          <w:ilvl w:val="0"/>
          <w:numId w:val="24"/>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主要受力部件、重要焊缝及重要螺栓出现裂纹、严重变形。</w:t>
      </w:r>
    </w:p>
    <w:p w14:paraId="4AF8161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10.场</w:t>
      </w:r>
      <w:r>
        <w:rPr>
          <w:rFonts w:hint="eastAsia" w:ascii="Times New Roman" w:hAnsi="Times New Roman" w:cs="Times New Roman"/>
          <w:lang w:val="en-US" w:eastAsia="zh-CN"/>
        </w:rPr>
        <w:t>（</w:t>
      </w:r>
      <w:r>
        <w:rPr>
          <w:rFonts w:hint="default" w:ascii="Times New Roman" w:hAnsi="Times New Roman" w:cs="Times New Roman"/>
          <w:lang w:val="en-US" w:eastAsia="zh-CN"/>
        </w:rPr>
        <w:t>厂</w:t>
      </w:r>
      <w:r>
        <w:rPr>
          <w:rFonts w:hint="eastAsia" w:ascii="Times New Roman" w:hAnsi="Times New Roman" w:cs="Times New Roman"/>
          <w:lang w:val="en-US" w:eastAsia="zh-CN"/>
        </w:rPr>
        <w:t>）</w:t>
      </w:r>
      <w:r>
        <w:rPr>
          <w:rFonts w:hint="default" w:ascii="Times New Roman" w:hAnsi="Times New Roman" w:cs="Times New Roman"/>
          <w:lang w:val="en-US" w:eastAsia="zh-CN"/>
        </w:rPr>
        <w:t>内专用机动车辆有下列情形之一仍继续使用的</w:t>
      </w:r>
      <w:r>
        <w:rPr>
          <w:rFonts w:hint="eastAsia" w:ascii="Times New Roman" w:hAnsi="Times New Roman" w:cs="Times New Roman"/>
          <w:lang w:val="en-US" w:eastAsia="zh-CN"/>
        </w:rPr>
        <w:t>，</w:t>
      </w:r>
      <w:r>
        <w:rPr>
          <w:rFonts w:hint="default" w:ascii="Times New Roman" w:hAnsi="Times New Roman" w:cs="Times New Roman"/>
          <w:lang w:val="en-US" w:eastAsia="zh-CN"/>
        </w:rPr>
        <w:t>应判定为重大事故隐患。</w:t>
      </w:r>
    </w:p>
    <w:p w14:paraId="6E7C9106">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定期检验的检验结论为</w:t>
      </w:r>
      <w:r>
        <w:rPr>
          <w:rFonts w:hint="eastAsia" w:ascii="Times New Roman" w:hAnsi="Times New Roman" w:cs="Times New Roman"/>
          <w:lang w:val="en-US" w:eastAsia="zh-CN"/>
        </w:rPr>
        <w:t>“</w:t>
      </w:r>
      <w:r>
        <w:rPr>
          <w:rFonts w:hint="default" w:ascii="Times New Roman" w:hAnsi="Times New Roman" w:cs="Times New Roman"/>
          <w:lang w:val="en-US" w:eastAsia="zh-CN"/>
        </w:rPr>
        <w:t>不合格</w:t>
      </w:r>
      <w:r>
        <w:rPr>
          <w:rFonts w:hint="eastAsia" w:ascii="Times New Roman" w:hAnsi="Times New Roman" w:cs="Times New Roman"/>
          <w:lang w:val="en-US" w:eastAsia="zh-CN"/>
        </w:rPr>
        <w:t>”</w:t>
      </w:r>
      <w:r>
        <w:rPr>
          <w:rFonts w:hint="default" w:ascii="Times New Roman" w:hAnsi="Times New Roman" w:cs="Times New Roman"/>
          <w:lang w:val="en-US" w:eastAsia="zh-CN"/>
        </w:rPr>
        <w:t>。</w:t>
      </w:r>
    </w:p>
    <w:p w14:paraId="20C81256">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电动车辆电源紧急切断装置缺失或失效。</w:t>
      </w:r>
    </w:p>
    <w:p w14:paraId="624A059E">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制动</w:t>
      </w:r>
      <w:r>
        <w:rPr>
          <w:rFonts w:hint="eastAsia" w:ascii="Times New Roman" w:hAnsi="Times New Roman" w:cs="Times New Roman"/>
          <w:lang w:val="en-US" w:eastAsia="zh-CN"/>
        </w:rPr>
        <w:t>（</w:t>
      </w:r>
      <w:r>
        <w:rPr>
          <w:rFonts w:hint="default" w:ascii="Times New Roman" w:hAnsi="Times New Roman" w:cs="Times New Roman"/>
          <w:lang w:val="en-US" w:eastAsia="zh-CN"/>
        </w:rPr>
        <w:t>包括行车、驻车</w:t>
      </w:r>
      <w:r>
        <w:rPr>
          <w:rFonts w:hint="eastAsia" w:ascii="Times New Roman" w:hAnsi="Times New Roman" w:cs="Times New Roman"/>
          <w:lang w:val="en-US" w:eastAsia="zh-CN"/>
        </w:rPr>
        <w:t>）</w:t>
      </w:r>
      <w:r>
        <w:rPr>
          <w:rFonts w:hint="default" w:ascii="Times New Roman" w:hAnsi="Times New Roman" w:cs="Times New Roman"/>
          <w:lang w:val="en-US" w:eastAsia="zh-CN"/>
        </w:rPr>
        <w:t>装置缺失或失效。</w:t>
      </w:r>
    </w:p>
    <w:p w14:paraId="46C5BA47">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观光列车的牵引连接装置及其二次保护装置缺失或失效。</w:t>
      </w:r>
    </w:p>
    <w:p w14:paraId="4BF7FAF4">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5" w:leftChars="0" w:firstLine="635"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非公路用旅游观光车辆超过最大行驶坡度使用。</w:t>
      </w:r>
    </w:p>
    <w:p w14:paraId="6DC8E2EF">
      <w:pPr>
        <w:rPr>
          <w:rFonts w:hint="eastAsia" w:ascii="Times New Roman" w:hAnsi="Times New Roman" w:cs="Times New Roman"/>
          <w:lang w:val="en-US" w:eastAsia="zh-CN"/>
        </w:rPr>
      </w:pPr>
      <w:r>
        <w:rPr>
          <w:rFonts w:hint="eastAsia" w:ascii="Times New Roman" w:hAnsi="Times New Roman" w:cs="Times New Roman"/>
          <w:lang w:val="en-US" w:eastAsia="zh-CN"/>
        </w:rPr>
        <w:br w:type="page"/>
      </w:r>
    </w:p>
    <w:p w14:paraId="5BD198C0">
      <w:pPr>
        <w:pStyle w:val="3"/>
        <w:numPr>
          <w:ilvl w:val="0"/>
          <w:numId w:val="10"/>
        </w:numPr>
        <w:bidi w:val="0"/>
        <w:ind w:left="0" w:leftChars="0" w:firstLine="0" w:firstLineChars="0"/>
        <w:rPr>
          <w:rFonts w:hint="eastAsia" w:ascii="Times New Roman" w:hAnsi="Times New Roman" w:cs="Times New Roman"/>
          <w:lang w:val="en-US" w:eastAsia="zh-CN"/>
        </w:rPr>
      </w:pPr>
      <w:bookmarkStart w:id="42" w:name="_Toc22606"/>
      <w:r>
        <w:rPr>
          <w:rFonts w:hint="eastAsia" w:ascii="Times New Roman" w:hAnsi="Times New Roman" w:cs="Times New Roman"/>
          <w:lang w:val="en-US" w:eastAsia="zh-CN"/>
        </w:rPr>
        <w:t>常用法律法规、安全技术规范</w:t>
      </w:r>
      <w:bookmarkEnd w:id="42"/>
    </w:p>
    <w:p w14:paraId="6559B66A">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eastAsia="方正仿宋简体"/>
          <w:lang w:val="en-US" w:eastAsia="zh-CN"/>
        </w:rPr>
      </w:pPr>
      <w:r>
        <w:rPr>
          <w:rFonts w:hint="eastAsia"/>
          <w:lang w:val="en-US" w:eastAsia="zh-CN"/>
        </w:rPr>
        <w:t>特种设备使用单位应加强特种设备安全相关法律法规、安全技术规范的教育培训，特种设备安全负责人（安全总监）、安全管理员（安全员）应熟练掌握和运用本单位所使用特种设备的安全技术规范。</w:t>
      </w:r>
    </w:p>
    <w:p w14:paraId="5C0FC5FE">
      <w:pPr>
        <w:pStyle w:val="2"/>
        <w:numPr>
          <w:ilvl w:val="0"/>
          <w:numId w:val="26"/>
        </w:numPr>
        <w:bidi w:val="0"/>
        <w:ind w:left="0" w:leftChars="0" w:firstLine="420" w:firstLineChars="0"/>
        <w:rPr>
          <w:rFonts w:hint="default" w:ascii="Times New Roman" w:hAnsi="Times New Roman" w:cs="Times New Roman"/>
          <w:lang w:val="en-US" w:eastAsia="zh-CN"/>
        </w:rPr>
      </w:pPr>
      <w:bookmarkStart w:id="43" w:name="_Toc6084"/>
      <w:r>
        <w:rPr>
          <w:rFonts w:hint="eastAsia"/>
          <w:lang w:val="en-US" w:eastAsia="zh-CN"/>
        </w:rPr>
        <w:t>常</w:t>
      </w:r>
      <w:r>
        <w:rPr>
          <w:rFonts w:hint="default" w:ascii="Times New Roman" w:hAnsi="Times New Roman" w:cs="Times New Roman"/>
          <w:lang w:val="en-US" w:eastAsia="zh-CN"/>
        </w:rPr>
        <w:t>用法律法规</w:t>
      </w:r>
      <w:bookmarkEnd w:id="43"/>
    </w:p>
    <w:p w14:paraId="1B8CEF46">
      <w:pPr>
        <w:numPr>
          <w:ilvl w:val="0"/>
          <w:numId w:val="27"/>
        </w:numPr>
        <w:bidi w:val="0"/>
        <w:ind w:left="0" w:leftChars="0"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t>《特种设备安全法》</w:t>
      </w:r>
    </w:p>
    <w:p w14:paraId="6D2A341A">
      <w:pPr>
        <w:numPr>
          <w:ilvl w:val="0"/>
          <w:numId w:val="27"/>
        </w:numPr>
        <w:bidi w:val="0"/>
        <w:ind w:left="0" w:leftChars="0"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t>《特种设备安全监察条例》</w:t>
      </w:r>
    </w:p>
    <w:p w14:paraId="7DC1FE8C">
      <w:pPr>
        <w:numPr>
          <w:ilvl w:val="0"/>
          <w:numId w:val="27"/>
        </w:numPr>
        <w:bidi w:val="0"/>
        <w:ind w:left="0" w:leftChars="0"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t>《山东省特种设备安全条例》</w:t>
      </w:r>
    </w:p>
    <w:p w14:paraId="2C2DEFE4">
      <w:pPr>
        <w:numPr>
          <w:ilvl w:val="0"/>
          <w:numId w:val="27"/>
        </w:numPr>
        <w:bidi w:val="0"/>
        <w:ind w:left="0" w:leftChars="0" w:firstLine="643" w:firstLineChars="200"/>
        <w:rPr>
          <w:rFonts w:hint="default" w:ascii="Times New Roman" w:hAnsi="Times New Roman" w:cs="Times New Roman"/>
          <w:lang w:val="en-US" w:eastAsia="zh-CN"/>
        </w:rPr>
      </w:pPr>
      <w:r>
        <w:rPr>
          <w:rFonts w:hint="default" w:ascii="Times New Roman" w:hAnsi="Times New Roman" w:cs="Times New Roman"/>
          <w:lang w:val="en-US" w:eastAsia="zh-CN"/>
        </w:rPr>
        <w:t>《济宁市电梯安全条例》</w:t>
      </w:r>
    </w:p>
    <w:p w14:paraId="6925A913">
      <w:pPr>
        <w:pStyle w:val="2"/>
        <w:numPr>
          <w:ilvl w:val="0"/>
          <w:numId w:val="26"/>
        </w:numPr>
        <w:bidi w:val="0"/>
        <w:ind w:left="0" w:leftChars="0" w:firstLine="420" w:firstLineChars="0"/>
        <w:rPr>
          <w:rFonts w:hint="default" w:ascii="Times New Roman" w:hAnsi="Times New Roman" w:cs="Times New Roman"/>
          <w:lang w:val="en-US" w:eastAsia="zh-CN"/>
        </w:rPr>
      </w:pPr>
      <w:bookmarkStart w:id="44" w:name="_Toc14959"/>
      <w:r>
        <w:rPr>
          <w:rFonts w:hint="default" w:ascii="Times New Roman" w:hAnsi="Times New Roman" w:cs="Times New Roman"/>
          <w:lang w:val="en-US" w:eastAsia="zh-CN"/>
        </w:rPr>
        <w:t>常用部门规章</w:t>
      </w:r>
      <w:bookmarkEnd w:id="44"/>
    </w:p>
    <w:p w14:paraId="191813D9">
      <w:pPr>
        <w:keepNext w:val="0"/>
        <w:keepLines w:val="0"/>
        <w:pageBreakBefore w:val="0"/>
        <w:widowControl w:val="0"/>
        <w:numPr>
          <w:ilvl w:val="0"/>
          <w:numId w:val="28"/>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《特种设备安全监督检查办法》（国家市场监管总局令第57号）</w:t>
      </w:r>
    </w:p>
    <w:p w14:paraId="2068D024">
      <w:pPr>
        <w:keepNext w:val="0"/>
        <w:keepLines w:val="0"/>
        <w:pageBreakBefore w:val="0"/>
        <w:widowControl w:val="0"/>
        <w:numPr>
          <w:ilvl w:val="0"/>
          <w:numId w:val="28"/>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《特种设备事故报告和调查处理规定》（国家市场监管总局令第50号）</w:t>
      </w:r>
    </w:p>
    <w:p w14:paraId="344E3C4D">
      <w:pPr>
        <w:keepNext w:val="0"/>
        <w:keepLines w:val="0"/>
        <w:pageBreakBefore w:val="0"/>
        <w:widowControl w:val="0"/>
        <w:numPr>
          <w:ilvl w:val="0"/>
          <w:numId w:val="28"/>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《特种设备使用单位落实使用安全主体责任监督管理规定》（国家市场监管总局令第74号）</w:t>
      </w:r>
    </w:p>
    <w:p w14:paraId="1C11F18E">
      <w:pPr>
        <w:keepNext w:val="0"/>
        <w:keepLines w:val="0"/>
        <w:pageBreakBefore w:val="0"/>
        <w:widowControl w:val="0"/>
        <w:numPr>
          <w:ilvl w:val="0"/>
          <w:numId w:val="28"/>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《特种设备作业人员监督管理办法》（国家质量监督检验检疫总局令第70号）</w:t>
      </w:r>
    </w:p>
    <w:p w14:paraId="05278805">
      <w:pPr>
        <w:keepNext w:val="0"/>
        <w:keepLines w:val="0"/>
        <w:pageBreakBefore w:val="0"/>
        <w:widowControl w:val="0"/>
        <w:numPr>
          <w:ilvl w:val="0"/>
          <w:numId w:val="28"/>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《大型游乐设施安全监察规定》（国家质量监督检验检疫总局令第154号）</w:t>
      </w:r>
    </w:p>
    <w:p w14:paraId="71452E03">
      <w:pPr>
        <w:keepNext w:val="0"/>
        <w:keepLines w:val="0"/>
        <w:pageBreakBefore w:val="0"/>
        <w:widowControl w:val="0"/>
        <w:numPr>
          <w:ilvl w:val="0"/>
          <w:numId w:val="28"/>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《高耗能特种设备节能监督管理办法》（国家质量监督检验检疫总局令第116号）</w:t>
      </w:r>
    </w:p>
    <w:p w14:paraId="34A4781B">
      <w:pPr>
        <w:keepNext w:val="0"/>
        <w:keepLines w:val="0"/>
        <w:pageBreakBefore w:val="0"/>
        <w:widowControl w:val="0"/>
        <w:numPr>
          <w:ilvl w:val="0"/>
          <w:numId w:val="28"/>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《客运索道安全监督管理规定》（国家质量监督检验检疫总局令第179号）</w:t>
      </w:r>
    </w:p>
    <w:p w14:paraId="12821FDF">
      <w:pPr>
        <w:pStyle w:val="2"/>
        <w:numPr>
          <w:ilvl w:val="0"/>
          <w:numId w:val="26"/>
        </w:numPr>
        <w:bidi w:val="0"/>
        <w:ind w:left="0" w:leftChars="0" w:firstLine="420" w:firstLineChars="0"/>
        <w:rPr>
          <w:rFonts w:hint="default" w:ascii="Times New Roman" w:hAnsi="Times New Roman" w:cs="Times New Roman"/>
          <w:lang w:val="en-US" w:eastAsia="zh-CN"/>
        </w:rPr>
      </w:pPr>
      <w:bookmarkStart w:id="45" w:name="_Toc1659"/>
      <w:r>
        <w:rPr>
          <w:rFonts w:hint="default" w:ascii="Times New Roman" w:hAnsi="Times New Roman" w:cs="Times New Roman"/>
          <w:lang w:val="en-US" w:eastAsia="zh-CN"/>
        </w:rPr>
        <w:t>常用安全技术规范</w:t>
      </w:r>
      <w:bookmarkEnd w:id="45"/>
    </w:p>
    <w:p w14:paraId="4FFFAF96">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《特种设备使用管理规则》（TSG 08-2017）</w:t>
      </w:r>
    </w:p>
    <w:p w14:paraId="30B22092">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《特种设备事故报告和调查处理导则》（TSG 03-20</w:t>
      </w:r>
      <w:r>
        <w:rPr>
          <w:rFonts w:hint="eastAsia" w:ascii="Times New Roman" w:hAnsi="Times New Roman" w:cs="Times New Roman"/>
          <w:highlight w:val="none"/>
          <w:lang w:val="en-US" w:eastAsia="zh-CN"/>
        </w:rPr>
        <w:t>24</w:t>
      </w:r>
      <w:r>
        <w:rPr>
          <w:rFonts w:hint="default" w:ascii="Times New Roman" w:hAnsi="Times New Roman" w:cs="Times New Roman"/>
          <w:highlight w:val="none"/>
          <w:lang w:val="en-US" w:eastAsia="zh-CN"/>
        </w:rPr>
        <w:t>）</w:t>
      </w:r>
    </w:p>
    <w:p w14:paraId="38F80066">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《特种设备生产和充装单位许可规则》（TSG 07-2019）</w:t>
      </w:r>
    </w:p>
    <w:p w14:paraId="42A368F0">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《特种设备作业人员考核规则》（TSG Z6001-2019）</w:t>
      </w:r>
    </w:p>
    <w:p w14:paraId="55E40097">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《特种设备检验机构核准规则》（TSG Z7001-2021）</w:t>
      </w:r>
    </w:p>
    <w:p w14:paraId="31C40410">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《特种设备检测机构核准规则》（TSG Z7002-2022）</w:t>
      </w:r>
    </w:p>
    <w:p w14:paraId="29944A43">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《锅炉安全技术规程》（TSG 11-2020）</w:t>
      </w:r>
    </w:p>
    <w:p w14:paraId="7FF31870">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《锅炉节能环保技术规程》（TSG 91—2021）</w:t>
      </w:r>
    </w:p>
    <w:p w14:paraId="4A39B5E9">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《固定式压力容器安全技术监察规程》（TSG 21-2016）</w:t>
      </w:r>
    </w:p>
    <w:p w14:paraId="5D9D0036">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《移动式压力容器安全技术监察规程》（TSG R0005-2011）</w:t>
      </w:r>
    </w:p>
    <w:p w14:paraId="7C139C93">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《气瓶安全技术规程》（TSG 23-2021）</w:t>
      </w:r>
    </w:p>
    <w:p w14:paraId="13750FB8">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《工业管道安全技术规程》（TSG </w:t>
      </w:r>
      <w:r>
        <w:rPr>
          <w:rFonts w:hint="eastAsia" w:ascii="Times New Roman" w:hAnsi="Times New Roman" w:cs="Times New Roman"/>
          <w:highlight w:val="none"/>
          <w:lang w:val="en-US" w:eastAsia="zh-CN"/>
        </w:rPr>
        <w:t>31</w:t>
      </w:r>
      <w:r>
        <w:rPr>
          <w:rFonts w:hint="default" w:ascii="Times New Roman" w:hAnsi="Times New Roman" w:cs="Times New Roman"/>
          <w:highlight w:val="none"/>
          <w:lang w:val="en-US" w:eastAsia="zh-CN"/>
        </w:rPr>
        <w:t>-20</w:t>
      </w:r>
      <w:r>
        <w:rPr>
          <w:rFonts w:hint="eastAsia" w:ascii="Times New Roman" w:hAnsi="Times New Roman" w:cs="Times New Roman"/>
          <w:highlight w:val="none"/>
          <w:lang w:val="en-US" w:eastAsia="zh-CN"/>
        </w:rPr>
        <w:t>25</w:t>
      </w:r>
      <w:r>
        <w:rPr>
          <w:rFonts w:hint="default" w:ascii="Times New Roman" w:hAnsi="Times New Roman" w:cs="Times New Roman"/>
          <w:highlight w:val="none"/>
          <w:lang w:val="en-US" w:eastAsia="zh-CN"/>
        </w:rPr>
        <w:t>）</w:t>
      </w:r>
    </w:p>
    <w:p w14:paraId="505ABF02">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《电梯维护保养规则》（TSG T5002-2017）</w:t>
      </w:r>
    </w:p>
    <w:p w14:paraId="137387B3">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《起重机械安全技术规程》（TSG 51-2023）</w:t>
      </w:r>
    </w:p>
    <w:p w14:paraId="7AC90CF7">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《场（厂）内专用机动车辆安全技术规程》（TSG 81-2022）</w:t>
      </w:r>
    </w:p>
    <w:p w14:paraId="706F1159">
      <w:pPr>
        <w:keepNext w:val="0"/>
        <w:keepLines w:val="0"/>
        <w:pageBreakBefore w:val="0"/>
        <w:widowControl w:val="0"/>
        <w:numPr>
          <w:ilvl w:val="0"/>
          <w:numId w:val="29"/>
        </w:numPr>
        <w:kinsoku/>
        <w:wordWrap/>
        <w:overflowPunct/>
        <w:topLinePunct w:val="0"/>
        <w:autoSpaceDE/>
        <w:autoSpaceDN/>
        <w:bidi w:val="0"/>
        <w:adjustRightInd/>
        <w:snapToGrid/>
        <w:spacing w:line="58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《大型游乐设施安全技术规程》（TSG71-2023）</w:t>
      </w:r>
    </w:p>
    <w:p w14:paraId="1445B1EC">
      <w:pPr>
        <w:rPr>
          <w:rFonts w:hint="default" w:ascii="Times New Roman" w:hAnsi="Times New Roman" w:cs="Times New Roman"/>
          <w:lang w:val="en-US" w:eastAsia="zh-CN"/>
        </w:rPr>
      </w:pPr>
      <w:r>
        <w:rPr>
          <w:rFonts w:hint="eastAsia" w:ascii="Times New Roman" w:hAnsi="Times New Roman" w:cs="Times New Roman"/>
          <w:lang w:val="en-US" w:eastAsia="zh-CN"/>
        </w:rPr>
        <w:br w:type="page"/>
      </w:r>
    </w:p>
    <w:p w14:paraId="02E3ABFF">
      <w:pPr>
        <w:pStyle w:val="3"/>
        <w:numPr>
          <w:ilvl w:val="0"/>
          <w:numId w:val="10"/>
        </w:numPr>
        <w:bidi w:val="0"/>
        <w:ind w:left="0" w:leftChars="0" w:firstLine="0" w:firstLineChars="0"/>
        <w:rPr>
          <w:rFonts w:hint="default" w:ascii="Times New Roman" w:hAnsi="Times New Roman" w:cs="Times New Roman"/>
          <w:lang w:val="en-US" w:eastAsia="zh-CN"/>
        </w:rPr>
      </w:pPr>
      <w:bookmarkStart w:id="46" w:name="_Toc16546"/>
      <w:r>
        <w:rPr>
          <w:rFonts w:hint="eastAsia" w:ascii="Times New Roman" w:hAnsi="Times New Roman" w:cs="Times New Roman"/>
          <w:lang w:val="en-US" w:eastAsia="zh-CN"/>
        </w:rPr>
        <w:t>使用单位办事指南</w:t>
      </w:r>
      <w:bookmarkEnd w:id="46"/>
    </w:p>
    <w:p w14:paraId="2D27F1E1">
      <w:pPr>
        <w:pStyle w:val="2"/>
        <w:bidi w:val="0"/>
        <w:rPr>
          <w:rFonts w:hint="default"/>
        </w:rPr>
      </w:pPr>
      <w:bookmarkStart w:id="47" w:name="_Toc18424"/>
      <w:r>
        <w:rPr>
          <w:rFonts w:hint="default"/>
        </w:rPr>
        <w:t>（一）办理施工告知</w:t>
      </w:r>
      <w:bookmarkEnd w:id="47"/>
    </w:p>
    <w:p w14:paraId="6B7E0B5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default"/>
        </w:rPr>
        <w:t>特种设备安装、改造、修理的施工单位应当在施工前将拟进行的特种设备安装、改造、修理情况书面或网上告知</w:t>
      </w:r>
      <w:r>
        <w:rPr>
          <w:rFonts w:hint="default"/>
          <w:lang w:val="en-US" w:eastAsia="zh-CN"/>
        </w:rPr>
        <w:t>特种</w:t>
      </w:r>
      <w:r>
        <w:rPr>
          <w:rFonts w:hint="default"/>
        </w:rPr>
        <w:t>设</w:t>
      </w:r>
      <w:r>
        <w:rPr>
          <w:rFonts w:hint="default" w:ascii="Times New Roman" w:hAnsi="Times New Roman" w:cs="Times New Roman"/>
        </w:rPr>
        <w:t>备所在地县（市</w:t>
      </w:r>
      <w:r>
        <w:rPr>
          <w:rFonts w:hint="default" w:ascii="Times New Roman" w:hAnsi="Times New Roman" w:cs="Times New Roman"/>
          <w:lang w:eastAsia="zh-CN"/>
        </w:rPr>
        <w:t>、</w:t>
      </w:r>
      <w:r>
        <w:rPr>
          <w:rFonts w:hint="default" w:ascii="Times New Roman" w:hAnsi="Times New Roman" w:cs="Times New Roman"/>
        </w:rPr>
        <w:t>区）市场监管部门。可</w:t>
      </w:r>
      <w:r>
        <w:rPr>
          <w:rFonts w:hint="default" w:ascii="Times New Roman" w:hAnsi="Times New Roman" w:cs="Times New Roman"/>
          <w:lang w:val="en-US" w:eastAsia="zh-CN"/>
        </w:rPr>
        <w:t>前往特种设备所在地</w:t>
      </w:r>
      <w:r>
        <w:rPr>
          <w:rFonts w:hint="default" w:ascii="Times New Roman" w:hAnsi="Times New Roman" w:cs="Times New Roman"/>
        </w:rPr>
        <w:t>县（市</w:t>
      </w:r>
      <w:r>
        <w:rPr>
          <w:rFonts w:hint="default" w:ascii="Times New Roman" w:hAnsi="Times New Roman" w:cs="Times New Roman"/>
          <w:lang w:eastAsia="zh-CN"/>
        </w:rPr>
        <w:t>、</w:t>
      </w:r>
      <w:r>
        <w:rPr>
          <w:rFonts w:hint="default" w:ascii="Times New Roman" w:hAnsi="Times New Roman" w:cs="Times New Roman"/>
        </w:rPr>
        <w:t>区）</w:t>
      </w:r>
      <w:r>
        <w:rPr>
          <w:rFonts w:hint="default" w:ascii="Times New Roman" w:hAnsi="Times New Roman" w:cs="Times New Roman"/>
          <w:lang w:val="en-US" w:eastAsia="zh-CN"/>
        </w:rPr>
        <w:t>市场监管部门办理，也可</w:t>
      </w:r>
      <w:r>
        <w:rPr>
          <w:rFonts w:hint="default" w:ascii="Times New Roman" w:hAnsi="Times New Roman" w:cs="Times New Roman"/>
        </w:rPr>
        <w:t>登陆</w:t>
      </w:r>
      <w:r>
        <w:rPr>
          <w:rFonts w:hint="default" w:ascii="Times New Roman" w:hAnsi="Times New Roman" w:cs="Times New Roman"/>
          <w:lang w:val="en-US" w:eastAsia="zh-CN"/>
        </w:rPr>
        <w:t>山东</w:t>
      </w:r>
      <w:r>
        <w:rPr>
          <w:rFonts w:hint="default" w:ascii="Times New Roman" w:hAnsi="Times New Roman" w:cs="Times New Roman"/>
        </w:rPr>
        <w:t>省特种设备</w:t>
      </w:r>
      <w:r>
        <w:rPr>
          <w:rFonts w:hint="default" w:ascii="Times New Roman" w:hAnsi="Times New Roman" w:cs="Times New Roman"/>
          <w:lang w:val="en-US" w:eastAsia="zh-CN"/>
        </w:rPr>
        <w:t>企业端管理</w:t>
      </w:r>
      <w:r>
        <w:rPr>
          <w:rFonts w:hint="default" w:ascii="Times New Roman" w:hAnsi="Times New Roman" w:cs="Times New Roman"/>
        </w:rPr>
        <w:t>平台（http://218.57.139.17:9070/QYSE/）</w:t>
      </w:r>
      <w:r>
        <w:rPr>
          <w:rFonts w:hint="default" w:ascii="Times New Roman" w:hAnsi="Times New Roman" w:cs="Times New Roman"/>
          <w:lang w:eastAsia="zh-CN"/>
        </w:rPr>
        <w:t>（</w:t>
      </w:r>
      <w:r>
        <w:rPr>
          <w:rFonts w:hint="default" w:ascii="Times New Roman" w:hAnsi="Times New Roman" w:cs="Times New Roman"/>
          <w:lang w:val="en-US" w:eastAsia="zh-CN"/>
        </w:rPr>
        <w:t>建议使用360浏览器极速模式或谷歌浏览器登录</w:t>
      </w:r>
      <w:r>
        <w:rPr>
          <w:rFonts w:hint="default" w:ascii="Times New Roman" w:hAnsi="Times New Roman" w:cs="Times New Roman"/>
          <w:lang w:eastAsia="zh-CN"/>
        </w:rPr>
        <w:t>），</w:t>
      </w:r>
      <w:r>
        <w:rPr>
          <w:rFonts w:hint="default" w:ascii="Times New Roman" w:hAnsi="Times New Roman" w:cs="Times New Roman"/>
          <w:lang w:val="en-US" w:eastAsia="zh-CN"/>
        </w:rPr>
        <w:t>注册“安装单位”账号后</w:t>
      </w:r>
      <w:r>
        <w:rPr>
          <w:rFonts w:hint="default" w:ascii="Times New Roman" w:hAnsi="Times New Roman" w:cs="Times New Roman"/>
        </w:rPr>
        <w:t>办理，具体可咨询各县（市、区）市场监管部门。</w:t>
      </w:r>
    </w:p>
    <w:p w14:paraId="51DA9D1B">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eastAsia" w:ascii="方正楷体简体" w:hAnsi="方正楷体简体" w:eastAsia="方正楷体简体" w:cs="方正楷体简体"/>
          <w:lang w:val="en-US" w:eastAsia="zh-CN"/>
        </w:rPr>
      </w:pPr>
      <w:r>
        <w:rPr>
          <w:rFonts w:hint="eastAsia" w:ascii="方正楷体简体" w:hAnsi="方正楷体简体" w:eastAsia="方正楷体简体" w:cs="方正楷体简体"/>
          <w:lang w:val="en-US" w:eastAsia="zh-CN"/>
        </w:rPr>
        <w:t>济宁市特种设备开工告知业务受理部门</w:t>
      </w:r>
    </w:p>
    <w:tbl>
      <w:tblPr>
        <w:tblStyle w:val="17"/>
        <w:tblW w:w="9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085"/>
        <w:gridCol w:w="1515"/>
        <w:gridCol w:w="960"/>
        <w:gridCol w:w="2145"/>
        <w:gridCol w:w="1560"/>
      </w:tblGrid>
      <w:tr w14:paraId="36A2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39465A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楷体简体" w:hAnsi="方正楷体简体" w:eastAsia="方正楷体简体" w:cs="方正楷体简体"/>
                <w:sz w:val="28"/>
                <w:szCs w:val="28"/>
                <w:highlight w:val="none"/>
                <w:vertAlign w:val="baseline"/>
              </w:rPr>
            </w:pPr>
            <w:r>
              <w:rPr>
                <w:rFonts w:hint="eastAsia" w:ascii="方正楷体简体" w:hAnsi="方正楷体简体" w:eastAsia="方正楷体简体" w:cs="方正楷体简体"/>
                <w:sz w:val="28"/>
                <w:szCs w:val="28"/>
                <w:highlight w:val="none"/>
              </w:rPr>
              <w:t>编号</w:t>
            </w:r>
          </w:p>
        </w:tc>
        <w:tc>
          <w:tcPr>
            <w:tcW w:w="2085" w:type="dxa"/>
            <w:noWrap w:val="0"/>
            <w:vAlign w:val="center"/>
          </w:tcPr>
          <w:p w14:paraId="459516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楷体简体" w:hAnsi="方正楷体简体" w:eastAsia="方正楷体简体" w:cs="方正楷体简体"/>
                <w:sz w:val="28"/>
                <w:szCs w:val="28"/>
                <w:highlight w:val="none"/>
                <w:vertAlign w:val="baseline"/>
              </w:rPr>
            </w:pPr>
            <w:r>
              <w:rPr>
                <w:rFonts w:hint="eastAsia" w:ascii="方正楷体简体" w:hAnsi="方正楷体简体" w:eastAsia="方正楷体简体" w:cs="方正楷体简体"/>
                <w:sz w:val="28"/>
                <w:szCs w:val="28"/>
                <w:highlight w:val="none"/>
              </w:rPr>
              <w:t>单位</w:t>
            </w:r>
          </w:p>
        </w:tc>
        <w:tc>
          <w:tcPr>
            <w:tcW w:w="1515" w:type="dxa"/>
            <w:noWrap w:val="0"/>
            <w:vAlign w:val="center"/>
          </w:tcPr>
          <w:p w14:paraId="3507E7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楷体简体" w:hAnsi="方正楷体简体" w:eastAsia="方正楷体简体" w:cs="方正楷体简体"/>
                <w:sz w:val="28"/>
                <w:szCs w:val="28"/>
                <w:highlight w:val="none"/>
                <w:vertAlign w:val="baseline"/>
              </w:rPr>
            </w:pPr>
            <w:r>
              <w:rPr>
                <w:rFonts w:hint="eastAsia" w:ascii="方正楷体简体" w:hAnsi="方正楷体简体" w:eastAsia="方正楷体简体" w:cs="方正楷体简体"/>
                <w:sz w:val="28"/>
                <w:szCs w:val="28"/>
                <w:highlight w:val="none"/>
              </w:rPr>
              <w:t>咨询电话</w:t>
            </w:r>
          </w:p>
        </w:tc>
        <w:tc>
          <w:tcPr>
            <w:tcW w:w="960" w:type="dxa"/>
            <w:noWrap w:val="0"/>
            <w:vAlign w:val="center"/>
          </w:tcPr>
          <w:p w14:paraId="3A6B1B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楷体简体" w:hAnsi="方正楷体简体" w:eastAsia="方正楷体简体" w:cs="方正楷体简体"/>
                <w:sz w:val="28"/>
                <w:szCs w:val="28"/>
                <w:highlight w:val="none"/>
                <w:vertAlign w:val="baseline"/>
              </w:rPr>
            </w:pPr>
            <w:r>
              <w:rPr>
                <w:rFonts w:hint="eastAsia" w:ascii="方正楷体简体" w:hAnsi="方正楷体简体" w:eastAsia="方正楷体简体" w:cs="方正楷体简体"/>
                <w:sz w:val="28"/>
                <w:szCs w:val="28"/>
                <w:highlight w:val="none"/>
              </w:rPr>
              <w:t>编号</w:t>
            </w:r>
          </w:p>
        </w:tc>
        <w:tc>
          <w:tcPr>
            <w:tcW w:w="2145" w:type="dxa"/>
            <w:noWrap w:val="0"/>
            <w:vAlign w:val="center"/>
          </w:tcPr>
          <w:p w14:paraId="70A182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楷体简体" w:hAnsi="方正楷体简体" w:eastAsia="方正楷体简体" w:cs="方正楷体简体"/>
                <w:sz w:val="28"/>
                <w:szCs w:val="28"/>
                <w:highlight w:val="none"/>
                <w:vertAlign w:val="baseline"/>
              </w:rPr>
            </w:pPr>
            <w:r>
              <w:rPr>
                <w:rFonts w:hint="eastAsia" w:ascii="方正楷体简体" w:hAnsi="方正楷体简体" w:eastAsia="方正楷体简体" w:cs="方正楷体简体"/>
                <w:sz w:val="28"/>
                <w:szCs w:val="28"/>
                <w:highlight w:val="none"/>
              </w:rPr>
              <w:t>单位</w:t>
            </w:r>
          </w:p>
        </w:tc>
        <w:tc>
          <w:tcPr>
            <w:tcW w:w="1560" w:type="dxa"/>
            <w:noWrap w:val="0"/>
            <w:vAlign w:val="center"/>
          </w:tcPr>
          <w:p w14:paraId="050E25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楷体简体" w:hAnsi="方正楷体简体" w:eastAsia="方正楷体简体" w:cs="方正楷体简体"/>
                <w:sz w:val="28"/>
                <w:szCs w:val="28"/>
                <w:highlight w:val="none"/>
                <w:vertAlign w:val="baseline"/>
              </w:rPr>
            </w:pPr>
            <w:r>
              <w:rPr>
                <w:rFonts w:hint="eastAsia" w:ascii="方正楷体简体" w:hAnsi="方正楷体简体" w:eastAsia="方正楷体简体" w:cs="方正楷体简体"/>
                <w:sz w:val="28"/>
                <w:szCs w:val="28"/>
                <w:highlight w:val="none"/>
              </w:rPr>
              <w:t>咨询电话</w:t>
            </w:r>
          </w:p>
        </w:tc>
      </w:tr>
      <w:tr w14:paraId="37E1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4131BE58">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1</w:t>
            </w:r>
          </w:p>
        </w:tc>
        <w:tc>
          <w:tcPr>
            <w:tcW w:w="2085" w:type="dxa"/>
            <w:noWrap w:val="0"/>
            <w:vAlign w:val="center"/>
          </w:tcPr>
          <w:p w14:paraId="7B1D6C80">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任城区市场监管局</w:t>
            </w:r>
          </w:p>
        </w:tc>
        <w:tc>
          <w:tcPr>
            <w:tcW w:w="1515" w:type="dxa"/>
            <w:noWrap w:val="0"/>
            <w:vAlign w:val="center"/>
          </w:tcPr>
          <w:p w14:paraId="6C0802EF">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3233151</w:t>
            </w:r>
          </w:p>
        </w:tc>
        <w:tc>
          <w:tcPr>
            <w:tcW w:w="960" w:type="dxa"/>
            <w:noWrap w:val="0"/>
            <w:vAlign w:val="center"/>
          </w:tcPr>
          <w:p w14:paraId="5115ABDA">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8</w:t>
            </w:r>
          </w:p>
        </w:tc>
        <w:tc>
          <w:tcPr>
            <w:tcW w:w="2145" w:type="dxa"/>
            <w:noWrap w:val="0"/>
            <w:vAlign w:val="center"/>
          </w:tcPr>
          <w:p w14:paraId="53726BC6">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金乡县市场监管局</w:t>
            </w:r>
          </w:p>
        </w:tc>
        <w:tc>
          <w:tcPr>
            <w:tcW w:w="1560" w:type="dxa"/>
            <w:noWrap w:val="0"/>
            <w:vAlign w:val="center"/>
          </w:tcPr>
          <w:p w14:paraId="6C3BEC56">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8712776</w:t>
            </w:r>
          </w:p>
        </w:tc>
      </w:tr>
      <w:tr w14:paraId="370C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71A7EAE9">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2</w:t>
            </w:r>
          </w:p>
        </w:tc>
        <w:tc>
          <w:tcPr>
            <w:tcW w:w="2085" w:type="dxa"/>
            <w:noWrap w:val="0"/>
            <w:vAlign w:val="center"/>
          </w:tcPr>
          <w:p w14:paraId="77C59DD1">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兖州区市场监管局</w:t>
            </w:r>
          </w:p>
        </w:tc>
        <w:tc>
          <w:tcPr>
            <w:tcW w:w="1515" w:type="dxa"/>
            <w:noWrap w:val="0"/>
            <w:vAlign w:val="center"/>
          </w:tcPr>
          <w:p w14:paraId="0E476EE4">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3128550</w:t>
            </w:r>
          </w:p>
        </w:tc>
        <w:tc>
          <w:tcPr>
            <w:tcW w:w="960" w:type="dxa"/>
            <w:noWrap w:val="0"/>
            <w:vAlign w:val="center"/>
          </w:tcPr>
          <w:p w14:paraId="72EE33D3">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9</w:t>
            </w:r>
          </w:p>
        </w:tc>
        <w:tc>
          <w:tcPr>
            <w:tcW w:w="2145" w:type="dxa"/>
            <w:noWrap w:val="0"/>
            <w:vAlign w:val="center"/>
          </w:tcPr>
          <w:p w14:paraId="194E24B9">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嘉祥县市场监管局</w:t>
            </w:r>
          </w:p>
        </w:tc>
        <w:tc>
          <w:tcPr>
            <w:tcW w:w="1560" w:type="dxa"/>
            <w:noWrap w:val="0"/>
            <w:vAlign w:val="center"/>
          </w:tcPr>
          <w:p w14:paraId="647673AF">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6986136</w:t>
            </w:r>
          </w:p>
        </w:tc>
      </w:tr>
      <w:tr w14:paraId="3597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3831A48A">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3</w:t>
            </w:r>
          </w:p>
        </w:tc>
        <w:tc>
          <w:tcPr>
            <w:tcW w:w="2085" w:type="dxa"/>
            <w:noWrap w:val="0"/>
            <w:vAlign w:val="center"/>
          </w:tcPr>
          <w:p w14:paraId="38C4580B">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曲阜市市场监管局</w:t>
            </w:r>
          </w:p>
        </w:tc>
        <w:tc>
          <w:tcPr>
            <w:tcW w:w="1515" w:type="dxa"/>
            <w:noWrap w:val="0"/>
            <w:vAlign w:val="center"/>
          </w:tcPr>
          <w:p w14:paraId="79415D3D">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6508979</w:t>
            </w:r>
          </w:p>
        </w:tc>
        <w:tc>
          <w:tcPr>
            <w:tcW w:w="960" w:type="dxa"/>
            <w:noWrap w:val="0"/>
            <w:vAlign w:val="center"/>
          </w:tcPr>
          <w:p w14:paraId="21BA5556">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10</w:t>
            </w:r>
          </w:p>
        </w:tc>
        <w:tc>
          <w:tcPr>
            <w:tcW w:w="2145" w:type="dxa"/>
            <w:noWrap w:val="0"/>
            <w:vAlign w:val="center"/>
          </w:tcPr>
          <w:p w14:paraId="0FC353FB">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汶上县市场监管局</w:t>
            </w:r>
          </w:p>
        </w:tc>
        <w:tc>
          <w:tcPr>
            <w:tcW w:w="1560" w:type="dxa"/>
            <w:noWrap w:val="0"/>
            <w:vAlign w:val="center"/>
          </w:tcPr>
          <w:p w14:paraId="6C734EC6">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3231292</w:t>
            </w:r>
          </w:p>
        </w:tc>
      </w:tr>
      <w:tr w14:paraId="1948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2927634E">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4</w:t>
            </w:r>
          </w:p>
        </w:tc>
        <w:tc>
          <w:tcPr>
            <w:tcW w:w="2085" w:type="dxa"/>
            <w:noWrap w:val="0"/>
            <w:vAlign w:val="center"/>
          </w:tcPr>
          <w:p w14:paraId="1CE47550">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泗水县市场监管局</w:t>
            </w:r>
          </w:p>
        </w:tc>
        <w:tc>
          <w:tcPr>
            <w:tcW w:w="1515" w:type="dxa"/>
            <w:noWrap w:val="0"/>
            <w:vAlign w:val="center"/>
          </w:tcPr>
          <w:p w14:paraId="2245B2AF">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4277967</w:t>
            </w:r>
          </w:p>
        </w:tc>
        <w:tc>
          <w:tcPr>
            <w:tcW w:w="960" w:type="dxa"/>
            <w:noWrap w:val="0"/>
            <w:vAlign w:val="center"/>
          </w:tcPr>
          <w:p w14:paraId="3846A4CD">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11</w:t>
            </w:r>
          </w:p>
        </w:tc>
        <w:tc>
          <w:tcPr>
            <w:tcW w:w="2145" w:type="dxa"/>
            <w:noWrap w:val="0"/>
            <w:vAlign w:val="center"/>
          </w:tcPr>
          <w:p w14:paraId="50727254">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梁山县市场监管局</w:t>
            </w:r>
          </w:p>
        </w:tc>
        <w:tc>
          <w:tcPr>
            <w:tcW w:w="1560" w:type="dxa"/>
            <w:noWrap w:val="0"/>
            <w:vAlign w:val="center"/>
          </w:tcPr>
          <w:p w14:paraId="4D182A6E">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7312248</w:t>
            </w:r>
          </w:p>
        </w:tc>
      </w:tr>
      <w:tr w14:paraId="1886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32975C59">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5</w:t>
            </w:r>
          </w:p>
        </w:tc>
        <w:tc>
          <w:tcPr>
            <w:tcW w:w="2085" w:type="dxa"/>
            <w:noWrap w:val="0"/>
            <w:vAlign w:val="center"/>
          </w:tcPr>
          <w:p w14:paraId="302C5AA6">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邹城市市场监管局</w:t>
            </w:r>
          </w:p>
        </w:tc>
        <w:tc>
          <w:tcPr>
            <w:tcW w:w="1515" w:type="dxa"/>
            <w:noWrap w:val="0"/>
            <w:vAlign w:val="center"/>
          </w:tcPr>
          <w:p w14:paraId="4EA761DD">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5307303</w:t>
            </w:r>
          </w:p>
        </w:tc>
        <w:tc>
          <w:tcPr>
            <w:tcW w:w="960" w:type="dxa"/>
            <w:noWrap w:val="0"/>
            <w:vAlign w:val="center"/>
          </w:tcPr>
          <w:p w14:paraId="21E05A60">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12</w:t>
            </w:r>
          </w:p>
        </w:tc>
        <w:tc>
          <w:tcPr>
            <w:tcW w:w="2145" w:type="dxa"/>
            <w:noWrap w:val="0"/>
            <w:vAlign w:val="center"/>
          </w:tcPr>
          <w:p w14:paraId="22F3DAFC">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高新区市场监管局</w:t>
            </w:r>
          </w:p>
        </w:tc>
        <w:tc>
          <w:tcPr>
            <w:tcW w:w="1560" w:type="dxa"/>
            <w:noWrap w:val="0"/>
            <w:vAlign w:val="center"/>
          </w:tcPr>
          <w:p w14:paraId="7138B3EB">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eastAsia="方正仿宋简体" w:cs="Times New Roman"/>
                <w:sz w:val="28"/>
                <w:szCs w:val="28"/>
                <w:highlight w:val="none"/>
                <w:vertAlign w:val="baseline"/>
                <w:lang w:val="en-US" w:eastAsia="zh-CN"/>
              </w:rPr>
              <w:t>7813011</w:t>
            </w:r>
          </w:p>
        </w:tc>
      </w:tr>
      <w:tr w14:paraId="53CE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074E83D2">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6</w:t>
            </w:r>
          </w:p>
        </w:tc>
        <w:tc>
          <w:tcPr>
            <w:tcW w:w="2085" w:type="dxa"/>
            <w:noWrap w:val="0"/>
            <w:vAlign w:val="center"/>
          </w:tcPr>
          <w:p w14:paraId="24B5954C">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微山县市场监管局</w:t>
            </w:r>
          </w:p>
        </w:tc>
        <w:tc>
          <w:tcPr>
            <w:tcW w:w="1515" w:type="dxa"/>
            <w:noWrap w:val="0"/>
            <w:vAlign w:val="center"/>
          </w:tcPr>
          <w:p w14:paraId="206241F0">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7810568</w:t>
            </w:r>
          </w:p>
        </w:tc>
        <w:tc>
          <w:tcPr>
            <w:tcW w:w="960" w:type="dxa"/>
            <w:noWrap w:val="0"/>
            <w:vAlign w:val="center"/>
          </w:tcPr>
          <w:p w14:paraId="5B833420">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13</w:t>
            </w:r>
          </w:p>
        </w:tc>
        <w:tc>
          <w:tcPr>
            <w:tcW w:w="2145" w:type="dxa"/>
            <w:noWrap w:val="0"/>
            <w:vAlign w:val="center"/>
          </w:tcPr>
          <w:p w14:paraId="1C449475">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太白湖新区市场监管局</w:t>
            </w:r>
          </w:p>
        </w:tc>
        <w:tc>
          <w:tcPr>
            <w:tcW w:w="1560" w:type="dxa"/>
            <w:noWrap w:val="0"/>
            <w:vAlign w:val="center"/>
          </w:tcPr>
          <w:p w14:paraId="13789486">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eastAsia="方正仿宋简体" w:cs="Times New Roman"/>
                <w:sz w:val="28"/>
                <w:szCs w:val="28"/>
                <w:highlight w:val="none"/>
                <w:vertAlign w:val="baseline"/>
                <w:lang w:val="en-US" w:eastAsia="zh-CN"/>
              </w:rPr>
              <w:t>3297992</w:t>
            </w:r>
          </w:p>
        </w:tc>
      </w:tr>
      <w:tr w14:paraId="2070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noWrap w:val="0"/>
            <w:vAlign w:val="center"/>
          </w:tcPr>
          <w:p w14:paraId="61CB7942">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7</w:t>
            </w:r>
          </w:p>
        </w:tc>
        <w:tc>
          <w:tcPr>
            <w:tcW w:w="2085" w:type="dxa"/>
            <w:noWrap w:val="0"/>
            <w:vAlign w:val="center"/>
          </w:tcPr>
          <w:p w14:paraId="71369EA1">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鱼台县市场监管局</w:t>
            </w:r>
          </w:p>
        </w:tc>
        <w:tc>
          <w:tcPr>
            <w:tcW w:w="1515" w:type="dxa"/>
            <w:noWrap w:val="0"/>
            <w:vAlign w:val="center"/>
          </w:tcPr>
          <w:p w14:paraId="450C151A">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6229315</w:t>
            </w:r>
          </w:p>
        </w:tc>
        <w:tc>
          <w:tcPr>
            <w:tcW w:w="960" w:type="dxa"/>
            <w:noWrap w:val="0"/>
            <w:vAlign w:val="center"/>
          </w:tcPr>
          <w:p w14:paraId="049A3B10">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14</w:t>
            </w:r>
          </w:p>
        </w:tc>
        <w:tc>
          <w:tcPr>
            <w:tcW w:w="2145" w:type="dxa"/>
            <w:noWrap w:val="0"/>
            <w:vAlign w:val="center"/>
          </w:tcPr>
          <w:p w14:paraId="79F08A50">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cs="Times New Roman"/>
                <w:sz w:val="28"/>
                <w:szCs w:val="28"/>
                <w:highlight w:val="none"/>
                <w:vertAlign w:val="baseline"/>
              </w:rPr>
            </w:pPr>
            <w:r>
              <w:rPr>
                <w:rFonts w:hint="default" w:ascii="Times New Roman" w:hAnsi="Times New Roman" w:cs="Times New Roman"/>
                <w:sz w:val="28"/>
                <w:szCs w:val="28"/>
                <w:highlight w:val="none"/>
                <w:vertAlign w:val="baseline"/>
                <w:lang w:val="en-US" w:eastAsia="zh-CN"/>
              </w:rPr>
              <w:t>经开区市场监管中心</w:t>
            </w:r>
          </w:p>
        </w:tc>
        <w:tc>
          <w:tcPr>
            <w:tcW w:w="1560" w:type="dxa"/>
            <w:noWrap w:val="0"/>
            <w:vAlign w:val="center"/>
          </w:tcPr>
          <w:p w14:paraId="2B56CDB8">
            <w:pPr>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center"/>
              <w:textAlignment w:val="auto"/>
              <w:rPr>
                <w:rFonts w:hint="default" w:ascii="Times New Roman" w:hAnsi="Times New Roman" w:eastAsia="方正仿宋简体" w:cs="Times New Roman"/>
                <w:sz w:val="28"/>
                <w:szCs w:val="28"/>
                <w:highlight w:val="none"/>
                <w:vertAlign w:val="baseline"/>
                <w:lang w:val="en-US" w:eastAsia="zh-CN"/>
              </w:rPr>
            </w:pPr>
            <w:r>
              <w:rPr>
                <w:rFonts w:hint="default" w:ascii="Times New Roman" w:hAnsi="Times New Roman" w:cs="Times New Roman"/>
                <w:sz w:val="28"/>
                <w:szCs w:val="28"/>
                <w:highlight w:val="none"/>
                <w:vertAlign w:val="baseline"/>
                <w:lang w:val="en-US" w:eastAsia="zh-CN"/>
              </w:rPr>
              <w:t>6990904</w:t>
            </w:r>
          </w:p>
        </w:tc>
      </w:tr>
    </w:tbl>
    <w:p w14:paraId="26E58273">
      <w:pPr>
        <w:pStyle w:val="2"/>
        <w:bidi w:val="0"/>
        <w:rPr>
          <w:rFonts w:hint="default"/>
        </w:rPr>
      </w:pPr>
      <w:bookmarkStart w:id="48" w:name="_Toc7815"/>
      <w:r>
        <w:rPr>
          <w:rFonts w:hint="default"/>
        </w:rPr>
        <w:t>（二）办理使用登记</w:t>
      </w:r>
      <w:bookmarkEnd w:id="48"/>
    </w:p>
    <w:p w14:paraId="67F072D5">
      <w:pPr>
        <w:bidi w:val="0"/>
        <w:jc w:val="both"/>
        <w:rPr>
          <w:rFonts w:hint="default" w:ascii="Times New Roman" w:hAnsi="Times New Roman" w:cs="Times New Roman"/>
        </w:rPr>
      </w:pPr>
      <w:r>
        <w:rPr>
          <w:rFonts w:hint="default" w:ascii="Times New Roman" w:hAnsi="Times New Roman" w:cs="Times New Roman"/>
        </w:rPr>
        <w:t>特种设备使用单位应当在特种设备投入使用前或投入使用后</w:t>
      </w:r>
      <w:r>
        <w:rPr>
          <w:rFonts w:hint="default" w:ascii="Times New Roman" w:hAnsi="Times New Roman" w:cs="Times New Roman"/>
          <w:lang w:val="en-US" w:eastAsia="zh-CN"/>
        </w:rPr>
        <w:t>30</w:t>
      </w:r>
      <w:r>
        <w:rPr>
          <w:rFonts w:hint="default" w:ascii="Times New Roman" w:hAnsi="Times New Roman" w:cs="Times New Roman"/>
        </w:rPr>
        <w:t>日内，向设备所在地县（市</w:t>
      </w:r>
      <w:r>
        <w:rPr>
          <w:rFonts w:hint="default" w:ascii="Times New Roman" w:hAnsi="Times New Roman" w:cs="Times New Roman"/>
          <w:lang w:eastAsia="zh-CN"/>
        </w:rPr>
        <w:t>、</w:t>
      </w:r>
      <w:r>
        <w:rPr>
          <w:rFonts w:hint="default" w:ascii="Times New Roman" w:hAnsi="Times New Roman" w:cs="Times New Roman"/>
        </w:rPr>
        <w:t>区）市场监管部门</w:t>
      </w:r>
      <w:r>
        <w:rPr>
          <w:rFonts w:hint="default" w:ascii="Times New Roman" w:hAnsi="Times New Roman" w:cs="Times New Roman"/>
          <w:lang w:val="en-US" w:eastAsia="zh-CN"/>
        </w:rPr>
        <w:t>或行政审批部门</w:t>
      </w:r>
      <w:r>
        <w:rPr>
          <w:rFonts w:hint="default" w:ascii="Times New Roman" w:hAnsi="Times New Roman" w:cs="Times New Roman"/>
        </w:rPr>
        <w:t>办理使用登记证书。可登陆</w:t>
      </w:r>
      <w:r>
        <w:rPr>
          <w:rFonts w:hint="default" w:ascii="Times New Roman" w:hAnsi="Times New Roman" w:cs="Times New Roman"/>
          <w:lang w:val="en-US" w:eastAsia="zh-CN"/>
        </w:rPr>
        <w:t>山东</w:t>
      </w:r>
      <w:r>
        <w:rPr>
          <w:rFonts w:hint="default" w:ascii="Times New Roman" w:hAnsi="Times New Roman" w:cs="Times New Roman"/>
        </w:rPr>
        <w:t>省特种设备</w:t>
      </w:r>
      <w:r>
        <w:rPr>
          <w:rFonts w:hint="default" w:ascii="Times New Roman" w:hAnsi="Times New Roman" w:cs="Times New Roman"/>
          <w:lang w:val="en-US" w:eastAsia="zh-CN"/>
        </w:rPr>
        <w:t>企业端管理</w:t>
      </w:r>
      <w:r>
        <w:rPr>
          <w:rFonts w:hint="default" w:ascii="Times New Roman" w:hAnsi="Times New Roman" w:cs="Times New Roman"/>
        </w:rPr>
        <w:t>平台（http://218.57.139.17:9070/QYSE/）</w:t>
      </w:r>
      <w:r>
        <w:rPr>
          <w:rFonts w:hint="default" w:ascii="Times New Roman" w:hAnsi="Times New Roman" w:cs="Times New Roman"/>
          <w:lang w:eastAsia="zh-CN"/>
        </w:rPr>
        <w:t>（</w:t>
      </w:r>
      <w:r>
        <w:rPr>
          <w:rFonts w:hint="default" w:ascii="Times New Roman" w:hAnsi="Times New Roman" w:cs="Times New Roman"/>
          <w:lang w:val="en-US" w:eastAsia="zh-CN"/>
        </w:rPr>
        <w:t>建议使用360浏览器极速模式或谷歌浏览器登录</w:t>
      </w:r>
      <w:r>
        <w:rPr>
          <w:rFonts w:hint="default" w:ascii="Times New Roman" w:hAnsi="Times New Roman" w:cs="Times New Roman"/>
          <w:lang w:eastAsia="zh-CN"/>
        </w:rPr>
        <w:t>），</w:t>
      </w:r>
      <w:r>
        <w:rPr>
          <w:rFonts w:hint="default" w:ascii="Times New Roman" w:hAnsi="Times New Roman" w:cs="Times New Roman"/>
          <w:lang w:val="en-US" w:eastAsia="zh-CN"/>
        </w:rPr>
        <w:t>注册“使用单位”账号后</w:t>
      </w:r>
      <w:r>
        <w:rPr>
          <w:rFonts w:hint="default" w:ascii="Times New Roman" w:hAnsi="Times New Roman" w:cs="Times New Roman"/>
        </w:rPr>
        <w:t>办理，具体可咨询各县（市、区）市场监管部门</w:t>
      </w:r>
      <w:r>
        <w:rPr>
          <w:rFonts w:hint="default" w:ascii="Times New Roman" w:hAnsi="Times New Roman" w:cs="Times New Roman"/>
          <w:lang w:val="en-US" w:eastAsia="zh-CN"/>
        </w:rPr>
        <w:t>或行政审批部门</w:t>
      </w:r>
      <w:r>
        <w:rPr>
          <w:rFonts w:hint="default" w:ascii="Times New Roman" w:hAnsi="Times New Roman" w:cs="Times New Roman"/>
        </w:rPr>
        <w:t>。</w:t>
      </w:r>
    </w:p>
    <w:p w14:paraId="5518C14B">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方正楷体简体" w:hAnsi="方正楷体简体" w:eastAsia="方正楷体简体" w:cs="方正楷体简体"/>
          <w:lang w:val="en-US" w:eastAsia="zh-CN"/>
        </w:rPr>
      </w:pPr>
      <w:r>
        <w:rPr>
          <w:rFonts w:hint="default" w:ascii="方正楷体简体" w:hAnsi="方正楷体简体" w:eastAsia="方正楷体简体" w:cs="方正楷体简体"/>
          <w:lang w:val="en-US" w:eastAsia="zh-CN"/>
        </w:rPr>
        <w:t>济宁市特种设备使用登记业务受理部门</w:t>
      </w:r>
    </w:p>
    <w:tbl>
      <w:tblPr>
        <w:tblStyle w:val="17"/>
        <w:tblW w:w="90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973"/>
        <w:gridCol w:w="1434"/>
        <w:gridCol w:w="1108"/>
        <w:gridCol w:w="1973"/>
        <w:gridCol w:w="1747"/>
      </w:tblGrid>
      <w:tr w14:paraId="2E6A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746E0F0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sz w:val="28"/>
                <w:szCs w:val="28"/>
                <w:highlight w:val="none"/>
              </w:rPr>
            </w:pPr>
            <w:r>
              <w:rPr>
                <w:rFonts w:hint="default" w:ascii="方正楷体简体" w:hAnsi="方正楷体简体" w:eastAsia="方正楷体简体" w:cs="方正楷体简体"/>
                <w:sz w:val="28"/>
                <w:szCs w:val="28"/>
                <w:highlight w:val="none"/>
              </w:rPr>
              <w:t>编号</w:t>
            </w:r>
          </w:p>
        </w:tc>
        <w:tc>
          <w:tcPr>
            <w:tcW w:w="1973" w:type="dxa"/>
            <w:noWrap w:val="0"/>
            <w:vAlign w:val="center"/>
          </w:tcPr>
          <w:p w14:paraId="2FF9550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sz w:val="28"/>
                <w:szCs w:val="28"/>
                <w:highlight w:val="none"/>
              </w:rPr>
            </w:pPr>
            <w:r>
              <w:rPr>
                <w:rFonts w:hint="default" w:ascii="方正楷体简体" w:hAnsi="方正楷体简体" w:eastAsia="方正楷体简体" w:cs="方正楷体简体"/>
                <w:sz w:val="28"/>
                <w:szCs w:val="28"/>
                <w:highlight w:val="none"/>
              </w:rPr>
              <w:t>单位</w:t>
            </w:r>
          </w:p>
        </w:tc>
        <w:tc>
          <w:tcPr>
            <w:tcW w:w="1434" w:type="dxa"/>
            <w:noWrap w:val="0"/>
            <w:vAlign w:val="center"/>
          </w:tcPr>
          <w:p w14:paraId="644543A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sz w:val="28"/>
                <w:szCs w:val="28"/>
                <w:highlight w:val="none"/>
              </w:rPr>
            </w:pPr>
            <w:r>
              <w:rPr>
                <w:rFonts w:hint="default" w:ascii="方正楷体简体" w:hAnsi="方正楷体简体" w:eastAsia="方正楷体简体" w:cs="方正楷体简体"/>
                <w:sz w:val="28"/>
                <w:szCs w:val="28"/>
                <w:highlight w:val="none"/>
              </w:rPr>
              <w:t>咨询电话</w:t>
            </w:r>
          </w:p>
        </w:tc>
        <w:tc>
          <w:tcPr>
            <w:tcW w:w="1108" w:type="dxa"/>
            <w:noWrap w:val="0"/>
            <w:vAlign w:val="center"/>
          </w:tcPr>
          <w:p w14:paraId="3FF3631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sz w:val="28"/>
                <w:szCs w:val="28"/>
                <w:highlight w:val="none"/>
              </w:rPr>
            </w:pPr>
            <w:r>
              <w:rPr>
                <w:rFonts w:hint="default" w:ascii="方正楷体简体" w:hAnsi="方正楷体简体" w:eastAsia="方正楷体简体" w:cs="方正楷体简体"/>
                <w:sz w:val="28"/>
                <w:szCs w:val="28"/>
                <w:highlight w:val="none"/>
              </w:rPr>
              <w:t>编号</w:t>
            </w:r>
          </w:p>
        </w:tc>
        <w:tc>
          <w:tcPr>
            <w:tcW w:w="1973" w:type="dxa"/>
            <w:noWrap w:val="0"/>
            <w:vAlign w:val="center"/>
          </w:tcPr>
          <w:p w14:paraId="16F253F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sz w:val="28"/>
                <w:szCs w:val="28"/>
                <w:highlight w:val="none"/>
              </w:rPr>
            </w:pPr>
            <w:r>
              <w:rPr>
                <w:rFonts w:hint="default" w:ascii="方正楷体简体" w:hAnsi="方正楷体简体" w:eastAsia="方正楷体简体" w:cs="方正楷体简体"/>
                <w:sz w:val="28"/>
                <w:szCs w:val="28"/>
                <w:highlight w:val="none"/>
              </w:rPr>
              <w:t>单位</w:t>
            </w:r>
          </w:p>
        </w:tc>
        <w:tc>
          <w:tcPr>
            <w:tcW w:w="1747" w:type="dxa"/>
            <w:noWrap w:val="0"/>
            <w:vAlign w:val="center"/>
          </w:tcPr>
          <w:p w14:paraId="5484FF6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方正楷体简体" w:hAnsi="方正楷体简体" w:eastAsia="方正楷体简体" w:cs="方正楷体简体"/>
                <w:sz w:val="28"/>
                <w:szCs w:val="28"/>
                <w:highlight w:val="none"/>
              </w:rPr>
            </w:pPr>
            <w:r>
              <w:rPr>
                <w:rFonts w:hint="default" w:ascii="方正楷体简体" w:hAnsi="方正楷体简体" w:eastAsia="方正楷体简体" w:cs="方正楷体简体"/>
                <w:sz w:val="28"/>
                <w:szCs w:val="28"/>
                <w:highlight w:val="none"/>
              </w:rPr>
              <w:t>咨询电话</w:t>
            </w:r>
          </w:p>
        </w:tc>
      </w:tr>
      <w:tr w14:paraId="5E5F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4B574C0C">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w:t>
            </w:r>
          </w:p>
        </w:tc>
        <w:tc>
          <w:tcPr>
            <w:tcW w:w="1973" w:type="dxa"/>
            <w:noWrap w:val="0"/>
            <w:vAlign w:val="center"/>
          </w:tcPr>
          <w:p w14:paraId="56BF2B70">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任城区市场监管局</w:t>
            </w:r>
          </w:p>
        </w:tc>
        <w:tc>
          <w:tcPr>
            <w:tcW w:w="1434" w:type="dxa"/>
            <w:noWrap w:val="0"/>
            <w:vAlign w:val="center"/>
          </w:tcPr>
          <w:p w14:paraId="083E5528">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3233151</w:t>
            </w:r>
          </w:p>
        </w:tc>
        <w:tc>
          <w:tcPr>
            <w:tcW w:w="1108" w:type="dxa"/>
            <w:noWrap w:val="0"/>
            <w:vAlign w:val="center"/>
          </w:tcPr>
          <w:p w14:paraId="51EFA00A">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8</w:t>
            </w:r>
          </w:p>
        </w:tc>
        <w:tc>
          <w:tcPr>
            <w:tcW w:w="1973" w:type="dxa"/>
            <w:noWrap w:val="0"/>
            <w:vAlign w:val="center"/>
          </w:tcPr>
          <w:p w14:paraId="546530A0">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金乡县市场监管局</w:t>
            </w:r>
          </w:p>
        </w:tc>
        <w:tc>
          <w:tcPr>
            <w:tcW w:w="1747" w:type="dxa"/>
            <w:noWrap w:val="0"/>
            <w:vAlign w:val="center"/>
          </w:tcPr>
          <w:p w14:paraId="2D3BA80E">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8712776</w:t>
            </w:r>
          </w:p>
        </w:tc>
      </w:tr>
      <w:tr w14:paraId="01F8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29BED179">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2</w:t>
            </w:r>
          </w:p>
        </w:tc>
        <w:tc>
          <w:tcPr>
            <w:tcW w:w="1973" w:type="dxa"/>
            <w:noWrap w:val="0"/>
            <w:vAlign w:val="center"/>
          </w:tcPr>
          <w:p w14:paraId="2F3E1F8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兖州区</w:t>
            </w:r>
            <w:r>
              <w:rPr>
                <w:rFonts w:hint="default" w:ascii="Times New Roman" w:hAnsi="Times New Roman" w:cs="Times New Roman"/>
                <w:sz w:val="28"/>
                <w:szCs w:val="28"/>
                <w:highlight w:val="none"/>
                <w:lang w:val="en-US" w:eastAsia="zh-CN"/>
              </w:rPr>
              <w:t>市场监管</w:t>
            </w:r>
            <w:r>
              <w:rPr>
                <w:rFonts w:hint="default" w:ascii="Times New Roman" w:hAnsi="Times New Roman" w:eastAsia="方正仿宋简体" w:cs="Times New Roman"/>
                <w:sz w:val="28"/>
                <w:szCs w:val="28"/>
                <w:highlight w:val="none"/>
                <w:lang w:val="en-US" w:eastAsia="zh-CN"/>
              </w:rPr>
              <w:t>局</w:t>
            </w:r>
          </w:p>
        </w:tc>
        <w:tc>
          <w:tcPr>
            <w:tcW w:w="1434" w:type="dxa"/>
            <w:noWrap w:val="0"/>
            <w:vAlign w:val="center"/>
          </w:tcPr>
          <w:p w14:paraId="3AC9E026">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cs="Times New Roman"/>
                <w:sz w:val="28"/>
                <w:szCs w:val="28"/>
                <w:highlight w:val="none"/>
                <w:lang w:val="en-US" w:eastAsia="zh-CN"/>
              </w:rPr>
              <w:t>3128628</w:t>
            </w:r>
          </w:p>
        </w:tc>
        <w:tc>
          <w:tcPr>
            <w:tcW w:w="1108" w:type="dxa"/>
            <w:noWrap w:val="0"/>
            <w:vAlign w:val="center"/>
          </w:tcPr>
          <w:p w14:paraId="797E874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9</w:t>
            </w:r>
          </w:p>
        </w:tc>
        <w:tc>
          <w:tcPr>
            <w:tcW w:w="1973" w:type="dxa"/>
            <w:noWrap w:val="0"/>
            <w:vAlign w:val="center"/>
          </w:tcPr>
          <w:p w14:paraId="36D67EF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嘉祥县市场监管局</w:t>
            </w:r>
          </w:p>
        </w:tc>
        <w:tc>
          <w:tcPr>
            <w:tcW w:w="1747" w:type="dxa"/>
            <w:noWrap w:val="0"/>
            <w:vAlign w:val="center"/>
          </w:tcPr>
          <w:p w14:paraId="0C450179">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6986136</w:t>
            </w:r>
          </w:p>
        </w:tc>
      </w:tr>
      <w:tr w14:paraId="0799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4C86D49C">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3</w:t>
            </w:r>
          </w:p>
        </w:tc>
        <w:tc>
          <w:tcPr>
            <w:tcW w:w="1973" w:type="dxa"/>
            <w:noWrap w:val="0"/>
            <w:vAlign w:val="center"/>
          </w:tcPr>
          <w:p w14:paraId="37D46B48">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曲阜市市场监管局</w:t>
            </w:r>
          </w:p>
        </w:tc>
        <w:tc>
          <w:tcPr>
            <w:tcW w:w="1434" w:type="dxa"/>
            <w:noWrap w:val="0"/>
            <w:vAlign w:val="center"/>
          </w:tcPr>
          <w:p w14:paraId="6073338B">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6508979</w:t>
            </w:r>
          </w:p>
        </w:tc>
        <w:tc>
          <w:tcPr>
            <w:tcW w:w="1108" w:type="dxa"/>
            <w:noWrap w:val="0"/>
            <w:vAlign w:val="center"/>
          </w:tcPr>
          <w:p w14:paraId="0B08E066">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10</w:t>
            </w:r>
          </w:p>
        </w:tc>
        <w:tc>
          <w:tcPr>
            <w:tcW w:w="1973" w:type="dxa"/>
            <w:noWrap w:val="0"/>
            <w:vAlign w:val="center"/>
          </w:tcPr>
          <w:p w14:paraId="298E3066">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汶上县市场监管局</w:t>
            </w:r>
          </w:p>
        </w:tc>
        <w:tc>
          <w:tcPr>
            <w:tcW w:w="1747" w:type="dxa"/>
            <w:noWrap w:val="0"/>
            <w:vAlign w:val="center"/>
          </w:tcPr>
          <w:p w14:paraId="196C99C4">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3231292</w:t>
            </w:r>
          </w:p>
        </w:tc>
      </w:tr>
      <w:tr w14:paraId="093F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2E8CB9A4">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4</w:t>
            </w:r>
          </w:p>
        </w:tc>
        <w:tc>
          <w:tcPr>
            <w:tcW w:w="1973" w:type="dxa"/>
            <w:noWrap w:val="0"/>
            <w:vAlign w:val="center"/>
          </w:tcPr>
          <w:p w14:paraId="2F148015">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泗水县行政审批局</w:t>
            </w:r>
          </w:p>
        </w:tc>
        <w:tc>
          <w:tcPr>
            <w:tcW w:w="1434" w:type="dxa"/>
            <w:noWrap w:val="0"/>
            <w:vAlign w:val="center"/>
          </w:tcPr>
          <w:p w14:paraId="63C445FD">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4221220</w:t>
            </w:r>
          </w:p>
        </w:tc>
        <w:tc>
          <w:tcPr>
            <w:tcW w:w="1108" w:type="dxa"/>
            <w:noWrap w:val="0"/>
            <w:vAlign w:val="center"/>
          </w:tcPr>
          <w:p w14:paraId="209CE032">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11</w:t>
            </w:r>
          </w:p>
        </w:tc>
        <w:tc>
          <w:tcPr>
            <w:tcW w:w="1973" w:type="dxa"/>
            <w:noWrap w:val="0"/>
            <w:vAlign w:val="center"/>
          </w:tcPr>
          <w:p w14:paraId="7B1C019C">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梁山县市场监管局</w:t>
            </w:r>
          </w:p>
        </w:tc>
        <w:tc>
          <w:tcPr>
            <w:tcW w:w="1747" w:type="dxa"/>
            <w:noWrap w:val="0"/>
            <w:vAlign w:val="center"/>
          </w:tcPr>
          <w:p w14:paraId="1963033D">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7312248</w:t>
            </w:r>
          </w:p>
        </w:tc>
      </w:tr>
      <w:tr w14:paraId="756B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216EE40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5</w:t>
            </w:r>
          </w:p>
        </w:tc>
        <w:tc>
          <w:tcPr>
            <w:tcW w:w="1973" w:type="dxa"/>
            <w:noWrap w:val="0"/>
            <w:vAlign w:val="center"/>
          </w:tcPr>
          <w:p w14:paraId="07BB99F9">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邹城市市场监管局</w:t>
            </w:r>
          </w:p>
        </w:tc>
        <w:tc>
          <w:tcPr>
            <w:tcW w:w="1434" w:type="dxa"/>
            <w:noWrap w:val="0"/>
            <w:vAlign w:val="center"/>
          </w:tcPr>
          <w:p w14:paraId="78477AF6">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5307303</w:t>
            </w:r>
          </w:p>
        </w:tc>
        <w:tc>
          <w:tcPr>
            <w:tcW w:w="1108" w:type="dxa"/>
            <w:noWrap w:val="0"/>
            <w:vAlign w:val="center"/>
          </w:tcPr>
          <w:p w14:paraId="3218781F">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12</w:t>
            </w:r>
          </w:p>
        </w:tc>
        <w:tc>
          <w:tcPr>
            <w:tcW w:w="1973" w:type="dxa"/>
            <w:noWrap w:val="0"/>
            <w:vAlign w:val="center"/>
          </w:tcPr>
          <w:p w14:paraId="7FD61B2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高新区市场监管局</w:t>
            </w:r>
          </w:p>
        </w:tc>
        <w:tc>
          <w:tcPr>
            <w:tcW w:w="1747" w:type="dxa"/>
            <w:noWrap w:val="0"/>
            <w:vAlign w:val="center"/>
          </w:tcPr>
          <w:p w14:paraId="0057AA0F">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7813011</w:t>
            </w:r>
          </w:p>
        </w:tc>
      </w:tr>
      <w:tr w14:paraId="38EA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0928CE10">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w:t>
            </w:r>
          </w:p>
        </w:tc>
        <w:tc>
          <w:tcPr>
            <w:tcW w:w="1973" w:type="dxa"/>
            <w:noWrap w:val="0"/>
            <w:vAlign w:val="center"/>
          </w:tcPr>
          <w:p w14:paraId="790D9D5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微山县市场监管局</w:t>
            </w:r>
          </w:p>
        </w:tc>
        <w:tc>
          <w:tcPr>
            <w:tcW w:w="1434" w:type="dxa"/>
            <w:noWrap w:val="0"/>
            <w:vAlign w:val="center"/>
          </w:tcPr>
          <w:p w14:paraId="3C785B12">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7810568</w:t>
            </w:r>
          </w:p>
        </w:tc>
        <w:tc>
          <w:tcPr>
            <w:tcW w:w="1108" w:type="dxa"/>
            <w:noWrap w:val="0"/>
            <w:vAlign w:val="center"/>
          </w:tcPr>
          <w:p w14:paraId="43D7E6FE">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13</w:t>
            </w:r>
          </w:p>
        </w:tc>
        <w:tc>
          <w:tcPr>
            <w:tcW w:w="1973" w:type="dxa"/>
            <w:noWrap w:val="0"/>
            <w:vAlign w:val="center"/>
          </w:tcPr>
          <w:p w14:paraId="548EF475">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太白湖新区市场监管局</w:t>
            </w:r>
          </w:p>
        </w:tc>
        <w:tc>
          <w:tcPr>
            <w:tcW w:w="1747" w:type="dxa"/>
            <w:noWrap w:val="0"/>
            <w:vAlign w:val="center"/>
          </w:tcPr>
          <w:p w14:paraId="6F345FEE">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3297992</w:t>
            </w:r>
          </w:p>
        </w:tc>
      </w:tr>
      <w:tr w14:paraId="1240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noWrap w:val="0"/>
            <w:vAlign w:val="center"/>
          </w:tcPr>
          <w:p w14:paraId="65C8B5B1">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7</w:t>
            </w:r>
          </w:p>
        </w:tc>
        <w:tc>
          <w:tcPr>
            <w:tcW w:w="1973" w:type="dxa"/>
            <w:noWrap w:val="0"/>
            <w:vAlign w:val="center"/>
          </w:tcPr>
          <w:p w14:paraId="69A03485">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鱼台县市场监管局</w:t>
            </w:r>
          </w:p>
        </w:tc>
        <w:tc>
          <w:tcPr>
            <w:tcW w:w="1434" w:type="dxa"/>
            <w:noWrap w:val="0"/>
            <w:vAlign w:val="center"/>
          </w:tcPr>
          <w:p w14:paraId="3C5A2DF6">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6229315</w:t>
            </w:r>
          </w:p>
        </w:tc>
        <w:tc>
          <w:tcPr>
            <w:tcW w:w="1108" w:type="dxa"/>
            <w:noWrap w:val="0"/>
            <w:vAlign w:val="center"/>
          </w:tcPr>
          <w:p w14:paraId="3C19F73E">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14</w:t>
            </w:r>
          </w:p>
        </w:tc>
        <w:tc>
          <w:tcPr>
            <w:tcW w:w="1973" w:type="dxa"/>
            <w:noWrap w:val="0"/>
            <w:vAlign w:val="center"/>
          </w:tcPr>
          <w:p w14:paraId="388B1AED">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lang w:val="en-US" w:eastAsia="zh-CN"/>
              </w:rPr>
              <w:t>经开区市场监管中心</w:t>
            </w:r>
          </w:p>
        </w:tc>
        <w:tc>
          <w:tcPr>
            <w:tcW w:w="1747" w:type="dxa"/>
            <w:noWrap w:val="0"/>
            <w:vAlign w:val="center"/>
          </w:tcPr>
          <w:p w14:paraId="2CE03AE2">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6990904</w:t>
            </w:r>
          </w:p>
        </w:tc>
      </w:tr>
    </w:tbl>
    <w:p w14:paraId="5FC703FD">
      <w:pPr>
        <w:pStyle w:val="2"/>
        <w:bidi w:val="0"/>
        <w:rPr>
          <w:rFonts w:hint="default"/>
          <w:lang w:val="en-US" w:eastAsia="zh-CN"/>
        </w:rPr>
      </w:pPr>
      <w:bookmarkStart w:id="49" w:name="_Toc27481"/>
      <w:r>
        <w:rPr>
          <w:rFonts w:hint="default"/>
        </w:rPr>
        <w:t>（三）</w:t>
      </w:r>
      <w:r>
        <w:rPr>
          <w:rFonts w:hint="eastAsia"/>
          <w:lang w:eastAsia="zh-CN"/>
        </w:rPr>
        <w:t>申报安装监检和定期</w:t>
      </w:r>
      <w:r>
        <w:rPr>
          <w:rFonts w:hint="default"/>
        </w:rPr>
        <w:t>检验</w:t>
      </w:r>
      <w:bookmarkEnd w:id="49"/>
    </w:p>
    <w:p w14:paraId="52144E7E">
      <w:pPr>
        <w:pStyle w:val="4"/>
        <w:bidi w:val="0"/>
        <w:rPr>
          <w:rFonts w:hint="default" w:eastAsia="方正楷体简体"/>
          <w:lang w:val="en-US" w:eastAsia="zh-CN"/>
        </w:rPr>
      </w:pPr>
      <w:bookmarkStart w:id="50" w:name="_Toc4305"/>
      <w:r>
        <w:rPr>
          <w:rFonts w:hint="eastAsia"/>
          <w:lang w:val="en-US" w:eastAsia="zh-CN"/>
        </w:rPr>
        <w:t>1.申报安装监检</w:t>
      </w:r>
      <w:bookmarkEnd w:id="50"/>
    </w:p>
    <w:p w14:paraId="1D29F63F">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lang w:val="en-US" w:eastAsia="zh-CN"/>
        </w:rPr>
      </w:pPr>
      <w:r>
        <w:rPr>
          <w:rFonts w:hint="default"/>
        </w:rPr>
        <w:t>锅炉、压力容器、压力管道、电梯、起重机械、客运索道、大型游乐设施的安装、改造、重大修理过程，应当</w:t>
      </w:r>
      <w:r>
        <w:rPr>
          <w:rFonts w:hint="eastAsia"/>
          <w:lang w:eastAsia="zh-CN"/>
        </w:rPr>
        <w:t>申报安装</w:t>
      </w:r>
      <w:r>
        <w:rPr>
          <w:rFonts w:hint="default"/>
        </w:rPr>
        <w:t>监督检验。</w:t>
      </w:r>
      <w:r>
        <w:rPr>
          <w:rFonts w:hint="eastAsia"/>
          <w:lang w:val="en-US" w:eastAsia="zh-CN"/>
        </w:rPr>
        <w:t>使用单位应当约请具有相应检验资质并在济宁市市场监管局进行备案的检验机构开展安装监检。</w:t>
      </w:r>
    </w:p>
    <w:p w14:paraId="0A7D53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方正仿宋简体"/>
          <w:lang w:eastAsia="zh-CN"/>
        </w:rPr>
      </w:pPr>
      <w:r>
        <w:rPr>
          <w:rFonts w:hint="eastAsia"/>
          <w:lang w:eastAsia="zh-CN"/>
        </w:rPr>
        <w:t>一般特种设备的安装监检需前往</w:t>
      </w:r>
      <w:r>
        <w:rPr>
          <w:rFonts w:hint="default"/>
        </w:rPr>
        <w:t>济宁市特检院业务大厅办理，地址：济宁高新区广安路西首。</w:t>
      </w:r>
      <w:r>
        <w:rPr>
          <w:rFonts w:hint="eastAsia"/>
          <w:lang w:eastAsia="zh-CN"/>
        </w:rPr>
        <w:t>济宁市特检院不具备相应资质的，可委托在市市场监管局备案的外地检验机构。</w:t>
      </w:r>
    </w:p>
    <w:p w14:paraId="08326B6B">
      <w:pPr>
        <w:pStyle w:val="4"/>
        <w:bidi w:val="0"/>
        <w:rPr>
          <w:rFonts w:hint="default" w:eastAsia="方正楷体简体"/>
          <w:lang w:val="en-US" w:eastAsia="zh-CN"/>
        </w:rPr>
      </w:pPr>
      <w:bookmarkStart w:id="51" w:name="_Toc17486"/>
      <w:r>
        <w:rPr>
          <w:rFonts w:hint="eastAsia"/>
          <w:lang w:val="en-US" w:eastAsia="zh-CN"/>
        </w:rPr>
        <w:t>2.申报定期检验</w:t>
      </w:r>
      <w:bookmarkEnd w:id="51"/>
    </w:p>
    <w:p w14:paraId="6566AE76">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使用单位应当约请具有相应检验资质并在济宁市市场监管局进行备案的检验机构（含安全阀校验）开展定期检验。</w:t>
      </w:r>
      <w:r>
        <w:rPr>
          <w:rFonts w:hint="default" w:ascii="Times New Roman" w:hAnsi="Times New Roman" w:cs="Times New Roman"/>
          <w:lang w:eastAsia="zh-CN"/>
        </w:rPr>
        <w:t>一般</w:t>
      </w:r>
      <w:r>
        <w:rPr>
          <w:rFonts w:hint="default" w:ascii="Times New Roman" w:hAnsi="Times New Roman" w:cs="Times New Roman"/>
        </w:rPr>
        <w:t>特种设备</w:t>
      </w:r>
      <w:r>
        <w:rPr>
          <w:rFonts w:hint="default" w:ascii="Times New Roman" w:hAnsi="Times New Roman" w:cs="Times New Roman"/>
          <w:lang w:eastAsia="zh-CN"/>
        </w:rPr>
        <w:t>应向济宁市特检院申报检验，济宁市特检院不具备相应资质，可委托</w:t>
      </w:r>
      <w:r>
        <w:rPr>
          <w:rFonts w:hint="eastAsia"/>
          <w:lang w:eastAsia="zh-CN"/>
        </w:rPr>
        <w:t>在市市场监管局备案的</w:t>
      </w:r>
      <w:r>
        <w:rPr>
          <w:rFonts w:hint="default" w:ascii="Times New Roman" w:hAnsi="Times New Roman" w:cs="Times New Roman"/>
          <w:lang w:eastAsia="zh-CN"/>
        </w:rPr>
        <w:t>外地检验机构。</w:t>
      </w:r>
      <w:r>
        <w:rPr>
          <w:rFonts w:hint="default" w:ascii="Times New Roman" w:hAnsi="Times New Roman" w:cs="Times New Roman"/>
          <w:lang w:val="en-US" w:eastAsia="zh-CN"/>
        </w:rPr>
        <w:t>济宁市特检院报检方法：</w:t>
      </w:r>
    </w:p>
    <w:p w14:paraId="4ED882E9">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方法1：下载“爱山东”APP,选择“济宁”站点，搜索“网上报检”，点击“济宁市特种设备网上报检”后，按提示办理；</w:t>
      </w:r>
    </w:p>
    <w:p w14:paraId="239EBB56">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方法2：通过“济宁特检”微信公众号的“网上业务”-“网上报检”栏目，跳转“爱山东”APP后，按照提示办理；</w:t>
      </w:r>
    </w:p>
    <w:p w14:paraId="14D00170">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方法3：登陆济宁市特检院网站（www.jnsei.org.cn），在</w:t>
      </w:r>
      <w:r>
        <w:rPr>
          <w:rFonts w:hint="eastAsia" w:ascii="Times New Roman" w:hAnsi="Times New Roman" w:cs="Times New Roman"/>
          <w:lang w:eastAsia="zh-CN"/>
        </w:rPr>
        <w:t>“检验业务”</w:t>
      </w:r>
      <w:r>
        <w:rPr>
          <w:rFonts w:hint="default" w:ascii="Times New Roman" w:hAnsi="Times New Roman" w:cs="Times New Roman"/>
        </w:rPr>
        <w:t>“</w:t>
      </w:r>
      <w:r>
        <w:rPr>
          <w:rFonts w:hint="eastAsia" w:ascii="Times New Roman" w:hAnsi="Times New Roman" w:cs="Times New Roman"/>
          <w:lang w:eastAsia="zh-CN"/>
        </w:rPr>
        <w:t>检验相关</w:t>
      </w:r>
      <w:r>
        <w:rPr>
          <w:rFonts w:hint="default" w:ascii="Times New Roman" w:hAnsi="Times New Roman" w:cs="Times New Roman"/>
        </w:rPr>
        <w:t>下载”栏目下载</w:t>
      </w:r>
      <w:r>
        <w:rPr>
          <w:rFonts w:hint="eastAsia" w:ascii="Times New Roman" w:hAnsi="Times New Roman" w:cs="Times New Roman"/>
          <w:lang w:eastAsia="zh-CN"/>
        </w:rPr>
        <w:t>《法定检验</w:t>
      </w:r>
      <w:r>
        <w:rPr>
          <w:rFonts w:hint="default" w:ascii="Times New Roman" w:hAnsi="Times New Roman" w:cs="Times New Roman"/>
        </w:rPr>
        <w:t>报检申请</w:t>
      </w:r>
      <w:r>
        <w:rPr>
          <w:rFonts w:hint="eastAsia" w:ascii="Times New Roman" w:hAnsi="Times New Roman" w:cs="Times New Roman"/>
          <w:lang w:eastAsia="zh-CN"/>
        </w:rPr>
        <w:t>单》</w:t>
      </w:r>
      <w:r>
        <w:rPr>
          <w:rFonts w:hint="default" w:ascii="Times New Roman" w:hAnsi="Times New Roman" w:cs="Times New Roman"/>
        </w:rPr>
        <w:t>，按要求填写后，盖章扫描发送至济宁市特检院邮箱jiningtjy@vip.126.com办理；</w:t>
      </w:r>
    </w:p>
    <w:p w14:paraId="719D5D8E">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rPr>
        <w:t>方法4：前往济宁市特检院业务大厅办理，地址：济宁高新区广安路西首。</w:t>
      </w:r>
    </w:p>
    <w:p w14:paraId="287354BB">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rPr>
      </w:pPr>
      <w:r>
        <w:rPr>
          <w:rFonts w:hint="default" w:ascii="Times New Roman" w:hAnsi="Times New Roman" w:cs="Times New Roman"/>
        </w:rPr>
        <w:t>具体可咨询济宁市特检院，联系电话：6508666、6508715。</w:t>
      </w:r>
    </w:p>
    <w:p w14:paraId="66517A2A">
      <w:pPr>
        <w:pStyle w:val="2"/>
        <w:bidi w:val="0"/>
        <w:rPr>
          <w:rFonts w:hint="default"/>
        </w:rPr>
      </w:pPr>
      <w:bookmarkStart w:id="52" w:name="_Toc10008"/>
      <w:r>
        <w:rPr>
          <w:rFonts w:hint="default"/>
        </w:rPr>
        <w:t>（四）特种设备作业人员考核发证及复审</w:t>
      </w:r>
      <w:bookmarkEnd w:id="52"/>
    </w:p>
    <w:p w14:paraId="18DA2E13">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lang w:val="en-US" w:eastAsia="zh-CN"/>
        </w:rPr>
      </w:pPr>
      <w:r>
        <w:rPr>
          <w:rFonts w:hint="default" w:ascii="Times New Roman" w:hAnsi="Times New Roman" w:cs="Times New Roman"/>
        </w:rPr>
        <w:t>特种设备作业人员首次取证</w:t>
      </w:r>
      <w:r>
        <w:rPr>
          <w:rFonts w:hint="default" w:ascii="Times New Roman" w:hAnsi="Times New Roman" w:cs="Times New Roman"/>
          <w:lang w:val="en-US" w:eastAsia="zh-CN"/>
        </w:rPr>
        <w:t>由济宁市行政审批局负责办理，作业人员证到期复审可到工作单位所在地或户籍所在地的县级行政审批部门或市场监管部门办理（特种设备焊接作业人员证在市级行政审批部门办理）。具体办理流程如下：</w:t>
      </w:r>
    </w:p>
    <w:p w14:paraId="321516D5">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方法1：登录“山东省市场监督管理局”网站—</w:t>
      </w:r>
      <w:r>
        <w:rPr>
          <w:rFonts w:hint="eastAsia" w:ascii="Times New Roman" w:hAnsi="Times New Roman" w:cs="Times New Roman"/>
          <w:lang w:val="en-US" w:eastAsia="zh-CN"/>
        </w:rPr>
        <w:t>市场监管网上服务</w:t>
      </w:r>
      <w:r>
        <w:rPr>
          <w:rFonts w:hint="default" w:ascii="Times New Roman" w:hAnsi="Times New Roman" w:cs="Times New Roman"/>
          <w:lang w:val="en-US" w:eastAsia="zh-CN"/>
        </w:rPr>
        <w:t>—特种设备—特种设备作业人员申请—在线申报—进入到“山东省统一</w:t>
      </w:r>
      <w:r>
        <w:rPr>
          <w:rFonts w:hint="eastAsia" w:ascii="Times New Roman" w:hAnsi="Times New Roman" w:cs="Times New Roman"/>
          <w:lang w:val="en-US" w:eastAsia="zh-CN"/>
        </w:rPr>
        <w:t>身份认证平台</w:t>
      </w:r>
      <w:r>
        <w:rPr>
          <w:rFonts w:hint="default" w:ascii="Times New Roman" w:hAnsi="Times New Roman" w:cs="Times New Roman"/>
          <w:lang w:val="en-US" w:eastAsia="zh-CN"/>
        </w:rPr>
        <w:t>”—个人登录—立即注册，进行取证申请和复审申请填报。</w:t>
      </w:r>
    </w:p>
    <w:p w14:paraId="38BF887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方法2：下载“爱山东APP”，登陆成功后搜索：“特种设备作业人员资格特好办”，点击“发证申请”根据提示进行填报。</w:t>
      </w:r>
    </w:p>
    <w:p w14:paraId="622791E6">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方正楷体简体" w:hAnsi="方正楷体简体" w:eastAsia="方正楷体简体" w:cs="方正楷体简体"/>
          <w:lang w:val="en-US" w:eastAsia="zh-CN"/>
        </w:rPr>
      </w:pPr>
      <w:r>
        <w:rPr>
          <w:rFonts w:hint="default" w:ascii="方正楷体简体" w:hAnsi="方正楷体简体" w:eastAsia="方正楷体简体" w:cs="方正楷体简体"/>
          <w:lang w:val="en-US" w:eastAsia="zh-CN"/>
        </w:rPr>
        <w:t>济宁市特种设备作业人员证复审业务受理部门</w:t>
      </w:r>
    </w:p>
    <w:tbl>
      <w:tblPr>
        <w:tblStyle w:val="17"/>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250"/>
        <w:gridCol w:w="1590"/>
        <w:gridCol w:w="930"/>
        <w:gridCol w:w="2100"/>
        <w:gridCol w:w="1425"/>
      </w:tblGrid>
      <w:tr w14:paraId="343B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2A7B4F3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sz w:val="28"/>
                <w:szCs w:val="28"/>
                <w:highlight w:val="none"/>
                <w:lang w:val="en-US" w:eastAsia="zh-CN"/>
              </w:rPr>
            </w:pPr>
            <w:r>
              <w:rPr>
                <w:rFonts w:hint="default" w:ascii="Times New Roman" w:hAnsi="Times New Roman" w:eastAsia="方正楷体简体" w:cs="Times New Roman"/>
                <w:sz w:val="28"/>
                <w:szCs w:val="28"/>
                <w:highlight w:val="none"/>
                <w:lang w:val="en-US" w:eastAsia="zh-CN"/>
              </w:rPr>
              <w:t>序号</w:t>
            </w:r>
          </w:p>
        </w:tc>
        <w:tc>
          <w:tcPr>
            <w:tcW w:w="2250" w:type="dxa"/>
            <w:noWrap w:val="0"/>
            <w:vAlign w:val="center"/>
          </w:tcPr>
          <w:p w14:paraId="3F8B42B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sz w:val="28"/>
                <w:szCs w:val="28"/>
                <w:highlight w:val="none"/>
                <w:lang w:val="en-US" w:eastAsia="zh-CN"/>
              </w:rPr>
            </w:pPr>
            <w:r>
              <w:rPr>
                <w:rFonts w:hint="default" w:ascii="Times New Roman" w:hAnsi="Times New Roman" w:eastAsia="方正楷体简体" w:cs="Times New Roman"/>
                <w:sz w:val="28"/>
                <w:szCs w:val="28"/>
                <w:highlight w:val="none"/>
                <w:lang w:val="en-US" w:eastAsia="zh-CN"/>
              </w:rPr>
              <w:t>单位</w:t>
            </w:r>
          </w:p>
        </w:tc>
        <w:tc>
          <w:tcPr>
            <w:tcW w:w="1590" w:type="dxa"/>
            <w:noWrap w:val="0"/>
            <w:vAlign w:val="center"/>
          </w:tcPr>
          <w:p w14:paraId="131FB2D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sz w:val="28"/>
                <w:szCs w:val="28"/>
                <w:highlight w:val="none"/>
                <w:lang w:val="en-US" w:eastAsia="zh-CN"/>
              </w:rPr>
            </w:pPr>
            <w:r>
              <w:rPr>
                <w:rFonts w:hint="default" w:ascii="Times New Roman" w:hAnsi="Times New Roman" w:eastAsia="方正楷体简体" w:cs="Times New Roman"/>
                <w:sz w:val="28"/>
                <w:szCs w:val="28"/>
                <w:highlight w:val="none"/>
                <w:lang w:val="en-US" w:eastAsia="zh-CN"/>
              </w:rPr>
              <w:t>咨询电话</w:t>
            </w:r>
          </w:p>
        </w:tc>
        <w:tc>
          <w:tcPr>
            <w:tcW w:w="930" w:type="dxa"/>
            <w:noWrap w:val="0"/>
            <w:vAlign w:val="center"/>
          </w:tcPr>
          <w:p w14:paraId="1B9E017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sz w:val="28"/>
                <w:szCs w:val="28"/>
                <w:highlight w:val="none"/>
                <w:lang w:val="en-US" w:eastAsia="zh-CN"/>
              </w:rPr>
            </w:pPr>
            <w:r>
              <w:rPr>
                <w:rFonts w:hint="default" w:ascii="Times New Roman" w:hAnsi="Times New Roman" w:eastAsia="方正楷体简体" w:cs="Times New Roman"/>
                <w:sz w:val="28"/>
                <w:szCs w:val="28"/>
                <w:highlight w:val="none"/>
                <w:lang w:val="en-US" w:eastAsia="zh-CN"/>
              </w:rPr>
              <w:t>序号</w:t>
            </w:r>
          </w:p>
        </w:tc>
        <w:tc>
          <w:tcPr>
            <w:tcW w:w="2100" w:type="dxa"/>
            <w:noWrap w:val="0"/>
            <w:vAlign w:val="center"/>
          </w:tcPr>
          <w:p w14:paraId="198B3CE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sz w:val="28"/>
                <w:szCs w:val="28"/>
                <w:highlight w:val="none"/>
                <w:lang w:val="en-US" w:eastAsia="zh-CN"/>
              </w:rPr>
            </w:pPr>
            <w:r>
              <w:rPr>
                <w:rFonts w:hint="default" w:ascii="Times New Roman" w:hAnsi="Times New Roman" w:eastAsia="方正楷体简体" w:cs="Times New Roman"/>
                <w:sz w:val="28"/>
                <w:szCs w:val="28"/>
                <w:highlight w:val="none"/>
                <w:lang w:val="en-US" w:eastAsia="zh-CN"/>
              </w:rPr>
              <w:t>单位</w:t>
            </w:r>
          </w:p>
        </w:tc>
        <w:tc>
          <w:tcPr>
            <w:tcW w:w="1425" w:type="dxa"/>
            <w:noWrap w:val="0"/>
            <w:vAlign w:val="center"/>
          </w:tcPr>
          <w:p w14:paraId="038AD5D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sz w:val="28"/>
                <w:szCs w:val="28"/>
                <w:highlight w:val="none"/>
                <w:lang w:val="en-US" w:eastAsia="zh-CN"/>
              </w:rPr>
            </w:pPr>
            <w:r>
              <w:rPr>
                <w:rFonts w:hint="default" w:ascii="Times New Roman" w:hAnsi="Times New Roman" w:eastAsia="方正楷体简体" w:cs="Times New Roman"/>
                <w:sz w:val="28"/>
                <w:szCs w:val="28"/>
                <w:highlight w:val="none"/>
                <w:lang w:val="en-US" w:eastAsia="zh-CN"/>
              </w:rPr>
              <w:t>咨询电话</w:t>
            </w:r>
          </w:p>
        </w:tc>
      </w:tr>
      <w:tr w14:paraId="42A7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2DA6C4F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w:t>
            </w:r>
          </w:p>
        </w:tc>
        <w:tc>
          <w:tcPr>
            <w:tcW w:w="2250" w:type="dxa"/>
            <w:noWrap w:val="0"/>
            <w:vAlign w:val="center"/>
          </w:tcPr>
          <w:p w14:paraId="1EBDABE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任城区行政审批局</w:t>
            </w:r>
          </w:p>
        </w:tc>
        <w:tc>
          <w:tcPr>
            <w:tcW w:w="1590" w:type="dxa"/>
            <w:noWrap w:val="0"/>
            <w:vAlign w:val="center"/>
          </w:tcPr>
          <w:p w14:paraId="6E4F031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3233192</w:t>
            </w:r>
          </w:p>
        </w:tc>
        <w:tc>
          <w:tcPr>
            <w:tcW w:w="930" w:type="dxa"/>
            <w:noWrap w:val="0"/>
            <w:vAlign w:val="center"/>
          </w:tcPr>
          <w:p w14:paraId="14783BE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8</w:t>
            </w:r>
          </w:p>
        </w:tc>
        <w:tc>
          <w:tcPr>
            <w:tcW w:w="2100" w:type="dxa"/>
            <w:noWrap w:val="0"/>
            <w:vAlign w:val="center"/>
          </w:tcPr>
          <w:p w14:paraId="68DDD59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金乡县行政审批局</w:t>
            </w:r>
          </w:p>
        </w:tc>
        <w:tc>
          <w:tcPr>
            <w:tcW w:w="1425" w:type="dxa"/>
            <w:noWrap w:val="0"/>
            <w:vAlign w:val="center"/>
          </w:tcPr>
          <w:p w14:paraId="7CFE1D1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8012399</w:t>
            </w:r>
          </w:p>
        </w:tc>
      </w:tr>
      <w:tr w14:paraId="78DC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2B30D6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2</w:t>
            </w:r>
          </w:p>
        </w:tc>
        <w:tc>
          <w:tcPr>
            <w:tcW w:w="2250" w:type="dxa"/>
            <w:noWrap w:val="0"/>
            <w:vAlign w:val="center"/>
          </w:tcPr>
          <w:p w14:paraId="3FD08F3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兖州区行政审批局</w:t>
            </w:r>
          </w:p>
        </w:tc>
        <w:tc>
          <w:tcPr>
            <w:tcW w:w="1590" w:type="dxa"/>
            <w:noWrap w:val="0"/>
            <w:vAlign w:val="center"/>
          </w:tcPr>
          <w:p w14:paraId="37E1A46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3411127</w:t>
            </w:r>
          </w:p>
        </w:tc>
        <w:tc>
          <w:tcPr>
            <w:tcW w:w="930" w:type="dxa"/>
            <w:noWrap w:val="0"/>
            <w:vAlign w:val="center"/>
          </w:tcPr>
          <w:p w14:paraId="128EFDB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9</w:t>
            </w:r>
          </w:p>
        </w:tc>
        <w:tc>
          <w:tcPr>
            <w:tcW w:w="2100" w:type="dxa"/>
            <w:noWrap w:val="0"/>
            <w:vAlign w:val="center"/>
          </w:tcPr>
          <w:p w14:paraId="6F06F7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嘉祥县行政审批局</w:t>
            </w:r>
          </w:p>
        </w:tc>
        <w:tc>
          <w:tcPr>
            <w:tcW w:w="1425" w:type="dxa"/>
            <w:noWrap w:val="0"/>
            <w:vAlign w:val="center"/>
          </w:tcPr>
          <w:p w14:paraId="6DCDD16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6828036</w:t>
            </w:r>
          </w:p>
        </w:tc>
      </w:tr>
      <w:tr w14:paraId="478F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2A469C9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3</w:t>
            </w:r>
          </w:p>
        </w:tc>
        <w:tc>
          <w:tcPr>
            <w:tcW w:w="2250" w:type="dxa"/>
            <w:noWrap w:val="0"/>
            <w:vAlign w:val="center"/>
          </w:tcPr>
          <w:p w14:paraId="0FECA92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曲阜市行政审批局</w:t>
            </w:r>
          </w:p>
        </w:tc>
        <w:tc>
          <w:tcPr>
            <w:tcW w:w="1590" w:type="dxa"/>
            <w:noWrap w:val="0"/>
            <w:vAlign w:val="center"/>
          </w:tcPr>
          <w:p w14:paraId="673E07E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4890503</w:t>
            </w:r>
          </w:p>
        </w:tc>
        <w:tc>
          <w:tcPr>
            <w:tcW w:w="930" w:type="dxa"/>
            <w:noWrap w:val="0"/>
            <w:vAlign w:val="center"/>
          </w:tcPr>
          <w:p w14:paraId="3A4F703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10</w:t>
            </w:r>
          </w:p>
        </w:tc>
        <w:tc>
          <w:tcPr>
            <w:tcW w:w="2100" w:type="dxa"/>
            <w:noWrap w:val="0"/>
            <w:vAlign w:val="center"/>
          </w:tcPr>
          <w:p w14:paraId="37CDD2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汶上县行政审批局</w:t>
            </w:r>
          </w:p>
        </w:tc>
        <w:tc>
          <w:tcPr>
            <w:tcW w:w="1425" w:type="dxa"/>
            <w:noWrap w:val="0"/>
            <w:vAlign w:val="center"/>
          </w:tcPr>
          <w:p w14:paraId="3C79B36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7211506</w:t>
            </w:r>
          </w:p>
        </w:tc>
      </w:tr>
      <w:tr w14:paraId="0DF4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30178E7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4</w:t>
            </w:r>
          </w:p>
        </w:tc>
        <w:tc>
          <w:tcPr>
            <w:tcW w:w="2250" w:type="dxa"/>
            <w:noWrap w:val="0"/>
            <w:vAlign w:val="center"/>
          </w:tcPr>
          <w:p w14:paraId="2CB3BF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泗水县行政审批局</w:t>
            </w:r>
          </w:p>
        </w:tc>
        <w:tc>
          <w:tcPr>
            <w:tcW w:w="1590" w:type="dxa"/>
            <w:noWrap w:val="0"/>
            <w:vAlign w:val="center"/>
          </w:tcPr>
          <w:p w14:paraId="5799999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4221220</w:t>
            </w:r>
          </w:p>
        </w:tc>
        <w:tc>
          <w:tcPr>
            <w:tcW w:w="930" w:type="dxa"/>
            <w:noWrap w:val="0"/>
            <w:vAlign w:val="center"/>
          </w:tcPr>
          <w:p w14:paraId="290510D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11</w:t>
            </w:r>
          </w:p>
        </w:tc>
        <w:tc>
          <w:tcPr>
            <w:tcW w:w="2100" w:type="dxa"/>
            <w:noWrap w:val="0"/>
            <w:vAlign w:val="center"/>
          </w:tcPr>
          <w:p w14:paraId="31D16C4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梁山县行政审批局</w:t>
            </w:r>
          </w:p>
        </w:tc>
        <w:tc>
          <w:tcPr>
            <w:tcW w:w="1425" w:type="dxa"/>
            <w:noWrap w:val="0"/>
            <w:vAlign w:val="center"/>
          </w:tcPr>
          <w:p w14:paraId="7C8606E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7025592</w:t>
            </w:r>
          </w:p>
        </w:tc>
      </w:tr>
      <w:tr w14:paraId="3707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0972ACA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5</w:t>
            </w:r>
          </w:p>
        </w:tc>
        <w:tc>
          <w:tcPr>
            <w:tcW w:w="2250" w:type="dxa"/>
            <w:noWrap w:val="0"/>
            <w:vAlign w:val="center"/>
          </w:tcPr>
          <w:p w14:paraId="0A9F87D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邹城市市场监管局</w:t>
            </w:r>
          </w:p>
        </w:tc>
        <w:tc>
          <w:tcPr>
            <w:tcW w:w="1590" w:type="dxa"/>
            <w:noWrap w:val="0"/>
            <w:vAlign w:val="center"/>
          </w:tcPr>
          <w:p w14:paraId="3C00B1E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5219913</w:t>
            </w:r>
          </w:p>
        </w:tc>
        <w:tc>
          <w:tcPr>
            <w:tcW w:w="930" w:type="dxa"/>
            <w:noWrap w:val="0"/>
            <w:vAlign w:val="center"/>
          </w:tcPr>
          <w:p w14:paraId="4D81814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12</w:t>
            </w:r>
          </w:p>
        </w:tc>
        <w:tc>
          <w:tcPr>
            <w:tcW w:w="2100" w:type="dxa"/>
            <w:noWrap w:val="0"/>
            <w:vAlign w:val="center"/>
          </w:tcPr>
          <w:p w14:paraId="432B7C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高新区市场监管局</w:t>
            </w:r>
          </w:p>
        </w:tc>
        <w:tc>
          <w:tcPr>
            <w:tcW w:w="1425" w:type="dxa"/>
            <w:noWrap w:val="0"/>
            <w:vAlign w:val="center"/>
          </w:tcPr>
          <w:p w14:paraId="3CA95AA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7813011</w:t>
            </w:r>
          </w:p>
        </w:tc>
      </w:tr>
      <w:tr w14:paraId="1722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5B3B1F0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w:t>
            </w:r>
          </w:p>
        </w:tc>
        <w:tc>
          <w:tcPr>
            <w:tcW w:w="2250" w:type="dxa"/>
            <w:noWrap w:val="0"/>
            <w:vAlign w:val="center"/>
          </w:tcPr>
          <w:p w14:paraId="0CFBA45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微山县行政审批局</w:t>
            </w:r>
          </w:p>
        </w:tc>
        <w:tc>
          <w:tcPr>
            <w:tcW w:w="1590" w:type="dxa"/>
            <w:noWrap w:val="0"/>
            <w:vAlign w:val="center"/>
          </w:tcPr>
          <w:p w14:paraId="7C727C8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6509101</w:t>
            </w:r>
          </w:p>
        </w:tc>
        <w:tc>
          <w:tcPr>
            <w:tcW w:w="930" w:type="dxa"/>
            <w:noWrap w:val="0"/>
            <w:vAlign w:val="center"/>
          </w:tcPr>
          <w:p w14:paraId="184C7C2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13</w:t>
            </w:r>
          </w:p>
        </w:tc>
        <w:tc>
          <w:tcPr>
            <w:tcW w:w="2100" w:type="dxa"/>
            <w:noWrap w:val="0"/>
            <w:vAlign w:val="center"/>
          </w:tcPr>
          <w:p w14:paraId="177B56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太白湖新区行政审批局</w:t>
            </w:r>
          </w:p>
        </w:tc>
        <w:tc>
          <w:tcPr>
            <w:tcW w:w="1425" w:type="dxa"/>
            <w:noWrap w:val="0"/>
            <w:vAlign w:val="center"/>
          </w:tcPr>
          <w:p w14:paraId="3CF3BC2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3297992</w:t>
            </w:r>
          </w:p>
        </w:tc>
      </w:tr>
      <w:tr w14:paraId="744C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7767B48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7</w:t>
            </w:r>
          </w:p>
        </w:tc>
        <w:tc>
          <w:tcPr>
            <w:tcW w:w="2250" w:type="dxa"/>
            <w:noWrap w:val="0"/>
            <w:vAlign w:val="center"/>
          </w:tcPr>
          <w:p w14:paraId="251BF1E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鱼台县行政审批局</w:t>
            </w:r>
          </w:p>
        </w:tc>
        <w:tc>
          <w:tcPr>
            <w:tcW w:w="1590" w:type="dxa"/>
            <w:noWrap w:val="0"/>
            <w:vAlign w:val="center"/>
          </w:tcPr>
          <w:p w14:paraId="5ED1336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6281069</w:t>
            </w:r>
          </w:p>
        </w:tc>
        <w:tc>
          <w:tcPr>
            <w:tcW w:w="930" w:type="dxa"/>
            <w:noWrap w:val="0"/>
            <w:vAlign w:val="center"/>
          </w:tcPr>
          <w:p w14:paraId="18C858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14</w:t>
            </w:r>
          </w:p>
        </w:tc>
        <w:tc>
          <w:tcPr>
            <w:tcW w:w="2100" w:type="dxa"/>
            <w:noWrap w:val="0"/>
            <w:vAlign w:val="center"/>
          </w:tcPr>
          <w:p w14:paraId="183F02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经开区行政审批局</w:t>
            </w:r>
          </w:p>
        </w:tc>
        <w:tc>
          <w:tcPr>
            <w:tcW w:w="1425" w:type="dxa"/>
            <w:noWrap w:val="0"/>
            <w:vAlign w:val="center"/>
          </w:tcPr>
          <w:p w14:paraId="2AA4BB4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default" w:ascii="Times New Roman" w:hAnsi="Times New Roman" w:eastAsia="方正仿宋简体" w:cs="Times New Roman"/>
                <w:sz w:val="28"/>
                <w:szCs w:val="28"/>
                <w:highlight w:val="none"/>
                <w:lang w:val="en-US" w:eastAsia="zh-CN"/>
              </w:rPr>
            </w:pPr>
            <w:r>
              <w:rPr>
                <w:rFonts w:hint="default" w:ascii="Times New Roman" w:hAnsi="Times New Roman" w:eastAsia="方正仿宋简体" w:cs="Times New Roman"/>
                <w:sz w:val="28"/>
                <w:szCs w:val="28"/>
                <w:highlight w:val="none"/>
                <w:lang w:val="en-US" w:eastAsia="zh-CN"/>
              </w:rPr>
              <w:t>6990802</w:t>
            </w:r>
          </w:p>
        </w:tc>
      </w:tr>
    </w:tbl>
    <w:p w14:paraId="48286260">
      <w:pPr>
        <w:numPr>
          <w:ilvl w:val="0"/>
          <w:numId w:val="0"/>
        </w:numPr>
        <w:ind w:firstLine="643" w:firstLineChars="200"/>
        <w:rPr>
          <w:rFonts w:hint="default" w:ascii="Times New Roman" w:hAnsi="Times New Roman" w:cs="Times New Roman"/>
          <w:highlight w:val="none"/>
          <w:lang w:eastAsia="zh-CN"/>
        </w:rPr>
      </w:pPr>
      <w:r>
        <w:rPr>
          <w:rFonts w:hint="default" w:ascii="Times New Roman" w:hAnsi="Times New Roman" w:cs="Times New Roman"/>
          <w:highlight w:val="none"/>
          <w:lang w:val="en-US" w:eastAsia="zh-CN"/>
        </w:rPr>
        <w:t>济宁市行政审批局</w:t>
      </w:r>
      <w:r>
        <w:rPr>
          <w:rFonts w:hint="default" w:ascii="Times New Roman" w:hAnsi="Times New Roman" w:cs="Times New Roman"/>
          <w:highlight w:val="none"/>
        </w:rPr>
        <w:t>电话：2397767</w:t>
      </w:r>
      <w:r>
        <w:rPr>
          <w:rFonts w:hint="default" w:ascii="Times New Roman" w:hAnsi="Times New Roman" w:cs="Times New Roman"/>
          <w:highlight w:val="none"/>
          <w:lang w:eastAsia="zh-CN"/>
        </w:rPr>
        <w:t>。</w:t>
      </w:r>
    </w:p>
    <w:p w14:paraId="33FD16DC">
      <w:pPr>
        <w:pStyle w:val="2"/>
        <w:bidi w:val="0"/>
        <w:rPr>
          <w:rFonts w:hint="eastAsia" w:eastAsia="黑体"/>
          <w:lang w:eastAsia="zh-CN"/>
        </w:rPr>
      </w:pPr>
      <w:bookmarkStart w:id="53" w:name="_Toc3114"/>
      <w:r>
        <w:rPr>
          <w:rFonts w:hint="default"/>
        </w:rPr>
        <w:t>（四）</w:t>
      </w:r>
      <w:r>
        <w:rPr>
          <w:rFonts w:hint="eastAsia"/>
          <w:lang w:eastAsia="zh-CN"/>
        </w:rPr>
        <w:t>安全管理和</w:t>
      </w:r>
      <w:r>
        <w:rPr>
          <w:rFonts w:hint="default"/>
        </w:rPr>
        <w:t>作业人员</w:t>
      </w:r>
      <w:r>
        <w:rPr>
          <w:rFonts w:hint="eastAsia"/>
          <w:lang w:eastAsia="zh-CN"/>
        </w:rPr>
        <w:t>考试发证流程图</w:t>
      </w:r>
      <w:bookmarkEnd w:id="53"/>
    </w:p>
    <w:p w14:paraId="5CBB2F0D">
      <w:pPr>
        <w:keepNext w:val="0"/>
        <w:keepLines w:val="0"/>
        <w:pageBreakBefore w:val="0"/>
        <w:widowControl w:val="0"/>
        <w:kinsoku/>
        <w:wordWrap/>
        <w:overflowPunct/>
        <w:topLinePunct w:val="0"/>
        <w:autoSpaceDE/>
        <w:autoSpaceDN/>
        <w:bidi w:val="0"/>
        <w:adjustRightInd/>
        <w:snapToGrid/>
        <w:spacing w:line="240" w:lineRule="auto"/>
        <w:ind w:left="6" w:leftChars="-200" w:hanging="646" w:hangingChars="201"/>
        <w:textAlignment w:val="auto"/>
        <w:rPr>
          <w:rFonts w:hint="default"/>
          <w:lang w:eastAsia="zh-CN"/>
        </w:rPr>
      </w:pPr>
      <w:r>
        <w:drawing>
          <wp:inline distT="0" distB="0" distL="114300" distR="114300">
            <wp:extent cx="5847715" cy="7717155"/>
            <wp:effectExtent l="0" t="0" r="635" b="17145"/>
            <wp:docPr id="4" name="图片 2" descr="8c7cd8a34aa3ede751c3fe20a71d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8c7cd8a34aa3ede751c3fe20a71db9c"/>
                    <pic:cNvPicPr>
                      <a:picLocks noChangeAspect="1"/>
                    </pic:cNvPicPr>
                  </pic:nvPicPr>
                  <pic:blipFill>
                    <a:blip r:embed="rId14"/>
                    <a:srcRect l="11322" t="7119" r="14460"/>
                    <a:stretch>
                      <a:fillRect/>
                    </a:stretch>
                  </pic:blipFill>
                  <pic:spPr>
                    <a:xfrm>
                      <a:off x="0" y="0"/>
                      <a:ext cx="5847715" cy="7717155"/>
                    </a:xfrm>
                    <a:prstGeom prst="rect">
                      <a:avLst/>
                    </a:prstGeom>
                    <a:noFill/>
                    <a:ln w="9525">
                      <a:noFill/>
                    </a:ln>
                  </pic:spPr>
                </pic:pic>
              </a:graphicData>
            </a:graphic>
          </wp:inline>
        </w:drawing>
      </w:r>
    </w:p>
    <w:p w14:paraId="6BA3577B">
      <w:pPr>
        <w:rPr>
          <w:rFonts w:hint="default" w:ascii="Times New Roman" w:hAnsi="Times New Roman" w:cs="Times New Roman"/>
          <w:b/>
          <w:bCs/>
          <w:lang w:val="en-US" w:eastAsia="zh-CN"/>
        </w:rPr>
      </w:pPr>
      <w:r>
        <w:rPr>
          <w:rFonts w:hint="eastAsia" w:ascii="Times New Roman" w:hAnsi="Times New Roman" w:cs="Times New Roman"/>
          <w:b/>
          <w:bCs/>
          <w:lang w:val="en-US" w:eastAsia="zh-CN"/>
        </w:rPr>
        <w:t>备注：上述受理部门和电话后续可能发生调整变化。</w:t>
      </w:r>
    </w:p>
    <w:p w14:paraId="660C5D4E">
      <w:pPr>
        <w:pStyle w:val="3"/>
        <w:bidi w:val="0"/>
        <w:rPr>
          <w:rFonts w:hint="default" w:ascii="Times New Roman" w:hAnsi="Times New Roman" w:cs="Times New Roman"/>
          <w:lang w:val="en-US" w:eastAsia="zh-CN"/>
        </w:rPr>
      </w:pPr>
    </w:p>
    <w:p w14:paraId="453BDB80">
      <w:pPr>
        <w:pStyle w:val="3"/>
        <w:bidi w:val="0"/>
        <w:rPr>
          <w:rFonts w:hint="default" w:ascii="Times New Roman" w:hAnsi="Times New Roman" w:cs="Times New Roman"/>
          <w:lang w:val="en-US" w:eastAsia="zh-CN"/>
        </w:rPr>
      </w:pPr>
    </w:p>
    <w:p w14:paraId="152C95C5">
      <w:pPr>
        <w:pStyle w:val="3"/>
        <w:bidi w:val="0"/>
        <w:rPr>
          <w:rFonts w:hint="default" w:ascii="Times New Roman" w:hAnsi="Times New Roman" w:cs="Times New Roman"/>
          <w:lang w:val="en-US" w:eastAsia="zh-CN"/>
        </w:rPr>
      </w:pPr>
    </w:p>
    <w:p w14:paraId="47A939B3">
      <w:pPr>
        <w:pStyle w:val="3"/>
        <w:bidi w:val="0"/>
        <w:rPr>
          <w:rFonts w:hint="default" w:ascii="Times New Roman" w:hAnsi="Times New Roman" w:cs="Times New Roman"/>
          <w:lang w:val="en-US" w:eastAsia="zh-CN"/>
        </w:rPr>
      </w:pPr>
    </w:p>
    <w:p w14:paraId="29CB31B3">
      <w:pPr>
        <w:pStyle w:val="3"/>
        <w:bidi w:val="0"/>
        <w:rPr>
          <w:rFonts w:hint="default" w:ascii="Times New Roman" w:hAnsi="Times New Roman" w:cs="Times New Roman"/>
          <w:lang w:val="en-US" w:eastAsia="zh-CN"/>
        </w:rPr>
      </w:pPr>
    </w:p>
    <w:p w14:paraId="0F9FE0DC">
      <w:pPr>
        <w:pStyle w:val="3"/>
        <w:bidi w:val="0"/>
        <w:rPr>
          <w:rFonts w:hint="default" w:ascii="Times New Roman" w:hAnsi="Times New Roman" w:cs="Times New Roman"/>
          <w:lang w:val="en-US" w:eastAsia="zh-CN"/>
        </w:rPr>
      </w:pPr>
    </w:p>
    <w:p w14:paraId="40D2B81A">
      <w:pPr>
        <w:pStyle w:val="3"/>
        <w:numPr>
          <w:ilvl w:val="0"/>
          <w:numId w:val="10"/>
        </w:numPr>
        <w:bidi w:val="0"/>
        <w:ind w:left="0" w:leftChars="0" w:firstLine="0" w:firstLineChars="0"/>
        <w:rPr>
          <w:rFonts w:hint="default" w:ascii="Times New Roman" w:hAnsi="Times New Roman" w:cs="Times New Roman"/>
          <w:lang w:val="en-US" w:eastAsia="zh-CN"/>
        </w:rPr>
      </w:pPr>
      <w:bookmarkStart w:id="54" w:name="_Toc25873"/>
      <w:r>
        <w:rPr>
          <w:rFonts w:hint="default" w:ascii="Times New Roman" w:hAnsi="Times New Roman" w:cs="Times New Roman"/>
          <w:lang w:val="en-US" w:eastAsia="zh-CN"/>
        </w:rPr>
        <w:t>附件</w:t>
      </w:r>
      <w:bookmarkEnd w:id="54"/>
    </w:p>
    <w:p w14:paraId="3AB91542">
      <w:pPr>
        <w:rPr>
          <w:rFonts w:hint="default" w:ascii="Times New Roman" w:hAnsi="Times New Roman" w:eastAsia="黑体" w:cs="Times New Roman"/>
          <w:b/>
          <w:bCs/>
          <w:lang w:val="en-US" w:eastAsia="zh-CN"/>
        </w:rPr>
      </w:pPr>
      <w:r>
        <w:rPr>
          <w:rFonts w:hint="default" w:ascii="Times New Roman" w:hAnsi="Times New Roman" w:eastAsia="黑体" w:cs="Times New Roman"/>
          <w:b/>
          <w:bCs/>
          <w:lang w:val="en-US" w:eastAsia="zh-CN"/>
        </w:rPr>
        <w:br w:type="page"/>
      </w:r>
    </w:p>
    <w:p w14:paraId="6552997D">
      <w:pPr>
        <w:pStyle w:val="2"/>
        <w:bidi w:val="0"/>
        <w:ind w:left="0" w:leftChars="0" w:firstLine="0" w:firstLineChars="0"/>
        <w:jc w:val="both"/>
        <w:rPr>
          <w:rFonts w:hint="default"/>
          <w:b/>
          <w:bCs/>
          <w:lang w:val="en-US" w:eastAsia="zh-CN"/>
        </w:rPr>
      </w:pPr>
      <w:bookmarkStart w:id="55" w:name="_Toc28856"/>
      <w:r>
        <w:rPr>
          <w:rFonts w:hint="default"/>
          <w:b/>
          <w:bCs/>
          <w:lang w:val="en-US" w:eastAsia="zh-CN"/>
        </w:rPr>
        <w:t>附件1</w:t>
      </w:r>
      <w:r>
        <w:rPr>
          <w:rFonts w:hint="eastAsia"/>
          <w:b/>
          <w:bCs/>
          <w:lang w:val="en-US" w:eastAsia="zh-CN"/>
        </w:rPr>
        <w:t>安全管理机构和安全管理人员参考模板</w:t>
      </w:r>
      <w:bookmarkEnd w:id="55"/>
    </w:p>
    <w:p w14:paraId="1803224D">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黑体" w:cs="Times New Roman"/>
          <w:b/>
          <w:bCs/>
          <w:lang w:val="en-US" w:eastAsia="zh-CN"/>
        </w:rPr>
      </w:pPr>
      <w:r>
        <w:rPr>
          <w:rFonts w:hint="default" w:ascii="Times New Roman" w:hAnsi="Times New Roman" w:eastAsia="黑体" w:cs="Times New Roman"/>
          <w:b/>
          <w:bCs/>
          <w:lang w:val="en-US" w:eastAsia="zh-CN"/>
        </w:rPr>
        <w:t>附件1-1</w:t>
      </w:r>
      <w:r>
        <w:rPr>
          <w:rFonts w:hint="default" w:ascii="Times New Roman" w:hAnsi="Times New Roman" w:cs="Times New Roman"/>
          <w:b/>
          <w:bCs/>
          <w:lang w:val="en-US" w:eastAsia="zh-CN"/>
        </w:rPr>
        <w:t>（适用于应当设置安全管理机构的单位）</w:t>
      </w:r>
    </w:p>
    <w:p w14:paraId="03376704">
      <w:pPr>
        <w:pStyle w:val="13"/>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520" w:lineRule="exact"/>
        <w:ind w:left="0" w:leftChars="0" w:firstLine="0" w:firstLineChars="0"/>
        <w:jc w:val="center"/>
        <w:textAlignment w:val="auto"/>
        <w:rPr>
          <w:rFonts w:hint="default" w:ascii="Times New Roman" w:hAnsi="Times New Roman" w:eastAsia="方正公文小标宋" w:cs="Times New Roman"/>
          <w:color w:val="FF0000"/>
          <w:kern w:val="2"/>
          <w:sz w:val="44"/>
          <w:szCs w:val="44"/>
          <w:lang w:val="en-US" w:eastAsia="zh-CN"/>
        </w:rPr>
      </w:pPr>
      <w:r>
        <w:rPr>
          <w:rFonts w:hint="default" w:ascii="Times New Roman" w:hAnsi="Times New Roman" w:eastAsia="方正公文小标宋" w:cs="Times New Roman"/>
          <w:color w:val="FF0000"/>
          <w:kern w:val="2"/>
          <w:sz w:val="44"/>
          <w:szCs w:val="44"/>
          <w:lang w:val="en-US" w:eastAsia="zh-CN"/>
        </w:rPr>
        <w:t>XX公司文件</w:t>
      </w:r>
    </w:p>
    <w:p w14:paraId="6CB9C973">
      <w:pPr>
        <w:pStyle w:val="13"/>
        <w:keepNext w:val="0"/>
        <w:keepLines w:val="0"/>
        <w:pageBreakBefore w:val="0"/>
        <w:widowControl/>
        <w:kinsoku/>
        <w:wordWrap/>
        <w:overflowPunct/>
        <w:topLinePunct w:val="0"/>
        <w:autoSpaceDE/>
        <w:autoSpaceDN/>
        <w:bidi w:val="0"/>
        <w:adjustRightInd/>
        <w:snapToGrid/>
        <w:spacing w:before="313" w:beforeLines="100" w:beforeAutospacing="0" w:after="0" w:afterAutospacing="0" w:line="520" w:lineRule="exact"/>
        <w:ind w:left="0" w:leftChars="0" w:firstLine="0" w:firstLineChars="0"/>
        <w:jc w:val="center"/>
        <w:textAlignment w:val="auto"/>
        <w:rPr>
          <w:rFonts w:hint="default" w:ascii="Times New Roman" w:hAnsi="Times New Roman" w:eastAsia="方正公文小标宋" w:cs="Times New Roman"/>
          <w:kern w:val="2"/>
          <w:sz w:val="44"/>
          <w:szCs w:val="44"/>
          <w:lang w:eastAsia="zh-CN"/>
        </w:rPr>
      </w:pPr>
      <w:r>
        <w:rPr>
          <w:rFonts w:hint="default" w:ascii="Times New Roman" w:hAnsi="Times New Roman" w:eastAsia="方正公文小标宋" w:cs="Times New Roman"/>
          <w:kern w:val="2"/>
          <w:sz w:val="44"/>
          <w:szCs w:val="44"/>
        </w:rPr>
        <w:t>关于设立特种设备安全管理机构</w:t>
      </w:r>
      <w:r>
        <w:rPr>
          <w:rFonts w:hint="default" w:ascii="Times New Roman" w:hAnsi="Times New Roman" w:eastAsia="方正公文小标宋" w:cs="Times New Roman"/>
          <w:kern w:val="2"/>
          <w:sz w:val="44"/>
          <w:szCs w:val="44"/>
          <w:lang w:eastAsia="zh-CN"/>
        </w:rPr>
        <w:t>和任命</w:t>
      </w:r>
    </w:p>
    <w:p w14:paraId="402A28F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leftChars="0" w:firstLine="0" w:firstLineChars="0"/>
        <w:jc w:val="center"/>
        <w:textAlignment w:val="auto"/>
        <w:rPr>
          <w:rFonts w:hint="default" w:ascii="Times New Roman" w:hAnsi="Times New Roman" w:eastAsia="方正公文小标宋" w:cs="Times New Roman"/>
          <w:kern w:val="2"/>
          <w:sz w:val="44"/>
          <w:szCs w:val="44"/>
        </w:rPr>
      </w:pPr>
      <w:r>
        <w:rPr>
          <w:rFonts w:hint="default" w:ascii="Times New Roman" w:hAnsi="Times New Roman" w:eastAsia="方正公文小标宋" w:cs="Times New Roman"/>
          <w:kern w:val="2"/>
          <w:sz w:val="44"/>
          <w:szCs w:val="44"/>
          <w:lang w:eastAsia="zh-CN"/>
        </w:rPr>
        <w:t>特种设备安全管理人员</w:t>
      </w:r>
      <w:r>
        <w:rPr>
          <w:rFonts w:hint="default" w:ascii="Times New Roman" w:hAnsi="Times New Roman" w:eastAsia="方正公文小标宋" w:cs="Times New Roman"/>
          <w:kern w:val="2"/>
          <w:sz w:val="44"/>
          <w:szCs w:val="44"/>
        </w:rPr>
        <w:t>的通知</w:t>
      </w:r>
    </w:p>
    <w:p w14:paraId="1FC249C4">
      <w:pPr>
        <w:pStyle w:val="13"/>
        <w:keepNext w:val="0"/>
        <w:keepLines w:val="0"/>
        <w:pageBreakBefore w:val="0"/>
        <w:widowControl/>
        <w:kinsoku/>
        <w:wordWrap/>
        <w:overflowPunct/>
        <w:topLinePunct w:val="0"/>
        <w:autoSpaceDE/>
        <w:autoSpaceDN/>
        <w:bidi w:val="0"/>
        <w:adjustRightInd/>
        <w:snapToGrid/>
        <w:spacing w:before="313" w:beforeLines="100" w:beforeAutospacing="0" w:after="0" w:afterAutospacing="0" w:line="520" w:lineRule="exact"/>
        <w:ind w:firstLine="643" w:firstLineChars="200"/>
        <w:textAlignment w:val="auto"/>
        <w:rPr>
          <w:rFonts w:hint="default" w:ascii="Times New Roman" w:hAnsi="Times New Roman" w:eastAsia="仿宋" w:cs="Times New Roman"/>
          <w:b/>
          <w:bCs/>
          <w:kern w:val="2"/>
          <w:sz w:val="32"/>
          <w:szCs w:val="32"/>
        </w:rPr>
      </w:pPr>
      <w:r>
        <w:rPr>
          <w:rFonts w:hint="default" w:ascii="Times New Roman" w:hAnsi="Times New Roman" w:eastAsia="仿宋" w:cs="Times New Roman"/>
          <w:b/>
          <w:bCs/>
          <w:kern w:val="2"/>
          <w:sz w:val="32"/>
          <w:szCs w:val="32"/>
        </w:rPr>
        <w:t>为加强</w:t>
      </w:r>
      <w:r>
        <w:rPr>
          <w:rFonts w:hint="default" w:ascii="Times New Roman" w:hAnsi="Times New Roman" w:eastAsia="仿宋" w:cs="Times New Roman"/>
          <w:b/>
          <w:bCs/>
          <w:kern w:val="2"/>
          <w:sz w:val="32"/>
          <w:szCs w:val="32"/>
          <w:lang w:eastAsia="zh-CN"/>
        </w:rPr>
        <w:t>公司</w:t>
      </w:r>
      <w:r>
        <w:rPr>
          <w:rFonts w:hint="default" w:ascii="Times New Roman" w:hAnsi="Times New Roman" w:eastAsia="仿宋" w:cs="Times New Roman"/>
          <w:b/>
          <w:bCs/>
          <w:kern w:val="2"/>
          <w:sz w:val="32"/>
          <w:szCs w:val="32"/>
        </w:rPr>
        <w:t>特种设备使用安全管理，贯彻</w:t>
      </w:r>
      <w:r>
        <w:rPr>
          <w:rFonts w:hint="default" w:ascii="Times New Roman" w:hAnsi="Times New Roman" w:eastAsia="仿宋" w:cs="Times New Roman"/>
          <w:b/>
          <w:bCs/>
          <w:kern w:val="2"/>
          <w:sz w:val="32"/>
          <w:szCs w:val="32"/>
          <w:lang w:eastAsia="zh-CN"/>
        </w:rPr>
        <w:t>落实</w:t>
      </w:r>
      <w:r>
        <w:rPr>
          <w:rFonts w:hint="default" w:ascii="Times New Roman" w:hAnsi="Times New Roman" w:eastAsia="仿宋" w:cs="Times New Roman"/>
          <w:b/>
          <w:bCs/>
          <w:kern w:val="2"/>
          <w:sz w:val="32"/>
          <w:szCs w:val="32"/>
        </w:rPr>
        <w:t>特种设备</w:t>
      </w:r>
      <w:r>
        <w:rPr>
          <w:rFonts w:hint="default" w:ascii="Times New Roman" w:hAnsi="Times New Roman" w:eastAsia="仿宋" w:cs="Times New Roman"/>
          <w:b/>
          <w:bCs/>
          <w:kern w:val="2"/>
          <w:sz w:val="32"/>
          <w:szCs w:val="32"/>
          <w:lang w:eastAsia="zh-CN"/>
        </w:rPr>
        <w:t>安全</w:t>
      </w:r>
      <w:r>
        <w:rPr>
          <w:rFonts w:hint="default" w:ascii="Times New Roman" w:hAnsi="Times New Roman" w:eastAsia="仿宋" w:cs="Times New Roman"/>
          <w:b/>
          <w:bCs/>
          <w:kern w:val="2"/>
          <w:sz w:val="32"/>
          <w:szCs w:val="32"/>
        </w:rPr>
        <w:t>法律、法规和安全技术规范</w:t>
      </w:r>
      <w:r>
        <w:rPr>
          <w:rFonts w:hint="default" w:ascii="Times New Roman" w:hAnsi="Times New Roman" w:eastAsia="仿宋" w:cs="Times New Roman"/>
          <w:b/>
          <w:bCs/>
          <w:kern w:val="2"/>
          <w:sz w:val="32"/>
          <w:szCs w:val="32"/>
          <w:lang w:eastAsia="zh-CN"/>
        </w:rPr>
        <w:t>要求</w:t>
      </w:r>
      <w:r>
        <w:rPr>
          <w:rFonts w:hint="default" w:ascii="Times New Roman" w:hAnsi="Times New Roman" w:eastAsia="仿宋" w:cs="Times New Roman"/>
          <w:b/>
          <w:bCs/>
          <w:kern w:val="2"/>
          <w:sz w:val="32"/>
          <w:szCs w:val="32"/>
        </w:rPr>
        <w:t>，经研究，确定</w:t>
      </w:r>
      <w:r>
        <w:rPr>
          <w:rFonts w:hint="default" w:ascii="Times New Roman" w:hAnsi="Times New Roman" w:eastAsia="仿宋" w:cs="Times New Roman"/>
          <w:b/>
          <w:bCs/>
          <w:kern w:val="2"/>
          <w:sz w:val="32"/>
          <w:szCs w:val="32"/>
          <w:lang w:val="en-US" w:eastAsia="zh-CN"/>
        </w:rPr>
        <w:t>XX</w:t>
      </w:r>
      <w:r>
        <w:rPr>
          <w:rFonts w:hint="default" w:ascii="Times New Roman" w:hAnsi="Times New Roman" w:eastAsia="仿宋" w:cs="Times New Roman"/>
          <w:b/>
          <w:bCs/>
          <w:kern w:val="2"/>
          <w:sz w:val="32"/>
          <w:szCs w:val="32"/>
        </w:rPr>
        <w:t>部为本公司的特种设备安全管理部门</w:t>
      </w:r>
      <w:r>
        <w:rPr>
          <w:rFonts w:hint="default" w:ascii="Times New Roman" w:hAnsi="Times New Roman" w:eastAsia="仿宋" w:cs="Times New Roman"/>
          <w:b/>
          <w:bCs/>
          <w:kern w:val="2"/>
          <w:sz w:val="32"/>
          <w:szCs w:val="32"/>
          <w:lang w:eastAsia="zh-CN"/>
        </w:rPr>
        <w:t>，负责特种设备安全监督管理工作</w:t>
      </w:r>
      <w:r>
        <w:rPr>
          <w:rFonts w:hint="default" w:ascii="Times New Roman" w:hAnsi="Times New Roman" w:eastAsia="仿宋" w:cs="Times New Roman"/>
          <w:b/>
          <w:bCs/>
          <w:kern w:val="2"/>
          <w:sz w:val="32"/>
          <w:szCs w:val="32"/>
        </w:rPr>
        <w:t>。</w:t>
      </w:r>
    </w:p>
    <w:p w14:paraId="773AB84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3" w:firstLineChars="2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eastAsia="zh-CN"/>
        </w:rPr>
        <w:t>任命</w:t>
      </w:r>
      <w:r>
        <w:rPr>
          <w:rFonts w:hint="default" w:ascii="Times New Roman" w:hAnsi="Times New Roman" w:eastAsia="仿宋" w:cs="Times New Roman"/>
          <w:b/>
          <w:bCs/>
          <w:kern w:val="2"/>
          <w:sz w:val="32"/>
          <w:szCs w:val="32"/>
          <w:lang w:val="en-US" w:eastAsia="zh-CN"/>
        </w:rPr>
        <w:t>XXX副总经理为特种设备安全管理负责人（特种设备安全总监）。</w:t>
      </w:r>
      <w:r>
        <w:rPr>
          <w:rFonts w:hint="eastAsia" w:ascii="方正楷体简体" w:hAnsi="方正楷体简体" w:eastAsia="方正楷体简体" w:cs="方正楷体简体"/>
          <w:b/>
          <w:bCs/>
          <w:color w:val="FF0000"/>
          <w:kern w:val="2"/>
          <w:sz w:val="32"/>
          <w:szCs w:val="32"/>
          <w:lang w:val="en-US" w:eastAsia="zh-CN"/>
        </w:rPr>
        <w:t>（注意：需持A证）</w:t>
      </w:r>
    </w:p>
    <w:p w14:paraId="4EDEF171">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3" w:firstLineChars="2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任命XXX部长为特种设备专职安全管理员（特种设备安全员）</w:t>
      </w:r>
      <w:r>
        <w:rPr>
          <w:rFonts w:hint="eastAsia" w:ascii="方正楷体简体" w:hAnsi="方正楷体简体" w:eastAsia="方正楷体简体" w:cs="方正楷体简体"/>
          <w:b/>
          <w:bCs/>
          <w:color w:val="FF0000"/>
          <w:kern w:val="2"/>
          <w:sz w:val="32"/>
          <w:szCs w:val="32"/>
          <w:lang w:val="en-US" w:eastAsia="zh-CN"/>
        </w:rPr>
        <w:t>（注意：需持A证）</w:t>
      </w:r>
      <w:r>
        <w:rPr>
          <w:rFonts w:hint="default" w:ascii="Times New Roman" w:hAnsi="Times New Roman" w:eastAsia="仿宋" w:cs="Times New Roman"/>
          <w:b/>
          <w:bCs/>
          <w:kern w:val="2"/>
          <w:sz w:val="32"/>
          <w:szCs w:val="32"/>
          <w:lang w:val="en-US" w:eastAsia="zh-CN"/>
        </w:rPr>
        <w:t>。任命XXX（负责XX、XX类设备）、XXX（负责XX、XX类设备）......为特种设备安全员。</w:t>
      </w:r>
    </w:p>
    <w:p w14:paraId="221D9B53">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1604" w:leftChars="200" w:hanging="964" w:hangingChars="300"/>
        <w:textAlignment w:val="auto"/>
        <w:rPr>
          <w:rFonts w:hint="default" w:ascii="Times New Roman" w:hAnsi="Times New Roman" w:eastAsia="仿宋" w:cs="Times New Roman"/>
          <w:b/>
          <w:bCs/>
          <w:kern w:val="2"/>
          <w:sz w:val="32"/>
          <w:szCs w:val="32"/>
          <w:lang w:val="en-US" w:eastAsia="zh-CN"/>
        </w:rPr>
      </w:pPr>
    </w:p>
    <w:p w14:paraId="789C138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1604" w:leftChars="200" w:hanging="964" w:hangingChars="3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附件：1.特种设备安全管理负责人（特种设备安全总监）职责</w:t>
      </w:r>
    </w:p>
    <w:p w14:paraId="119BE84C">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1604" w:leftChars="200" w:hanging="964" w:hangingChars="3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 xml:space="preserve">      2.特种设备专职安全管理员（特种设备安全员）职责</w:t>
      </w:r>
    </w:p>
    <w:p w14:paraId="5FC7A420">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5663" w:leftChars="364" w:hanging="4498" w:hangingChars="1400"/>
        <w:textAlignment w:val="auto"/>
        <w:rPr>
          <w:rFonts w:hint="default" w:ascii="Times New Roman" w:hAnsi="Times New Roman" w:eastAsia="仿宋" w:cs="Times New Roman"/>
          <w:b/>
          <w:bCs/>
          <w:kern w:val="2"/>
          <w:sz w:val="32"/>
          <w:szCs w:val="32"/>
        </w:rPr>
      </w:pPr>
      <w:r>
        <w:rPr>
          <w:rFonts w:hint="default" w:ascii="Times New Roman" w:hAnsi="Times New Roman" w:eastAsia="仿宋" w:cs="Times New Roman"/>
          <w:b/>
          <w:bCs/>
          <w:kern w:val="2"/>
          <w:sz w:val="32"/>
          <w:szCs w:val="32"/>
        </w:rPr>
        <w:t xml:space="preserve">                                           </w:t>
      </w:r>
    </w:p>
    <w:p w14:paraId="0F1D1C62">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3855" w:firstLineChars="1200"/>
        <w:jc w:val="left"/>
        <w:textAlignment w:val="auto"/>
        <w:rPr>
          <w:rFonts w:hint="default" w:ascii="Times New Roman" w:hAnsi="Times New Roman" w:eastAsia="方正仿宋简体" w:cs="Times New Roman"/>
          <w:b/>
          <w:bCs/>
          <w:kern w:val="2"/>
          <w:sz w:val="32"/>
          <w:szCs w:val="32"/>
          <w:lang w:eastAsia="zh-CN"/>
        </w:rPr>
      </w:pPr>
      <w:r>
        <w:rPr>
          <w:rFonts w:hint="default" w:ascii="Times New Roman" w:hAnsi="Times New Roman" w:eastAsia="方正仿宋简体" w:cs="Times New Roman"/>
          <w:b/>
          <w:bCs/>
          <w:kern w:val="2"/>
          <w:sz w:val="32"/>
          <w:szCs w:val="32"/>
          <w:lang w:val="en-US" w:eastAsia="zh-CN"/>
        </w:rPr>
        <w:t>XXXX</w:t>
      </w:r>
      <w:r>
        <w:rPr>
          <w:rFonts w:hint="default" w:ascii="Times New Roman" w:hAnsi="Times New Roman" w:eastAsia="方正仿宋简体" w:cs="Times New Roman"/>
          <w:b/>
          <w:bCs/>
          <w:kern w:val="2"/>
          <w:sz w:val="32"/>
          <w:szCs w:val="32"/>
        </w:rPr>
        <w:t>有限公司</w:t>
      </w:r>
      <w:r>
        <w:rPr>
          <w:rFonts w:hint="default" w:ascii="Times New Roman" w:hAnsi="Times New Roman" w:eastAsia="方正仿宋简体" w:cs="Times New Roman"/>
          <w:b/>
          <w:bCs/>
          <w:kern w:val="2"/>
          <w:sz w:val="32"/>
          <w:szCs w:val="32"/>
          <w:lang w:eastAsia="zh-CN"/>
        </w:rPr>
        <w:t>（公司印章）</w:t>
      </w:r>
    </w:p>
    <w:p w14:paraId="6079CBEB">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765"/>
        <w:textAlignment w:val="auto"/>
        <w:rPr>
          <w:rFonts w:hint="default" w:ascii="Times New Roman" w:hAnsi="Times New Roman" w:eastAsia="黑体" w:cs="Times New Roman"/>
          <w:b/>
          <w:bCs/>
          <w:lang w:val="en-US" w:eastAsia="zh-CN"/>
        </w:rPr>
      </w:pPr>
      <w:r>
        <w:rPr>
          <w:rFonts w:hint="default" w:ascii="Times New Roman" w:hAnsi="Times New Roman" w:eastAsia="方正仿宋简体" w:cs="Times New Roman"/>
          <w:b/>
          <w:bCs/>
          <w:kern w:val="2"/>
          <w:sz w:val="32"/>
          <w:szCs w:val="32"/>
        </w:rPr>
        <w:t xml:space="preserve">                  20</w:t>
      </w:r>
      <w:r>
        <w:rPr>
          <w:rFonts w:hint="default" w:ascii="Times New Roman" w:hAnsi="Times New Roman" w:eastAsia="方正仿宋简体" w:cs="Times New Roman"/>
          <w:b/>
          <w:bCs/>
          <w:kern w:val="2"/>
          <w:sz w:val="32"/>
          <w:szCs w:val="32"/>
          <w:lang w:val="en-US" w:eastAsia="zh-CN"/>
        </w:rPr>
        <w:t>2X</w:t>
      </w:r>
      <w:r>
        <w:rPr>
          <w:rFonts w:hint="default" w:ascii="Times New Roman" w:hAnsi="Times New Roman" w:eastAsia="方正仿宋简体" w:cs="Times New Roman"/>
          <w:b/>
          <w:bCs/>
          <w:kern w:val="2"/>
          <w:sz w:val="32"/>
          <w:szCs w:val="32"/>
        </w:rPr>
        <w:t>年</w:t>
      </w:r>
      <w:r>
        <w:rPr>
          <w:rFonts w:hint="default" w:ascii="Times New Roman" w:hAnsi="Times New Roman" w:eastAsia="方正仿宋简体" w:cs="Times New Roman"/>
          <w:b/>
          <w:bCs/>
          <w:kern w:val="2"/>
          <w:sz w:val="32"/>
          <w:szCs w:val="32"/>
          <w:lang w:val="en-US" w:eastAsia="zh-CN"/>
        </w:rPr>
        <w:t>XX</w:t>
      </w:r>
      <w:r>
        <w:rPr>
          <w:rFonts w:hint="default" w:ascii="Times New Roman" w:hAnsi="Times New Roman" w:eastAsia="方正仿宋简体" w:cs="Times New Roman"/>
          <w:b/>
          <w:bCs/>
          <w:kern w:val="2"/>
          <w:sz w:val="32"/>
          <w:szCs w:val="32"/>
        </w:rPr>
        <w:t>月</w:t>
      </w:r>
      <w:r>
        <w:rPr>
          <w:rFonts w:hint="default" w:ascii="Times New Roman" w:hAnsi="Times New Roman" w:eastAsia="方正仿宋简体" w:cs="Times New Roman"/>
          <w:b/>
          <w:bCs/>
          <w:kern w:val="2"/>
          <w:sz w:val="32"/>
          <w:szCs w:val="32"/>
          <w:lang w:val="en-US" w:eastAsia="zh-CN"/>
        </w:rPr>
        <w:t>XX</w:t>
      </w:r>
      <w:r>
        <w:rPr>
          <w:rFonts w:hint="default" w:ascii="Times New Roman" w:hAnsi="Times New Roman" w:eastAsia="方正仿宋简体" w:cs="Times New Roman"/>
          <w:b/>
          <w:bCs/>
          <w:kern w:val="2"/>
          <w:sz w:val="32"/>
          <w:szCs w:val="32"/>
        </w:rPr>
        <w:t>日</w:t>
      </w:r>
      <w:r>
        <w:rPr>
          <w:rFonts w:hint="default" w:ascii="Times New Roman" w:hAnsi="Times New Roman" w:eastAsia="黑体" w:cs="Times New Roman"/>
          <w:b/>
          <w:bCs/>
          <w:lang w:val="en-US" w:eastAsia="zh-CN"/>
        </w:rPr>
        <w:br w:type="page"/>
      </w:r>
    </w:p>
    <w:p w14:paraId="4489113C">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bCs/>
          <w:lang w:val="en-US" w:eastAsia="zh-CN"/>
        </w:rPr>
      </w:pPr>
      <w:r>
        <w:rPr>
          <w:rFonts w:hint="default" w:ascii="Times New Roman" w:hAnsi="Times New Roman" w:eastAsia="黑体" w:cs="Times New Roman"/>
          <w:b/>
          <w:bCs/>
          <w:lang w:val="en-US" w:eastAsia="zh-CN"/>
        </w:rPr>
        <w:t>附件1-2</w:t>
      </w:r>
      <w:r>
        <w:rPr>
          <w:rFonts w:hint="default" w:ascii="Times New Roman" w:hAnsi="Times New Roman" w:cs="Times New Roman"/>
          <w:b/>
          <w:bCs/>
          <w:lang w:val="en-US" w:eastAsia="zh-CN"/>
        </w:rPr>
        <w:t>（适用于无需设置安全管理机构、但需任命专职安全管理员的单位）</w:t>
      </w:r>
    </w:p>
    <w:p w14:paraId="46CC4D50">
      <w:pPr>
        <w:pStyle w:val="13"/>
        <w:pageBreakBefore w:val="0"/>
        <w:kinsoku/>
        <w:wordWrap/>
        <w:overflowPunct/>
        <w:topLinePunct w:val="0"/>
        <w:autoSpaceDE/>
        <w:autoSpaceDN/>
        <w:bidi w:val="0"/>
        <w:adjustRightInd/>
        <w:snapToGrid/>
        <w:spacing w:before="0" w:beforeAutospacing="0" w:after="0" w:afterAutospacing="0" w:line="560" w:lineRule="exact"/>
        <w:jc w:val="center"/>
        <w:textAlignment w:val="auto"/>
        <w:rPr>
          <w:rFonts w:hint="default" w:ascii="Times New Roman" w:hAnsi="Times New Roman" w:eastAsia="黑体" w:cs="Times New Roman"/>
          <w:kern w:val="2"/>
          <w:sz w:val="44"/>
          <w:szCs w:val="44"/>
          <w:lang w:val="en-US" w:eastAsia="zh-CN"/>
        </w:rPr>
      </w:pPr>
    </w:p>
    <w:p w14:paraId="3DC6893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firstLine="0" w:firstLineChars="0"/>
        <w:jc w:val="center"/>
        <w:textAlignment w:val="auto"/>
        <w:rPr>
          <w:rFonts w:hint="default" w:ascii="Times New Roman" w:hAnsi="Times New Roman" w:eastAsia="方正公文小标宋" w:cs="Times New Roman"/>
          <w:color w:val="FF0000"/>
          <w:kern w:val="2"/>
          <w:sz w:val="44"/>
          <w:szCs w:val="44"/>
          <w:lang w:val="en-US" w:eastAsia="zh-CN"/>
        </w:rPr>
      </w:pPr>
      <w:r>
        <w:rPr>
          <w:rFonts w:hint="default" w:ascii="Times New Roman" w:hAnsi="Times New Roman" w:eastAsia="方正公文小标宋" w:cs="Times New Roman"/>
          <w:color w:val="FF0000"/>
          <w:kern w:val="2"/>
          <w:sz w:val="44"/>
          <w:szCs w:val="44"/>
          <w:lang w:val="en-US" w:eastAsia="zh-CN"/>
        </w:rPr>
        <w:t>XX公司文件</w:t>
      </w:r>
    </w:p>
    <w:p w14:paraId="4D02BBA5">
      <w:pPr>
        <w:pStyle w:val="13"/>
        <w:keepNext w:val="0"/>
        <w:keepLines w:val="0"/>
        <w:pageBreakBefore w:val="0"/>
        <w:widowControl/>
        <w:kinsoku/>
        <w:wordWrap/>
        <w:overflowPunct/>
        <w:topLinePunct w:val="0"/>
        <w:autoSpaceDE/>
        <w:autoSpaceDN/>
        <w:bidi w:val="0"/>
        <w:adjustRightInd/>
        <w:snapToGrid/>
        <w:spacing w:before="313" w:beforeLines="100" w:beforeAutospacing="0" w:after="0" w:afterAutospacing="0" w:line="560" w:lineRule="exact"/>
        <w:ind w:left="0" w:leftChars="0" w:firstLine="0" w:firstLineChars="0"/>
        <w:jc w:val="center"/>
        <w:textAlignment w:val="auto"/>
        <w:rPr>
          <w:rFonts w:hint="default" w:ascii="Times New Roman" w:hAnsi="Times New Roman" w:eastAsia="方正公文小标宋" w:cs="Times New Roman"/>
          <w:kern w:val="2"/>
          <w:sz w:val="44"/>
          <w:szCs w:val="44"/>
        </w:rPr>
      </w:pPr>
      <w:r>
        <w:rPr>
          <w:rFonts w:hint="default" w:ascii="Times New Roman" w:hAnsi="Times New Roman" w:eastAsia="方正公文小标宋" w:cs="Times New Roman"/>
          <w:kern w:val="2"/>
          <w:sz w:val="44"/>
          <w:szCs w:val="44"/>
        </w:rPr>
        <w:t>关于</w:t>
      </w:r>
      <w:r>
        <w:rPr>
          <w:rFonts w:hint="default" w:ascii="Times New Roman" w:hAnsi="Times New Roman" w:eastAsia="方正公文小标宋" w:cs="Times New Roman"/>
          <w:kern w:val="2"/>
          <w:sz w:val="44"/>
          <w:szCs w:val="44"/>
          <w:lang w:eastAsia="zh-CN"/>
        </w:rPr>
        <w:t>任命特种设备安全管理人员</w:t>
      </w:r>
      <w:r>
        <w:rPr>
          <w:rFonts w:hint="default" w:ascii="Times New Roman" w:hAnsi="Times New Roman" w:eastAsia="方正公文小标宋" w:cs="Times New Roman"/>
          <w:kern w:val="2"/>
          <w:sz w:val="44"/>
          <w:szCs w:val="44"/>
        </w:rPr>
        <w:t>的通知</w:t>
      </w:r>
    </w:p>
    <w:p w14:paraId="1A5E1BED">
      <w:pPr>
        <w:pStyle w:val="13"/>
        <w:keepNext w:val="0"/>
        <w:keepLines w:val="0"/>
        <w:pageBreakBefore w:val="0"/>
        <w:widowControl/>
        <w:kinsoku/>
        <w:wordWrap/>
        <w:overflowPunct/>
        <w:topLinePunct w:val="0"/>
        <w:autoSpaceDE/>
        <w:autoSpaceDN/>
        <w:bidi w:val="0"/>
        <w:adjustRightInd/>
        <w:snapToGrid/>
        <w:spacing w:before="313" w:beforeLines="100" w:beforeAutospacing="0" w:after="0" w:afterAutospacing="0" w:line="560" w:lineRule="exact"/>
        <w:ind w:firstLine="643" w:firstLineChars="200"/>
        <w:textAlignment w:val="auto"/>
        <w:rPr>
          <w:rFonts w:hint="default" w:ascii="Times New Roman" w:hAnsi="Times New Roman" w:eastAsia="仿宋" w:cs="Times New Roman"/>
          <w:b/>
          <w:bCs/>
          <w:kern w:val="2"/>
          <w:sz w:val="32"/>
          <w:szCs w:val="32"/>
        </w:rPr>
      </w:pPr>
      <w:r>
        <w:rPr>
          <w:rFonts w:hint="default" w:ascii="Times New Roman" w:hAnsi="Times New Roman" w:eastAsia="仿宋" w:cs="Times New Roman"/>
          <w:b/>
          <w:bCs/>
          <w:kern w:val="2"/>
          <w:sz w:val="32"/>
          <w:szCs w:val="32"/>
        </w:rPr>
        <w:t>为加强</w:t>
      </w:r>
      <w:r>
        <w:rPr>
          <w:rFonts w:hint="default" w:ascii="Times New Roman" w:hAnsi="Times New Roman" w:eastAsia="仿宋" w:cs="Times New Roman"/>
          <w:b/>
          <w:bCs/>
          <w:kern w:val="2"/>
          <w:sz w:val="32"/>
          <w:szCs w:val="32"/>
          <w:lang w:eastAsia="zh-CN"/>
        </w:rPr>
        <w:t>公司</w:t>
      </w:r>
      <w:r>
        <w:rPr>
          <w:rFonts w:hint="default" w:ascii="Times New Roman" w:hAnsi="Times New Roman" w:eastAsia="仿宋" w:cs="Times New Roman"/>
          <w:b/>
          <w:bCs/>
          <w:kern w:val="2"/>
          <w:sz w:val="32"/>
          <w:szCs w:val="32"/>
        </w:rPr>
        <w:t>特种设备使用安全管理，贯彻</w:t>
      </w:r>
      <w:r>
        <w:rPr>
          <w:rFonts w:hint="default" w:ascii="Times New Roman" w:hAnsi="Times New Roman" w:eastAsia="仿宋" w:cs="Times New Roman"/>
          <w:b/>
          <w:bCs/>
          <w:kern w:val="2"/>
          <w:sz w:val="32"/>
          <w:szCs w:val="32"/>
          <w:lang w:eastAsia="zh-CN"/>
        </w:rPr>
        <w:t>落实</w:t>
      </w:r>
      <w:r>
        <w:rPr>
          <w:rFonts w:hint="default" w:ascii="Times New Roman" w:hAnsi="Times New Roman" w:eastAsia="仿宋" w:cs="Times New Roman"/>
          <w:b/>
          <w:bCs/>
          <w:kern w:val="2"/>
          <w:sz w:val="32"/>
          <w:szCs w:val="32"/>
        </w:rPr>
        <w:t>特种设备</w:t>
      </w:r>
      <w:r>
        <w:rPr>
          <w:rFonts w:hint="default" w:ascii="Times New Roman" w:hAnsi="Times New Roman" w:eastAsia="仿宋" w:cs="Times New Roman"/>
          <w:b/>
          <w:bCs/>
          <w:kern w:val="2"/>
          <w:sz w:val="32"/>
          <w:szCs w:val="32"/>
          <w:lang w:eastAsia="zh-CN"/>
        </w:rPr>
        <w:t>安全</w:t>
      </w:r>
      <w:r>
        <w:rPr>
          <w:rFonts w:hint="default" w:ascii="Times New Roman" w:hAnsi="Times New Roman" w:eastAsia="仿宋" w:cs="Times New Roman"/>
          <w:b/>
          <w:bCs/>
          <w:kern w:val="2"/>
          <w:sz w:val="32"/>
          <w:szCs w:val="32"/>
        </w:rPr>
        <w:t>法律、法规和安全技术规范</w:t>
      </w:r>
      <w:r>
        <w:rPr>
          <w:rFonts w:hint="default" w:ascii="Times New Roman" w:hAnsi="Times New Roman" w:eastAsia="仿宋" w:cs="Times New Roman"/>
          <w:b/>
          <w:bCs/>
          <w:kern w:val="2"/>
          <w:sz w:val="32"/>
          <w:szCs w:val="32"/>
          <w:lang w:eastAsia="zh-CN"/>
        </w:rPr>
        <w:t>要求</w:t>
      </w:r>
      <w:r>
        <w:rPr>
          <w:rFonts w:hint="default" w:ascii="Times New Roman" w:hAnsi="Times New Roman" w:eastAsia="仿宋" w:cs="Times New Roman"/>
          <w:b/>
          <w:bCs/>
          <w:kern w:val="2"/>
          <w:sz w:val="32"/>
          <w:szCs w:val="32"/>
        </w:rPr>
        <w:t>，经研究决定</w:t>
      </w:r>
      <w:r>
        <w:rPr>
          <w:rFonts w:hint="default" w:ascii="Times New Roman" w:hAnsi="Times New Roman" w:eastAsia="仿宋" w:cs="Times New Roman"/>
          <w:b/>
          <w:bCs/>
          <w:kern w:val="2"/>
          <w:sz w:val="32"/>
          <w:szCs w:val="32"/>
          <w:lang w:eastAsia="zh-CN"/>
        </w:rPr>
        <w:t>任命以下人员为本公司特种设备安全管理人员</w:t>
      </w:r>
      <w:r>
        <w:rPr>
          <w:rFonts w:hint="default" w:ascii="Times New Roman" w:hAnsi="Times New Roman" w:eastAsia="仿宋" w:cs="Times New Roman"/>
          <w:b/>
          <w:bCs/>
          <w:kern w:val="2"/>
          <w:sz w:val="32"/>
          <w:szCs w:val="32"/>
        </w:rPr>
        <w:t>。</w:t>
      </w:r>
    </w:p>
    <w:p w14:paraId="0FB4C3CF">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eastAsia="zh-CN"/>
        </w:rPr>
        <w:t>任命</w:t>
      </w:r>
      <w:r>
        <w:rPr>
          <w:rFonts w:hint="default" w:ascii="Times New Roman" w:hAnsi="Times New Roman" w:eastAsia="仿宋" w:cs="Times New Roman"/>
          <w:b/>
          <w:bCs/>
          <w:kern w:val="2"/>
          <w:sz w:val="32"/>
          <w:szCs w:val="32"/>
          <w:lang w:val="en-US" w:eastAsia="zh-CN"/>
        </w:rPr>
        <w:t>XXX副总经理为特种设备安全管理负责人（特种设备安全总监）。</w:t>
      </w:r>
    </w:p>
    <w:p w14:paraId="533BC9FB">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任命XXX部长为特种设备专职安全管理员（特种设备安全员）</w:t>
      </w:r>
      <w:r>
        <w:rPr>
          <w:rFonts w:hint="eastAsia" w:ascii="方正楷体简体" w:hAnsi="方正楷体简体" w:eastAsia="方正楷体简体" w:cs="方正楷体简体"/>
          <w:b/>
          <w:bCs/>
          <w:color w:val="FF0000"/>
          <w:kern w:val="2"/>
          <w:sz w:val="32"/>
          <w:szCs w:val="32"/>
          <w:lang w:val="en-US" w:eastAsia="zh-CN"/>
        </w:rPr>
        <w:t>（注意：需持A证）</w:t>
      </w:r>
      <w:r>
        <w:rPr>
          <w:rFonts w:hint="default" w:ascii="Times New Roman" w:hAnsi="Times New Roman" w:eastAsia="仿宋" w:cs="Times New Roman"/>
          <w:b/>
          <w:bCs/>
          <w:kern w:val="2"/>
          <w:sz w:val="32"/>
          <w:szCs w:val="32"/>
          <w:lang w:val="en-US" w:eastAsia="zh-CN"/>
        </w:rPr>
        <w:t>。任命XXX（负责XX、XX类设备）、XXX（负责XX、XX类设备）......为特种设备安全员。</w:t>
      </w:r>
    </w:p>
    <w:p w14:paraId="69162DF8">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default" w:ascii="Times New Roman" w:hAnsi="Times New Roman" w:eastAsia="仿宋" w:cs="Times New Roman"/>
          <w:b/>
          <w:bCs/>
          <w:kern w:val="2"/>
          <w:sz w:val="32"/>
          <w:szCs w:val="32"/>
          <w:lang w:val="en-US" w:eastAsia="zh-CN"/>
        </w:rPr>
      </w:pPr>
    </w:p>
    <w:p w14:paraId="5D20AF4A">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1604" w:leftChars="200" w:hanging="964" w:hangingChars="3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附件：1.特种设备安全管理负责人（特种设备安全总监）职责</w:t>
      </w:r>
    </w:p>
    <w:p w14:paraId="1A6374ED">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1604" w:leftChars="200" w:hanging="964" w:hangingChars="3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 xml:space="preserve">      2.特种设备专职安全管理员（特种设备安全员）职责</w:t>
      </w:r>
    </w:p>
    <w:p w14:paraId="6156E5A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5663" w:leftChars="364" w:hanging="4498" w:hangingChars="1400"/>
        <w:textAlignment w:val="auto"/>
        <w:rPr>
          <w:rFonts w:hint="default" w:ascii="Times New Roman" w:hAnsi="Times New Roman" w:eastAsia="仿宋" w:cs="Times New Roman"/>
          <w:b/>
          <w:bCs/>
          <w:kern w:val="2"/>
          <w:sz w:val="32"/>
          <w:szCs w:val="32"/>
        </w:rPr>
      </w:pPr>
      <w:r>
        <w:rPr>
          <w:rFonts w:hint="default" w:ascii="Times New Roman" w:hAnsi="Times New Roman" w:eastAsia="仿宋" w:cs="Times New Roman"/>
          <w:b/>
          <w:bCs/>
          <w:kern w:val="2"/>
          <w:sz w:val="32"/>
          <w:szCs w:val="32"/>
        </w:rPr>
        <w:t xml:space="preserve">                                           </w:t>
      </w:r>
    </w:p>
    <w:p w14:paraId="7A696C73">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3855" w:firstLineChars="1200"/>
        <w:jc w:val="left"/>
        <w:textAlignment w:val="auto"/>
        <w:rPr>
          <w:rFonts w:hint="default" w:ascii="Times New Roman" w:hAnsi="Times New Roman" w:eastAsia="方正仿宋简体" w:cs="Times New Roman"/>
          <w:b/>
          <w:bCs/>
          <w:kern w:val="2"/>
          <w:sz w:val="32"/>
          <w:szCs w:val="32"/>
          <w:lang w:eastAsia="zh-CN"/>
        </w:rPr>
      </w:pPr>
      <w:r>
        <w:rPr>
          <w:rFonts w:hint="default" w:ascii="Times New Roman" w:hAnsi="Times New Roman" w:eastAsia="方正仿宋简体" w:cs="Times New Roman"/>
          <w:b/>
          <w:bCs/>
          <w:kern w:val="2"/>
          <w:sz w:val="32"/>
          <w:szCs w:val="32"/>
          <w:lang w:val="en-US" w:eastAsia="zh-CN"/>
        </w:rPr>
        <w:t>XXXX</w:t>
      </w:r>
      <w:r>
        <w:rPr>
          <w:rFonts w:hint="default" w:ascii="Times New Roman" w:hAnsi="Times New Roman" w:eastAsia="方正仿宋简体" w:cs="Times New Roman"/>
          <w:b/>
          <w:bCs/>
          <w:kern w:val="2"/>
          <w:sz w:val="32"/>
          <w:szCs w:val="32"/>
        </w:rPr>
        <w:t>有限公司</w:t>
      </w:r>
      <w:r>
        <w:rPr>
          <w:rFonts w:hint="default" w:ascii="Times New Roman" w:hAnsi="Times New Roman" w:eastAsia="方正仿宋简体" w:cs="Times New Roman"/>
          <w:b/>
          <w:bCs/>
          <w:kern w:val="2"/>
          <w:sz w:val="32"/>
          <w:szCs w:val="32"/>
          <w:lang w:eastAsia="zh-CN"/>
        </w:rPr>
        <w:t>（公司印章）</w:t>
      </w:r>
    </w:p>
    <w:p w14:paraId="5ED1C7BE">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765"/>
        <w:textAlignment w:val="auto"/>
        <w:rPr>
          <w:rFonts w:hint="default" w:ascii="Times New Roman" w:hAnsi="Times New Roman" w:eastAsia="方正仿宋简体" w:cs="Times New Roman"/>
          <w:b/>
          <w:bCs/>
          <w:kern w:val="2"/>
          <w:sz w:val="32"/>
          <w:szCs w:val="32"/>
        </w:rPr>
      </w:pPr>
      <w:r>
        <w:rPr>
          <w:rFonts w:hint="default" w:ascii="Times New Roman" w:hAnsi="Times New Roman" w:eastAsia="方正仿宋简体" w:cs="Times New Roman"/>
          <w:b/>
          <w:bCs/>
          <w:kern w:val="2"/>
          <w:sz w:val="32"/>
          <w:szCs w:val="32"/>
        </w:rPr>
        <w:t xml:space="preserve">                   20</w:t>
      </w:r>
      <w:r>
        <w:rPr>
          <w:rFonts w:hint="default" w:ascii="Times New Roman" w:hAnsi="Times New Roman" w:eastAsia="方正仿宋简体" w:cs="Times New Roman"/>
          <w:b/>
          <w:bCs/>
          <w:kern w:val="2"/>
          <w:sz w:val="32"/>
          <w:szCs w:val="32"/>
          <w:lang w:val="en-US" w:eastAsia="zh-CN"/>
        </w:rPr>
        <w:t>2X</w:t>
      </w:r>
      <w:r>
        <w:rPr>
          <w:rFonts w:hint="default" w:ascii="Times New Roman" w:hAnsi="Times New Roman" w:eastAsia="方正仿宋简体" w:cs="Times New Roman"/>
          <w:b/>
          <w:bCs/>
          <w:kern w:val="2"/>
          <w:sz w:val="32"/>
          <w:szCs w:val="32"/>
        </w:rPr>
        <w:t>年</w:t>
      </w:r>
      <w:r>
        <w:rPr>
          <w:rFonts w:hint="default" w:ascii="Times New Roman" w:hAnsi="Times New Roman" w:eastAsia="方正仿宋简体" w:cs="Times New Roman"/>
          <w:b/>
          <w:bCs/>
          <w:kern w:val="2"/>
          <w:sz w:val="32"/>
          <w:szCs w:val="32"/>
          <w:lang w:val="en-US" w:eastAsia="zh-CN"/>
        </w:rPr>
        <w:t>XX</w:t>
      </w:r>
      <w:r>
        <w:rPr>
          <w:rFonts w:hint="default" w:ascii="Times New Roman" w:hAnsi="Times New Roman" w:eastAsia="方正仿宋简体" w:cs="Times New Roman"/>
          <w:b/>
          <w:bCs/>
          <w:kern w:val="2"/>
          <w:sz w:val="32"/>
          <w:szCs w:val="32"/>
        </w:rPr>
        <w:t>月</w:t>
      </w:r>
      <w:r>
        <w:rPr>
          <w:rFonts w:hint="default" w:ascii="Times New Roman" w:hAnsi="Times New Roman" w:eastAsia="方正仿宋简体" w:cs="Times New Roman"/>
          <w:b/>
          <w:bCs/>
          <w:kern w:val="2"/>
          <w:sz w:val="32"/>
          <w:szCs w:val="32"/>
          <w:lang w:val="en-US" w:eastAsia="zh-CN"/>
        </w:rPr>
        <w:t>XX</w:t>
      </w:r>
      <w:r>
        <w:rPr>
          <w:rFonts w:hint="default" w:ascii="Times New Roman" w:hAnsi="Times New Roman" w:eastAsia="方正仿宋简体" w:cs="Times New Roman"/>
          <w:b/>
          <w:bCs/>
          <w:kern w:val="2"/>
          <w:sz w:val="32"/>
          <w:szCs w:val="32"/>
        </w:rPr>
        <w:t>日</w:t>
      </w:r>
    </w:p>
    <w:p w14:paraId="1BDC43B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bCs/>
          <w:lang w:val="en-US" w:eastAsia="zh-CN"/>
        </w:rPr>
      </w:pPr>
      <w:r>
        <w:rPr>
          <w:rFonts w:hint="default" w:ascii="Times New Roman" w:hAnsi="Times New Roman" w:eastAsia="黑体" w:cs="Times New Roman"/>
          <w:kern w:val="2"/>
        </w:rPr>
        <w:br w:type="page"/>
      </w:r>
      <w:r>
        <w:rPr>
          <w:rFonts w:hint="default" w:ascii="Times New Roman" w:hAnsi="Times New Roman" w:eastAsia="黑体" w:cs="Times New Roman"/>
          <w:b/>
          <w:bCs/>
          <w:lang w:val="en-US" w:eastAsia="zh-CN"/>
        </w:rPr>
        <w:t>附件1-3</w:t>
      </w:r>
      <w:r>
        <w:rPr>
          <w:rFonts w:hint="default" w:ascii="Times New Roman" w:hAnsi="Times New Roman" w:cs="Times New Roman"/>
          <w:b/>
          <w:bCs/>
          <w:lang w:val="en-US" w:eastAsia="zh-CN"/>
        </w:rPr>
        <w:t>（适用于无需设置安全管理机构且无需任命专职安全管理员的单位）</w:t>
      </w:r>
    </w:p>
    <w:p w14:paraId="7F9C5FB7">
      <w:pPr>
        <w:pStyle w:val="13"/>
        <w:pageBreakBefore w:val="0"/>
        <w:kinsoku/>
        <w:wordWrap/>
        <w:overflowPunct/>
        <w:topLinePunct w:val="0"/>
        <w:autoSpaceDE/>
        <w:autoSpaceDN/>
        <w:bidi w:val="0"/>
        <w:adjustRightInd/>
        <w:snapToGrid/>
        <w:spacing w:before="0" w:beforeAutospacing="0" w:after="0" w:afterAutospacing="0" w:line="560" w:lineRule="exact"/>
        <w:jc w:val="center"/>
        <w:textAlignment w:val="auto"/>
        <w:rPr>
          <w:rFonts w:hint="default" w:ascii="Times New Roman" w:hAnsi="Times New Roman" w:eastAsia="黑体" w:cs="Times New Roman"/>
          <w:kern w:val="2"/>
          <w:sz w:val="44"/>
          <w:szCs w:val="44"/>
          <w:lang w:val="en-US" w:eastAsia="zh-CN"/>
        </w:rPr>
      </w:pPr>
    </w:p>
    <w:p w14:paraId="512293A8">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firstLine="0" w:firstLineChars="0"/>
        <w:jc w:val="center"/>
        <w:textAlignment w:val="auto"/>
        <w:rPr>
          <w:rFonts w:hint="default" w:ascii="Times New Roman" w:hAnsi="Times New Roman" w:eastAsia="方正公文小标宋" w:cs="Times New Roman"/>
          <w:color w:val="FF0000"/>
          <w:kern w:val="2"/>
          <w:sz w:val="44"/>
          <w:szCs w:val="44"/>
          <w:lang w:val="en-US" w:eastAsia="zh-CN"/>
        </w:rPr>
      </w:pPr>
      <w:r>
        <w:rPr>
          <w:rFonts w:hint="default" w:ascii="Times New Roman" w:hAnsi="Times New Roman" w:eastAsia="方正公文小标宋" w:cs="Times New Roman"/>
          <w:color w:val="FF0000"/>
          <w:kern w:val="2"/>
          <w:sz w:val="44"/>
          <w:szCs w:val="44"/>
          <w:lang w:val="en-US" w:eastAsia="zh-CN"/>
        </w:rPr>
        <w:t>XX公司文件</w:t>
      </w:r>
    </w:p>
    <w:p w14:paraId="643E13EE">
      <w:pPr>
        <w:pStyle w:val="13"/>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560" w:lineRule="exact"/>
        <w:ind w:left="0" w:leftChars="0" w:firstLine="0" w:firstLineChars="0"/>
        <w:jc w:val="center"/>
        <w:textAlignment w:val="auto"/>
        <w:rPr>
          <w:rFonts w:hint="default" w:ascii="Times New Roman" w:hAnsi="Times New Roman" w:eastAsia="方正公文小标宋" w:cs="Times New Roman"/>
          <w:kern w:val="2"/>
          <w:sz w:val="44"/>
          <w:szCs w:val="44"/>
        </w:rPr>
      </w:pPr>
      <w:r>
        <w:rPr>
          <w:rFonts w:hint="default" w:ascii="Times New Roman" w:hAnsi="Times New Roman" w:eastAsia="方正公文小标宋" w:cs="Times New Roman"/>
          <w:kern w:val="2"/>
          <w:sz w:val="44"/>
          <w:szCs w:val="44"/>
        </w:rPr>
        <w:t>关于</w:t>
      </w:r>
      <w:r>
        <w:rPr>
          <w:rFonts w:hint="default" w:ascii="Times New Roman" w:hAnsi="Times New Roman" w:eastAsia="方正公文小标宋" w:cs="Times New Roman"/>
          <w:kern w:val="2"/>
          <w:sz w:val="44"/>
          <w:szCs w:val="44"/>
          <w:lang w:eastAsia="zh-CN"/>
        </w:rPr>
        <w:t>任命特种设备安全管理人员</w:t>
      </w:r>
      <w:r>
        <w:rPr>
          <w:rFonts w:hint="default" w:ascii="Times New Roman" w:hAnsi="Times New Roman" w:eastAsia="方正公文小标宋" w:cs="Times New Roman"/>
          <w:kern w:val="2"/>
          <w:sz w:val="44"/>
          <w:szCs w:val="44"/>
        </w:rPr>
        <w:t>的通知</w:t>
      </w:r>
    </w:p>
    <w:p w14:paraId="36596588">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default" w:ascii="Times New Roman" w:hAnsi="Times New Roman" w:eastAsia="仿宋" w:cs="Times New Roman"/>
          <w:b/>
          <w:bCs/>
          <w:kern w:val="2"/>
          <w:sz w:val="32"/>
          <w:szCs w:val="32"/>
        </w:rPr>
      </w:pPr>
      <w:r>
        <w:rPr>
          <w:rFonts w:hint="default" w:ascii="Times New Roman" w:hAnsi="Times New Roman" w:eastAsia="仿宋" w:cs="Times New Roman"/>
          <w:b/>
          <w:bCs/>
          <w:kern w:val="2"/>
          <w:sz w:val="32"/>
          <w:szCs w:val="32"/>
        </w:rPr>
        <w:t>为加强</w:t>
      </w:r>
      <w:r>
        <w:rPr>
          <w:rFonts w:hint="default" w:ascii="Times New Roman" w:hAnsi="Times New Roman" w:eastAsia="仿宋" w:cs="Times New Roman"/>
          <w:b/>
          <w:bCs/>
          <w:kern w:val="2"/>
          <w:sz w:val="32"/>
          <w:szCs w:val="32"/>
          <w:lang w:eastAsia="zh-CN"/>
        </w:rPr>
        <w:t>公司</w:t>
      </w:r>
      <w:r>
        <w:rPr>
          <w:rFonts w:hint="default" w:ascii="Times New Roman" w:hAnsi="Times New Roman" w:eastAsia="仿宋" w:cs="Times New Roman"/>
          <w:b/>
          <w:bCs/>
          <w:kern w:val="2"/>
          <w:sz w:val="32"/>
          <w:szCs w:val="32"/>
        </w:rPr>
        <w:t>特种设备使用安全管理，贯彻</w:t>
      </w:r>
      <w:r>
        <w:rPr>
          <w:rFonts w:hint="default" w:ascii="Times New Roman" w:hAnsi="Times New Roman" w:eastAsia="仿宋" w:cs="Times New Roman"/>
          <w:b/>
          <w:bCs/>
          <w:kern w:val="2"/>
          <w:sz w:val="32"/>
          <w:szCs w:val="32"/>
          <w:lang w:eastAsia="zh-CN"/>
        </w:rPr>
        <w:t>落实</w:t>
      </w:r>
      <w:r>
        <w:rPr>
          <w:rFonts w:hint="default" w:ascii="Times New Roman" w:hAnsi="Times New Roman" w:eastAsia="仿宋" w:cs="Times New Roman"/>
          <w:b/>
          <w:bCs/>
          <w:kern w:val="2"/>
          <w:sz w:val="32"/>
          <w:szCs w:val="32"/>
        </w:rPr>
        <w:t>特种设备</w:t>
      </w:r>
      <w:r>
        <w:rPr>
          <w:rFonts w:hint="default" w:ascii="Times New Roman" w:hAnsi="Times New Roman" w:eastAsia="仿宋" w:cs="Times New Roman"/>
          <w:b/>
          <w:bCs/>
          <w:kern w:val="2"/>
          <w:sz w:val="32"/>
          <w:szCs w:val="32"/>
          <w:lang w:eastAsia="zh-CN"/>
        </w:rPr>
        <w:t>安全</w:t>
      </w:r>
      <w:r>
        <w:rPr>
          <w:rFonts w:hint="default" w:ascii="Times New Roman" w:hAnsi="Times New Roman" w:eastAsia="仿宋" w:cs="Times New Roman"/>
          <w:b/>
          <w:bCs/>
          <w:kern w:val="2"/>
          <w:sz w:val="32"/>
          <w:szCs w:val="32"/>
        </w:rPr>
        <w:t>法律、法规和安全技术规范</w:t>
      </w:r>
      <w:r>
        <w:rPr>
          <w:rFonts w:hint="default" w:ascii="Times New Roman" w:hAnsi="Times New Roman" w:eastAsia="仿宋" w:cs="Times New Roman"/>
          <w:b/>
          <w:bCs/>
          <w:kern w:val="2"/>
          <w:sz w:val="32"/>
          <w:szCs w:val="32"/>
          <w:lang w:eastAsia="zh-CN"/>
        </w:rPr>
        <w:t>要求</w:t>
      </w:r>
      <w:r>
        <w:rPr>
          <w:rFonts w:hint="default" w:ascii="Times New Roman" w:hAnsi="Times New Roman" w:eastAsia="仿宋" w:cs="Times New Roman"/>
          <w:b/>
          <w:bCs/>
          <w:kern w:val="2"/>
          <w:sz w:val="32"/>
          <w:szCs w:val="32"/>
        </w:rPr>
        <w:t>，经研究决定</w:t>
      </w:r>
      <w:r>
        <w:rPr>
          <w:rFonts w:hint="default" w:ascii="Times New Roman" w:hAnsi="Times New Roman" w:eastAsia="仿宋" w:cs="Times New Roman"/>
          <w:b/>
          <w:bCs/>
          <w:kern w:val="2"/>
          <w:sz w:val="32"/>
          <w:szCs w:val="32"/>
          <w:lang w:eastAsia="zh-CN"/>
        </w:rPr>
        <w:t>任命以下人员为本公司特种设备安全管理人员</w:t>
      </w:r>
      <w:r>
        <w:rPr>
          <w:rFonts w:hint="default" w:ascii="Times New Roman" w:hAnsi="Times New Roman" w:eastAsia="仿宋" w:cs="Times New Roman"/>
          <w:b/>
          <w:bCs/>
          <w:kern w:val="2"/>
          <w:sz w:val="32"/>
          <w:szCs w:val="32"/>
        </w:rPr>
        <w:t>。</w:t>
      </w:r>
    </w:p>
    <w:p w14:paraId="6E83E31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eastAsia="zh-CN"/>
        </w:rPr>
        <w:t>任命</w:t>
      </w:r>
      <w:r>
        <w:rPr>
          <w:rFonts w:hint="default" w:ascii="Times New Roman" w:hAnsi="Times New Roman" w:eastAsia="仿宋" w:cs="Times New Roman"/>
          <w:b/>
          <w:bCs/>
          <w:kern w:val="2"/>
          <w:sz w:val="32"/>
          <w:szCs w:val="32"/>
          <w:lang w:val="en-US" w:eastAsia="zh-CN"/>
        </w:rPr>
        <w:t>XXX副总经理为特种设备安全管理负责人（特种设备安全总监）。</w:t>
      </w:r>
    </w:p>
    <w:p w14:paraId="60BC6D7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任命XXX部长为特种设备安全管理员（特种设备安全员）</w:t>
      </w:r>
      <w:r>
        <w:rPr>
          <w:rFonts w:hint="eastAsia" w:ascii="Times New Roman" w:hAnsi="Times New Roman" w:eastAsia="仿宋" w:cs="Times New Roman"/>
          <w:b/>
          <w:bCs/>
          <w:kern w:val="2"/>
          <w:sz w:val="32"/>
          <w:szCs w:val="32"/>
          <w:lang w:val="en-US" w:eastAsia="zh-CN"/>
        </w:rPr>
        <w:t>，</w:t>
      </w:r>
      <w:r>
        <w:rPr>
          <w:rFonts w:hint="default" w:ascii="Times New Roman" w:hAnsi="Times New Roman" w:eastAsia="仿宋" w:cs="Times New Roman"/>
          <w:b/>
          <w:bCs/>
          <w:kern w:val="2"/>
          <w:sz w:val="32"/>
          <w:szCs w:val="32"/>
          <w:lang w:val="en-US" w:eastAsia="zh-CN"/>
        </w:rPr>
        <w:t>任命XXX（负责XX、XX类设备）、XXX（负责XX、XX类设备）......为特种设备安全员。</w:t>
      </w:r>
    </w:p>
    <w:p w14:paraId="6D3E290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textAlignment w:val="auto"/>
        <w:rPr>
          <w:rFonts w:hint="default" w:ascii="Times New Roman" w:hAnsi="Times New Roman" w:eastAsia="仿宋" w:cs="Times New Roman"/>
          <w:b/>
          <w:bCs/>
          <w:kern w:val="2"/>
          <w:sz w:val="32"/>
          <w:szCs w:val="32"/>
          <w:lang w:val="en-US" w:eastAsia="zh-CN"/>
        </w:rPr>
      </w:pPr>
    </w:p>
    <w:p w14:paraId="0F6B734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1604" w:leftChars="200" w:hanging="964" w:hangingChars="3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附件：1.特种设备安全管理负责人（特种设备安全总监）职责</w:t>
      </w:r>
    </w:p>
    <w:p w14:paraId="50A791EB">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1604" w:leftChars="200" w:hanging="964" w:hangingChars="300"/>
        <w:textAlignment w:val="auto"/>
        <w:rPr>
          <w:rFonts w:hint="default" w:ascii="Times New Roman" w:hAnsi="Times New Roman" w:eastAsia="仿宋" w:cs="Times New Roman"/>
          <w:b/>
          <w:bCs/>
          <w:kern w:val="2"/>
          <w:sz w:val="32"/>
          <w:szCs w:val="32"/>
          <w:lang w:val="en-US" w:eastAsia="zh-CN"/>
        </w:rPr>
      </w:pPr>
      <w:r>
        <w:rPr>
          <w:rFonts w:hint="default" w:ascii="Times New Roman" w:hAnsi="Times New Roman" w:eastAsia="仿宋" w:cs="Times New Roman"/>
          <w:b/>
          <w:bCs/>
          <w:kern w:val="2"/>
          <w:sz w:val="32"/>
          <w:szCs w:val="32"/>
          <w:lang w:val="en-US" w:eastAsia="zh-CN"/>
        </w:rPr>
        <w:t xml:space="preserve">      2.特种设备专职安全管理员（特种设备安全员）职责</w:t>
      </w:r>
    </w:p>
    <w:p w14:paraId="46F91E6F">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5663" w:leftChars="364" w:hanging="4498" w:hangingChars="1400"/>
        <w:textAlignment w:val="auto"/>
        <w:rPr>
          <w:rFonts w:hint="default" w:ascii="Times New Roman" w:hAnsi="Times New Roman" w:eastAsia="仿宋" w:cs="Times New Roman"/>
          <w:b/>
          <w:bCs/>
          <w:kern w:val="2"/>
          <w:sz w:val="32"/>
          <w:szCs w:val="32"/>
        </w:rPr>
      </w:pPr>
      <w:r>
        <w:rPr>
          <w:rFonts w:hint="default" w:ascii="Times New Roman" w:hAnsi="Times New Roman" w:eastAsia="仿宋" w:cs="Times New Roman"/>
          <w:b/>
          <w:bCs/>
          <w:kern w:val="2"/>
          <w:sz w:val="32"/>
          <w:szCs w:val="32"/>
        </w:rPr>
        <w:t xml:space="preserve">                                           </w:t>
      </w:r>
    </w:p>
    <w:p w14:paraId="309A191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3855" w:firstLineChars="1200"/>
        <w:jc w:val="left"/>
        <w:textAlignment w:val="auto"/>
        <w:rPr>
          <w:rFonts w:hint="default" w:ascii="Times New Roman" w:hAnsi="Times New Roman" w:eastAsia="方正仿宋简体" w:cs="Times New Roman"/>
          <w:b/>
          <w:bCs/>
          <w:kern w:val="2"/>
          <w:sz w:val="32"/>
          <w:szCs w:val="32"/>
          <w:lang w:val="en-US" w:eastAsia="zh-CN"/>
        </w:rPr>
      </w:pPr>
    </w:p>
    <w:p w14:paraId="4FD8E6A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3855" w:firstLineChars="1200"/>
        <w:jc w:val="left"/>
        <w:textAlignment w:val="auto"/>
        <w:rPr>
          <w:rFonts w:hint="default" w:ascii="Times New Roman" w:hAnsi="Times New Roman" w:eastAsia="方正仿宋简体" w:cs="Times New Roman"/>
          <w:b/>
          <w:bCs/>
          <w:kern w:val="2"/>
          <w:sz w:val="32"/>
          <w:szCs w:val="32"/>
          <w:lang w:eastAsia="zh-CN"/>
        </w:rPr>
      </w:pPr>
      <w:r>
        <w:rPr>
          <w:rFonts w:hint="default" w:ascii="Times New Roman" w:hAnsi="Times New Roman" w:eastAsia="方正仿宋简体" w:cs="Times New Roman"/>
          <w:b/>
          <w:bCs/>
          <w:kern w:val="2"/>
          <w:sz w:val="32"/>
          <w:szCs w:val="32"/>
          <w:lang w:val="en-US" w:eastAsia="zh-CN"/>
        </w:rPr>
        <w:t>XXXX</w:t>
      </w:r>
      <w:r>
        <w:rPr>
          <w:rFonts w:hint="default" w:ascii="Times New Roman" w:hAnsi="Times New Roman" w:eastAsia="方正仿宋简体" w:cs="Times New Roman"/>
          <w:b/>
          <w:bCs/>
          <w:kern w:val="2"/>
          <w:sz w:val="32"/>
          <w:szCs w:val="32"/>
        </w:rPr>
        <w:t>有限公司</w:t>
      </w:r>
      <w:r>
        <w:rPr>
          <w:rFonts w:hint="default" w:ascii="Times New Roman" w:hAnsi="Times New Roman" w:eastAsia="方正仿宋简体" w:cs="Times New Roman"/>
          <w:b/>
          <w:bCs/>
          <w:kern w:val="2"/>
          <w:sz w:val="32"/>
          <w:szCs w:val="32"/>
          <w:lang w:eastAsia="zh-CN"/>
        </w:rPr>
        <w:t>（公司印章）</w:t>
      </w:r>
    </w:p>
    <w:p w14:paraId="634E7B0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765"/>
        <w:textAlignment w:val="auto"/>
        <w:rPr>
          <w:rFonts w:hint="default" w:ascii="Times New Roman" w:hAnsi="Times New Roman" w:eastAsia="方正仿宋简体" w:cs="Times New Roman"/>
          <w:b/>
          <w:bCs/>
          <w:kern w:val="2"/>
          <w:sz w:val="32"/>
          <w:szCs w:val="32"/>
        </w:rPr>
      </w:pPr>
      <w:r>
        <w:rPr>
          <w:rFonts w:hint="default" w:ascii="Times New Roman" w:hAnsi="Times New Roman" w:eastAsia="方正仿宋简体" w:cs="Times New Roman"/>
          <w:b/>
          <w:bCs/>
          <w:kern w:val="2"/>
          <w:sz w:val="32"/>
          <w:szCs w:val="32"/>
        </w:rPr>
        <w:t xml:space="preserve">                  20</w:t>
      </w:r>
      <w:r>
        <w:rPr>
          <w:rFonts w:hint="default" w:ascii="Times New Roman" w:hAnsi="Times New Roman" w:eastAsia="方正仿宋简体" w:cs="Times New Roman"/>
          <w:b/>
          <w:bCs/>
          <w:kern w:val="2"/>
          <w:sz w:val="32"/>
          <w:szCs w:val="32"/>
          <w:lang w:val="en-US" w:eastAsia="zh-CN"/>
        </w:rPr>
        <w:t>2X</w:t>
      </w:r>
      <w:r>
        <w:rPr>
          <w:rFonts w:hint="default" w:ascii="Times New Roman" w:hAnsi="Times New Roman" w:eastAsia="方正仿宋简体" w:cs="Times New Roman"/>
          <w:b/>
          <w:bCs/>
          <w:kern w:val="2"/>
          <w:sz w:val="32"/>
          <w:szCs w:val="32"/>
        </w:rPr>
        <w:t>年</w:t>
      </w:r>
      <w:r>
        <w:rPr>
          <w:rFonts w:hint="default" w:ascii="Times New Roman" w:hAnsi="Times New Roman" w:eastAsia="方正仿宋简体" w:cs="Times New Roman"/>
          <w:b/>
          <w:bCs/>
          <w:kern w:val="2"/>
          <w:sz w:val="32"/>
          <w:szCs w:val="32"/>
          <w:lang w:val="en-US" w:eastAsia="zh-CN"/>
        </w:rPr>
        <w:t>XX</w:t>
      </w:r>
      <w:r>
        <w:rPr>
          <w:rFonts w:hint="default" w:ascii="Times New Roman" w:hAnsi="Times New Roman" w:eastAsia="方正仿宋简体" w:cs="Times New Roman"/>
          <w:b/>
          <w:bCs/>
          <w:kern w:val="2"/>
          <w:sz w:val="32"/>
          <w:szCs w:val="32"/>
        </w:rPr>
        <w:t>月</w:t>
      </w:r>
      <w:r>
        <w:rPr>
          <w:rFonts w:hint="default" w:ascii="Times New Roman" w:hAnsi="Times New Roman" w:eastAsia="方正仿宋简体" w:cs="Times New Roman"/>
          <w:b/>
          <w:bCs/>
          <w:kern w:val="2"/>
          <w:sz w:val="32"/>
          <w:szCs w:val="32"/>
          <w:lang w:val="en-US" w:eastAsia="zh-CN"/>
        </w:rPr>
        <w:t>XX</w:t>
      </w:r>
      <w:r>
        <w:rPr>
          <w:rFonts w:hint="default" w:ascii="Times New Roman" w:hAnsi="Times New Roman" w:eastAsia="方正仿宋简体" w:cs="Times New Roman"/>
          <w:b/>
          <w:bCs/>
          <w:kern w:val="2"/>
          <w:sz w:val="32"/>
          <w:szCs w:val="32"/>
        </w:rPr>
        <w:t>日</w:t>
      </w:r>
    </w:p>
    <w:p w14:paraId="23D62650">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bCs/>
          <w:lang w:val="en-US" w:eastAsia="zh-CN"/>
        </w:rPr>
      </w:pPr>
      <w:r>
        <w:rPr>
          <w:rFonts w:hint="default" w:ascii="Times New Roman" w:hAnsi="Times New Roman" w:eastAsia="黑体" w:cs="Times New Roman"/>
          <w:b/>
          <w:bCs/>
          <w:lang w:val="en-US" w:eastAsia="zh-CN"/>
        </w:rPr>
        <w:br w:type="page"/>
      </w:r>
    </w:p>
    <w:p w14:paraId="73F7A57B">
      <w:pPr>
        <w:pStyle w:val="2"/>
        <w:bidi w:val="0"/>
        <w:ind w:left="0" w:leftChars="0" w:firstLine="0" w:firstLineChars="0"/>
        <w:rPr>
          <w:rFonts w:hint="default"/>
          <w:b/>
          <w:bCs/>
          <w:lang w:val="en-US" w:eastAsia="zh-CN"/>
        </w:rPr>
      </w:pPr>
      <w:bookmarkStart w:id="56" w:name="_Toc16030"/>
      <w:r>
        <w:rPr>
          <w:rFonts w:hint="default"/>
          <w:b/>
          <w:bCs/>
          <w:lang w:val="en-US" w:eastAsia="zh-CN"/>
        </w:rPr>
        <w:t>附件2</w:t>
      </w:r>
      <w:r>
        <w:rPr>
          <w:rFonts w:hint="default"/>
          <w:b/>
          <w:bCs/>
          <w:lang w:eastAsia="zh-CN"/>
        </w:rPr>
        <w:t>特种设备安全管理制度参考模板</w:t>
      </w:r>
      <w:bookmarkEnd w:id="56"/>
    </w:p>
    <w:p w14:paraId="2D4E2A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cs="Times New Roman"/>
          <w:b/>
          <w:bCs/>
          <w:lang w:val="en-US" w:eastAsia="zh-CN"/>
        </w:rPr>
      </w:pPr>
    </w:p>
    <w:p w14:paraId="63F10B1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特种设备维护保养、定期自行检查制度</w:t>
      </w:r>
    </w:p>
    <w:p w14:paraId="28CD114B">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lang w:eastAsia="zh-CN"/>
        </w:rPr>
        <w:t>（参考模板）</w:t>
      </w:r>
    </w:p>
    <w:p w14:paraId="4DDB88E3">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4"/>
          <w:szCs w:val="24"/>
        </w:rPr>
      </w:pPr>
    </w:p>
    <w:p w14:paraId="5085074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1.为确保公司特种设备在使用中安全运转，设备管理部门应开展特种设备经常性维护保养和定期自行检查，坚持以维护为主的原则，严格执行岗位责任制，确保在用设备每台完好。</w:t>
      </w:r>
    </w:p>
    <w:p w14:paraId="0872E9DA">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2.特种设备管理部门制定实施计划，操作工负责日常维护保养，设备检修工负责设备定期自行检查。</w:t>
      </w:r>
    </w:p>
    <w:p w14:paraId="4AB6849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特种设备作业人员对所使用的设备，通过培训和学习，对设备做到懂结构、懂工艺、懂性能、懂用途；会使用、会维护保养、会排除故障，并有权制止他人私自动用自己操作的设备；未采取防范措施或未经主管部门审批超负荷使用设备，有权停止使用；发现设备运转不正常，超期不检修，安全装置不符合规定应立即上报，如不能立即处理和采取相应措施，有权停止使用。</w:t>
      </w:r>
    </w:p>
    <w:p w14:paraId="5E010D3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4.特种设备经常性维护保养和定期自查遵从谁使用谁负责的原则，按照要求执行，做好相关保养和自查记录。</w:t>
      </w:r>
    </w:p>
    <w:p w14:paraId="76740F8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5.经常性(日常)维护保养：</w:t>
      </w:r>
    </w:p>
    <w:p w14:paraId="5B77AD6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作业人员每日对设备进行维护保养，维护保养应当符合使用设备的安全技术规范和产品使用维护保养说明的要求。对设备清洁、润滑、调整、紧固、防腐，更换不符合要求的易损件，保持零件的完好无缺，在维护保养中发现的异常情况应及时处理，并且做出记录，保证在用特种设备始终处于正常使用状态。</w:t>
      </w:r>
    </w:p>
    <w:p w14:paraId="5465A97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6.长期自行检查：</w:t>
      </w:r>
    </w:p>
    <w:p w14:paraId="673CEABF">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定期自行检查的时间、内容和要求应符合安全技术规范规定及产品使用维护保养要求。</w:t>
      </w:r>
    </w:p>
    <w:p w14:paraId="3C70C0F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定期检查根据特种设备的类别、品种和特性进行。</w:t>
      </w:r>
    </w:p>
    <w:p w14:paraId="4D5C3FD8">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7.作业人员应正确使用设备，严格执行操作规程操作，参加各项培训，掌握设备的故障预防、判断和紧急处理措施，保持安全防护装置完整好用。</w:t>
      </w:r>
    </w:p>
    <w:p w14:paraId="3DA40B7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8.设备检修工定时按巡回检查，对设备进行仔细检查，发现问题，及时解决，排除隐患。</w:t>
      </w:r>
    </w:p>
    <w:p w14:paraId="069BC9F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9.做好日常保养、定期自行检查的有关记录。</w:t>
      </w:r>
    </w:p>
    <w:p w14:paraId="705780E2">
      <w:pPr>
        <w:keepNext w:val="0"/>
        <w:keepLines w:val="0"/>
        <w:pageBreakBefore w:val="0"/>
        <w:widowControl w:val="0"/>
        <w:kinsoku/>
        <w:wordWrap/>
        <w:overflowPunct/>
        <w:topLinePunct w:val="0"/>
        <w:autoSpaceDE/>
        <w:autoSpaceDN/>
        <w:bidi w:val="0"/>
        <w:adjustRightInd/>
        <w:snapToGrid/>
        <w:spacing w:line="560" w:lineRule="exact"/>
        <w:ind w:left="0" w:firstLine="883"/>
        <w:jc w:val="center"/>
        <w:textAlignment w:val="auto"/>
        <w:rPr>
          <w:rFonts w:hint="default" w:ascii="Times New Roman" w:hAnsi="Times New Roman" w:eastAsia="黑体" w:cs="Times New Roman"/>
          <w:sz w:val="44"/>
          <w:szCs w:val="44"/>
        </w:rPr>
      </w:pPr>
    </w:p>
    <w:p w14:paraId="6EEF6C5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特种设备使用登记、定期检验管理制度</w:t>
      </w:r>
    </w:p>
    <w:p w14:paraId="75DB93C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lang w:eastAsia="zh-CN"/>
        </w:rPr>
        <w:t>（参考模板）</w:t>
      </w:r>
    </w:p>
    <w:p w14:paraId="7DCABE27">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4"/>
          <w:szCs w:val="24"/>
        </w:rPr>
      </w:pPr>
    </w:p>
    <w:p w14:paraId="141DB93F">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特种设备</w:t>
      </w:r>
      <w:r>
        <w:rPr>
          <w:rFonts w:hint="default" w:ascii="Times New Roman" w:hAnsi="Times New Roman" w:cs="Times New Roman"/>
        </w:rPr>
        <w:t>安全管理机构和</w:t>
      </w:r>
      <w:r>
        <w:rPr>
          <w:rFonts w:hint="default" w:ascii="Times New Roman" w:hAnsi="Times New Roman" w:cs="Times New Roman"/>
          <w:lang w:eastAsia="zh-CN"/>
        </w:rPr>
        <w:t>安全</w:t>
      </w:r>
      <w:r>
        <w:rPr>
          <w:rFonts w:hint="default" w:ascii="Times New Roman" w:hAnsi="Times New Roman" w:cs="Times New Roman"/>
        </w:rPr>
        <w:t>管理人员要熟悉并掌握公司特种设备使用和定期检验情况，根据本公司的实际制定定期检验检查计划，确保</w:t>
      </w:r>
      <w:r>
        <w:rPr>
          <w:rFonts w:hint="default" w:ascii="Times New Roman" w:hAnsi="Times New Roman" w:cs="Times New Roman"/>
          <w:lang w:eastAsia="zh-CN"/>
        </w:rPr>
        <w:t>特种</w:t>
      </w:r>
      <w:r>
        <w:rPr>
          <w:rFonts w:hint="default" w:ascii="Times New Roman" w:hAnsi="Times New Roman" w:cs="Times New Roman"/>
        </w:rPr>
        <w:t>设备定期检查工作如期实施。</w:t>
      </w:r>
    </w:p>
    <w:p w14:paraId="5106A44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一、</w:t>
      </w:r>
      <w:r>
        <w:rPr>
          <w:rFonts w:hint="default" w:ascii="Times New Roman" w:hAnsi="Times New Roman" w:cs="Times New Roman"/>
        </w:rPr>
        <w:t>特种设备使用登记</w:t>
      </w:r>
    </w:p>
    <w:p w14:paraId="558D05C6">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特种设备在投人使用前，应当按相关规定进行登记和办理相关手续。</w:t>
      </w:r>
    </w:p>
    <w:p w14:paraId="17A1D2D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应建立特种设备台账，包括特种设备名称、型号、使用地点、使用证号、登记日期、定期检验日期等特种设备安全完好的资料等。</w:t>
      </w:r>
    </w:p>
    <w:p w14:paraId="7EEA285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二、</w:t>
      </w:r>
      <w:r>
        <w:rPr>
          <w:rFonts w:hint="default" w:ascii="Times New Roman" w:hAnsi="Times New Roman" w:cs="Times New Roman"/>
        </w:rPr>
        <w:t>定期检验</w:t>
      </w:r>
    </w:p>
    <w:p w14:paraId="03A8B4A6">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制定特种设备定期检验计划，并督促相关部门实施计划。按照安全技术规范的定期检验要求在有效期满1个月以前向特种设备检验机构提出定期检验申请。</w:t>
      </w:r>
    </w:p>
    <w:p w14:paraId="4340260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定期检验前应当备齐以下特种设备的相关资料</w:t>
      </w:r>
    </w:p>
    <w:p w14:paraId="3559419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设备出厂资料：设计文件、安装使用说明、产品合格质量证明；</w:t>
      </w:r>
    </w:p>
    <w:p w14:paraId="7EF9A676">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设备安装资料：安装告知书、安装质量证明、安装监督检验报告；</w:t>
      </w:r>
    </w:p>
    <w:p w14:paraId="180E1BF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使用登记文件；</w:t>
      </w:r>
    </w:p>
    <w:p w14:paraId="072483B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上次定期检验报告；</w:t>
      </w:r>
    </w:p>
    <w:p w14:paraId="341FA0E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设备运行记录、维护保养记录、运行中出现异常情况的记录等。</w:t>
      </w:r>
    </w:p>
    <w:p w14:paraId="23724CF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检验时，向检验机构和检验人员提供检验所需的条件，配合他们作好检验工作。</w:t>
      </w:r>
    </w:p>
    <w:p w14:paraId="22B126A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检验后，对检验合格的特种设备或存在问题已经采取相应措施进行处理并达到合格使用要求的设备，应按照检验结论确定的参数使用。</w:t>
      </w:r>
    </w:p>
    <w:p w14:paraId="72D8C5D8">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凡未经定期检验或者检验不合格的特种设备，不得继续使用。</w:t>
      </w:r>
    </w:p>
    <w:p w14:paraId="10A787C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特种设备发现故障或者发生异常情况，应当对其进行全面检查，消除安全隐患后，方可投入使用。</w:t>
      </w:r>
    </w:p>
    <w:p w14:paraId="25604D9F">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定期检验完成后，组织做好特种设备的管路联结、密封、附件(含零部件、安全附件、安全保护装置、仪器仪表等)和内件安装、试运行等工作，并对其安全性负责。</w:t>
      </w:r>
    </w:p>
    <w:p w14:paraId="3173873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对确因需要延长检验周期的特种设备，必须依法办理延期检验手续。</w:t>
      </w:r>
    </w:p>
    <w:p w14:paraId="53572BF6">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三、</w:t>
      </w:r>
      <w:r>
        <w:rPr>
          <w:rFonts w:hint="default" w:ascii="Times New Roman" w:hAnsi="Times New Roman" w:cs="Times New Roman"/>
        </w:rPr>
        <w:t>按规定使用《特种设备使用登记证》以及规定的使用标志，</w:t>
      </w:r>
      <w:r>
        <w:rPr>
          <w:rFonts w:hint="default" w:ascii="Times New Roman" w:hAnsi="Times New Roman" w:cs="Times New Roman"/>
          <w:lang w:eastAsia="zh-CN"/>
        </w:rPr>
        <w:t>特种设备安全</w:t>
      </w:r>
      <w:r>
        <w:rPr>
          <w:rFonts w:hint="default" w:ascii="Times New Roman" w:hAnsi="Times New Roman" w:cs="Times New Roman"/>
        </w:rPr>
        <w:t>管理部门督促检查。</w:t>
      </w:r>
    </w:p>
    <w:p w14:paraId="7E7D538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2790227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特种设备隐患排查治理制度</w:t>
      </w:r>
      <w:r>
        <w:rPr>
          <w:rFonts w:hint="default" w:ascii="Times New Roman" w:hAnsi="Times New Roman" w:eastAsia="黑体" w:cs="Times New Roman"/>
          <w:sz w:val="44"/>
          <w:szCs w:val="44"/>
          <w:lang w:eastAsia="zh-CN"/>
        </w:rPr>
        <w:t>（参考模板）</w:t>
      </w:r>
    </w:p>
    <w:p w14:paraId="5621CDE1">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4"/>
          <w:szCs w:val="24"/>
        </w:rPr>
      </w:pPr>
    </w:p>
    <w:p w14:paraId="428169C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  特种设备隐患排查</w:t>
      </w:r>
    </w:p>
    <w:p w14:paraId="1E43E53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特种设备管理部门应对特种设备风险点内的所有危害因素进行隐患排查。</w:t>
      </w:r>
    </w:p>
    <w:p w14:paraId="4DA5583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1.1  组织制定隐患排查汁划，编制《隐患排查治理清单》。明确和细化隐患排查事项、内容和频次，逐一落实排查责任人，组织实施。</w:t>
      </w:r>
    </w:p>
    <w:p w14:paraId="14F481C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1.2排查类型主要包括日常排查、定期排查、专项排查、重点时段隐患排查、专家诊断性排查和事故类比排查等。特种设备隐患排查可纳入公司安全生产隐患排工作中进行。</w:t>
      </w:r>
    </w:p>
    <w:p w14:paraId="0A86DE0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1.2.1 使用单位应根据自身组织架构确定不同的排查组织级别和频次。排查组织级别一般包括公司级、部门级、车间级、班组级，也可结合本单位机构设置情况对组织级别进行调整。</w:t>
      </w:r>
    </w:p>
    <w:p w14:paraId="20FEA1D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 xml:space="preserve">1.2.2日常排查的组织级别为班组级、岗位级，特种设备作业人员参加； </w:t>
      </w:r>
    </w:p>
    <w:p w14:paraId="35720C6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 xml:space="preserve">1.2.3定期排查的组织为部门级、车间级，按照设备类别划分，特种设备安全管理员参加； </w:t>
      </w:r>
    </w:p>
    <w:p w14:paraId="7C162F0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 xml:space="preserve">1.2.4专项排查的组织级别为部门级，按照设备类别划分，特种设备安全管理员参加；  </w:t>
      </w:r>
    </w:p>
    <w:p w14:paraId="58280E0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1.2.5重点时段排查、专家诊断性检查、事故类比排查的组织级别为公司级、车间级，特种设备安全管理负责人参加。</w:t>
      </w:r>
    </w:p>
    <w:p w14:paraId="15CCFB2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1.3  隐患排查中发现的隐患应及时排除。</w:t>
      </w:r>
    </w:p>
    <w:p w14:paraId="71F98D9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1.3.1  一般简单的调整或修理，自行解决。</w:t>
      </w:r>
    </w:p>
    <w:p w14:paraId="61E4D5B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1.3.2  难度较大的故障隐患，应报告当班领导并通知专业维修人员及时排除。</w:t>
      </w:r>
    </w:p>
    <w:p w14:paraId="6B1B0C3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1.3.3  检查中发现重大安全隐患，必须及时报告主管领导，隐患来排除，严禁进行生产。</w:t>
      </w:r>
    </w:p>
    <w:p w14:paraId="48523D4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1.3.4  检查中发现的问题要及时填写《隐患排查治理记录》，并把治理措施和时间要求写在相应的栏目中。</w:t>
      </w:r>
    </w:p>
    <w:p w14:paraId="694CD76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1.4  特种设备在使用中出现故障或发现异常情况及时进行全面检查，查明故障原因和异常情况原因，及时采取有效管控措施，管控措施包括工程技术、管理措施、培训教育、个体防护、应急处置等方面。必要时停止运行，安排检验检测，不得带病运行、冒险作业，待故障、异常情况消除后，方可继续使用。</w:t>
      </w:r>
    </w:p>
    <w:p w14:paraId="21DE5BAD">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1.5  特种设备安全管理人员要不定期的开展日常安全监督检查，对检查中发现的问题，要按其轻重缓急分别作出处理。</w:t>
      </w:r>
    </w:p>
    <w:p w14:paraId="50C772B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1.6  对拒不执行检查，不履行岗位职责，因不及时检查造成设备损坏或发生事故的班组与个人，根据情节轻重和公司有关管理规定处理。</w:t>
      </w:r>
    </w:p>
    <w:p w14:paraId="551D5FB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  特种设备隐患治理</w:t>
      </w:r>
    </w:p>
    <w:p w14:paraId="2FA4384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2.1  检查人员在检查时发现事故隐患后，能立即整改的要进行现场整改；不能立即整改的，应对隐患情况及其风险等级进行记录，并明确整改要求、整改时间、整改责任人，填写《隐患排查治理通知书》一式两份，一份交相应的责任部门，一份由特种设备管理部门存查。</w:t>
      </w:r>
    </w:p>
    <w:p w14:paraId="6534F28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2.2  整改责任人接到《隐患排查治理通知书》后，应立即组织整改，分析隐患形成原因，评估风险等级，估算整改资金，逐项制定整改措施，在规定期限内完成隐患整改，并将整改情况报告特种设备管理部门。因故未能按时完成整改的隐患，应将原因、临时措施和整改计划报告特种设备管理部门。</w:t>
      </w:r>
    </w:p>
    <w:p w14:paraId="310FAFF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2.3  经评估确定为重大隐患的，特种设备管理部门应制定隐患治理方案，做到责任、措施、资金、实现和预案“五落实”，摸清隐患类别、影响范围和风险程度，制定监控措施、治理方法、治理期限，形成分析报告书，向属地特种设备安全监管部门报告。重大隐患治理方案内容包括：</w:t>
      </w:r>
    </w:p>
    <w:p w14:paraId="50049DF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cs="Times New Roman"/>
        </w:rPr>
        <w:t>治理目标和任务；</w:t>
      </w:r>
    </w:p>
    <w:p w14:paraId="4F41292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采取的方法和措施；</w:t>
      </w:r>
    </w:p>
    <w:p w14:paraId="3492BCE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default" w:ascii="Times New Roman" w:hAnsi="Times New Roman" w:cs="Times New Roman"/>
        </w:rPr>
        <w:t>经费和物资的落实；</w:t>
      </w:r>
    </w:p>
    <w:p w14:paraId="54B82BB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default" w:ascii="Times New Roman" w:hAnsi="Times New Roman" w:cs="Times New Roman"/>
        </w:rPr>
        <w:t>负责治理的机构和人员；</w:t>
      </w:r>
    </w:p>
    <w:p w14:paraId="18B3121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5</w:t>
      </w:r>
      <w:r>
        <w:rPr>
          <w:rFonts w:hint="eastAsia" w:ascii="Times New Roman" w:hAnsi="Times New Roman" w:cs="Times New Roman"/>
          <w:lang w:eastAsia="zh-CN"/>
        </w:rPr>
        <w:t>）</w:t>
      </w:r>
      <w:r>
        <w:rPr>
          <w:rFonts w:hint="default" w:ascii="Times New Roman" w:hAnsi="Times New Roman" w:cs="Times New Roman"/>
        </w:rPr>
        <w:t>治理的时限和要求；</w:t>
      </w:r>
    </w:p>
    <w:p w14:paraId="6F8D169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6</w:t>
      </w:r>
      <w:r>
        <w:rPr>
          <w:rFonts w:hint="eastAsia" w:ascii="Times New Roman" w:hAnsi="Times New Roman" w:cs="Times New Roman"/>
          <w:lang w:eastAsia="zh-CN"/>
        </w:rPr>
        <w:t>）</w:t>
      </w:r>
      <w:r>
        <w:rPr>
          <w:rFonts w:hint="default" w:ascii="Times New Roman" w:hAnsi="Times New Roman" w:cs="Times New Roman"/>
        </w:rPr>
        <w:t>防止整改期间内发生事故，应采取的安全措施。</w:t>
      </w:r>
    </w:p>
    <w:p w14:paraId="5810567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2.4  隐患治理过程中无法保证安全的，应停产或停止使用相关特种设备，及时撤出危险区域内的作业人员，必要时向当地人民政府提出申请，配合疏散可能受到影响的周边人员。</w:t>
      </w:r>
    </w:p>
    <w:p w14:paraId="241C1B6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2.5  特种设备管理部门做好《隐患排查治理台账》。</w:t>
      </w:r>
    </w:p>
    <w:p w14:paraId="0F868CA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  建立管理隐患排查予自理档案</w:t>
      </w:r>
    </w:p>
    <w:p w14:paraId="69B62DE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3.1  特种设备管理部门建立隐患排查档案，对安全隐患进行管理，有效预防隐患重复发生。</w:t>
      </w:r>
    </w:p>
    <w:p w14:paraId="12B23103">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Cs w:val="24"/>
        </w:rPr>
      </w:pPr>
      <w:r>
        <w:rPr>
          <w:rFonts w:hint="default" w:ascii="Times New Roman" w:hAnsi="Times New Roman" w:cs="Times New Roman"/>
        </w:rPr>
        <w:t>3.2  做好隐患排查治理记录，记录均入档。</w:t>
      </w:r>
    </w:p>
    <w:p w14:paraId="66027D4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p>
    <w:p w14:paraId="450BF63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特种设备安全管理人员与作业人员</w:t>
      </w:r>
    </w:p>
    <w:p w14:paraId="564E707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管理和培训制度</w:t>
      </w:r>
      <w:r>
        <w:rPr>
          <w:rFonts w:hint="default" w:ascii="Times New Roman" w:hAnsi="Times New Roman" w:eastAsia="黑体" w:cs="Times New Roman"/>
          <w:sz w:val="44"/>
          <w:szCs w:val="44"/>
          <w:lang w:eastAsia="zh-CN"/>
        </w:rPr>
        <w:t>（参考模板）</w:t>
      </w:r>
    </w:p>
    <w:p w14:paraId="72017270">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4"/>
          <w:szCs w:val="24"/>
        </w:rPr>
      </w:pPr>
    </w:p>
    <w:p w14:paraId="3A2EEDEA">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1.特种设备安全管理部门负责特种设备安全管理人员和作业人员的管理和培训。</w:t>
      </w:r>
    </w:p>
    <w:p w14:paraId="36BC587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2.人员管理</w:t>
      </w:r>
    </w:p>
    <w:p w14:paraId="78F5DE0A">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2.1  建立人员管理台账和档案，根据本公司特种设备使用情况按规定要求配备相应的安全管理员和作业人员。</w:t>
      </w:r>
    </w:p>
    <w:p w14:paraId="5D4F2C3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2.2  从事特种设备作业的相关管理人员和作业人员，必须经考核合格，取得特种设备安全管理／作业人员资格证书后，方可上岗作业。</w:t>
      </w:r>
    </w:p>
    <w:p w14:paraId="3C2B15F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2.3  建立人员技术档案并进行严格管理。持证人员应当在有效期满3个月前，向发证部门提出复审，逾期未复审，或复审不合格的，将不得继续从事相应的岗位工作。</w:t>
      </w:r>
    </w:p>
    <w:p w14:paraId="3786C32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  人员培训</w:t>
      </w:r>
    </w:p>
    <w:p w14:paraId="7375FCB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3.1  每年年初制定特种设备安全管理和作业人员培训计划，纳入公司培训总计划。</w:t>
      </w:r>
    </w:p>
    <w:p w14:paraId="477A888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3.2  特种设备安全管理／作业人员除参加特种设备监督管理部门组织的培训考核外，还应积极参加内部的安全教育和培训。</w:t>
      </w:r>
    </w:p>
    <w:p w14:paraId="55E1459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3.3  组织全体员工安全进行经常性的安全教育，内容应包括：</w:t>
      </w:r>
    </w:p>
    <w:p w14:paraId="5A076238">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cs="Times New Roman"/>
        </w:rPr>
        <w:t>国家有关安全生产法律、法规和规定，特种设备法规及有关安全技木规范；</w:t>
      </w:r>
    </w:p>
    <w:p w14:paraId="264A3EF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公司安全管理规章制度及状况，劳动纪律和事故案例；</w:t>
      </w:r>
    </w:p>
    <w:p w14:paraId="528A441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default" w:ascii="Times New Roman" w:hAnsi="Times New Roman" w:cs="Times New Roman"/>
        </w:rPr>
        <w:t>在用特种设备的性能、结构工艺特点和安全装置、安全设施、安全监测监控仪器的作用，防护用品的使用和保养方法；</w:t>
      </w:r>
    </w:p>
    <w:p w14:paraId="635F5F6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default" w:ascii="Times New Roman" w:hAnsi="Times New Roman" w:cs="Times New Roman"/>
        </w:rPr>
        <w:t>特种设备操作规程、风险信息、急救措施及应急预案；</w:t>
      </w:r>
    </w:p>
    <w:p w14:paraId="2A9B1AB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5</w:t>
      </w:r>
      <w:r>
        <w:rPr>
          <w:rFonts w:hint="eastAsia" w:ascii="Times New Roman" w:hAnsi="Times New Roman" w:cs="Times New Roman"/>
          <w:lang w:eastAsia="zh-CN"/>
        </w:rPr>
        <w:t>）</w:t>
      </w:r>
      <w:r>
        <w:rPr>
          <w:rFonts w:hint="default" w:ascii="Times New Roman" w:hAnsi="Times New Roman" w:cs="Times New Roman"/>
        </w:rPr>
        <w:t>安全生产基本知识，消防知识。</w:t>
      </w:r>
    </w:p>
    <w:p w14:paraId="459383AD">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Cs w:val="24"/>
        </w:rPr>
      </w:pPr>
      <w:r>
        <w:rPr>
          <w:rFonts w:hint="default" w:ascii="Times New Roman" w:hAnsi="Times New Roman" w:cs="Times New Roman"/>
        </w:rPr>
        <w:t>3.4  应对教育培训效果进行评价，并保存教育培训记录。</w:t>
      </w:r>
    </w:p>
    <w:p w14:paraId="12719E0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p>
    <w:p w14:paraId="020210F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特种设备采购、安装、改造、修理、报废等管理制度</w:t>
      </w:r>
      <w:r>
        <w:rPr>
          <w:rFonts w:hint="default" w:ascii="Times New Roman" w:hAnsi="Times New Roman" w:eastAsia="黑体" w:cs="Times New Roman"/>
          <w:sz w:val="44"/>
          <w:szCs w:val="44"/>
          <w:lang w:eastAsia="zh-CN"/>
        </w:rPr>
        <w:t>（参考模板）</w:t>
      </w:r>
    </w:p>
    <w:p w14:paraId="421B4EB6">
      <w:pPr>
        <w:pageBreakBefore w:val="0"/>
        <w:kinsoku/>
        <w:wordWrap/>
        <w:overflowPunct/>
        <w:topLinePunct w:val="0"/>
        <w:autoSpaceDE/>
        <w:autoSpaceDN/>
        <w:bidi w:val="0"/>
        <w:adjustRightInd/>
        <w:snapToGrid/>
        <w:spacing w:line="560" w:lineRule="exact"/>
        <w:ind w:firstLine="405"/>
        <w:jc w:val="center"/>
        <w:textAlignment w:val="auto"/>
        <w:rPr>
          <w:rFonts w:hint="default" w:ascii="Times New Roman" w:hAnsi="Times New Roman" w:eastAsia="仿宋_GB2312" w:cs="Times New Roman"/>
          <w:sz w:val="24"/>
          <w:szCs w:val="24"/>
        </w:rPr>
      </w:pPr>
    </w:p>
    <w:p w14:paraId="5DBD8DA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  特种设备采购</w:t>
      </w:r>
    </w:p>
    <w:p w14:paraId="4F067EF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1.1  应当采购取得特种设备许可生产(含设计、制造、安装、改造、修理)并经检验合格的特种设备，不得采购超过设计使用年限的特种设备，禁止使用国家明令淘汰和已经报废的特种设备，停止使用存在严重事故隐患，无改造、维修价值，超过安全技术规范规定使用年限，或者已在特种设备监督管理部门办理注销手续予以报废的特种设备。</w:t>
      </w:r>
    </w:p>
    <w:p w14:paraId="40104D6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1.2  应当根据公司生产工艺要求选购特种设备，严禁超过特种设备规定参数使用。</w:t>
      </w:r>
    </w:p>
    <w:p w14:paraId="43E3315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1.3  选购特种设备前，由使用部门提出申请，由特种设备管理部门审核并经公司主要负责人审批后购买。</w:t>
      </w:r>
    </w:p>
    <w:p w14:paraId="25A4B45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1.4  特种设备入库前，必须进行开箱检查特种设备的外部情况和出厂资料。特种设备管理部门、档案、采购等相关部门人员参加验收，验收时有关人员应逐项认真检查验收，并对验收质量负责。</w:t>
      </w:r>
    </w:p>
    <w:p w14:paraId="6D82D1C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1.5  购置的特种设备必须附有安全技术规范要求的设计、制造技术资料和文件，包括：产品合格证、质量证明书、强度计算书、使用说明书、竣工图、监督检验证书、型式试验证书等文件。</w:t>
      </w:r>
    </w:p>
    <w:p w14:paraId="198EA61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  特种设备安装、改造、修理</w:t>
      </w:r>
    </w:p>
    <w:p w14:paraId="16629CB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2.1  特种设备的安装、改造、维修活动应委托取得安装、改造、维修许可资质的单位进行。</w:t>
      </w:r>
    </w:p>
    <w:p w14:paraId="6982695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2.2  签订安装、改造、维修合同前，特种设备管理部门必须审查安装、改造、维修单位的资质和相关人员的资质是否符合。</w:t>
      </w:r>
    </w:p>
    <w:p w14:paraId="66206D5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2.3  施工前，配合、督促特种设备安装、改造、维修的施工单位在施工前，将拟进行的特种设备安装，改造、维修情况书面告知属地特种设备安全监督管理部门。坚决制止施工单位未履行书面告知义务而进行施工的行为。</w:t>
      </w:r>
    </w:p>
    <w:p w14:paraId="12F23CC6">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2.4  按照相关安全技术规范的要求，督促特种设备安装、改造、维修的施工单位向经核准的特种设备检验机构，申报安装、改造、维修活动的监督检验。</w:t>
      </w:r>
    </w:p>
    <w:p w14:paraId="1921303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2.5  根据安装、改造、维修的合同规定和相关安全技术规范的要求，配合实施监督检验的检验机构监督安装、改造、维修的施工单位施工，发现未按照告知内容和相关安全技术规范要求施工的，要求施工单位予以整改，不予整改的，要求其停止施工并及时报告属地特种设备安全监督管理部门。</w:t>
      </w:r>
    </w:p>
    <w:p w14:paraId="77306BB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2.6  拒绝接受使用未经监督检验和监督检验不合格的设备。</w:t>
      </w:r>
    </w:p>
    <w:p w14:paraId="2CFA28D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2.7  经验收合格的特种设备在验收后30日内从施工单位处接收相关技术资料，包括特种设备安装、改造和修理的方案、图样、材料质量证明书和施工质量证明文件、安装改造修理监督检验报告、验收报告等技术资料，并归档保存。</w:t>
      </w:r>
    </w:p>
    <w:p w14:paraId="2BD2E59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2.8  修理时，应保存特种设备安全附件和安全保护装置校验、检修、更换记录和有关报告，包括特种设备运行故障和事故记录及事故处理报告。</w:t>
      </w:r>
    </w:p>
    <w:p w14:paraId="4AC52AF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  停用、启用</w:t>
      </w:r>
    </w:p>
    <w:p w14:paraId="3041728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特种设备拟停用1年以上的，特种设备管理部门应当采取有效的保护措施，设置停用标志，在停用后30日内到登记机关办理停用手续。重新启用时，应组织自行检查，到使用登记机关办理启用手续；超过定期检验有效期的，应当按照定期检验的有关要求进行检验。</w:t>
      </w:r>
    </w:p>
    <w:p w14:paraId="7A6C05C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4  报废</w:t>
      </w:r>
    </w:p>
    <w:p w14:paraId="68B74B8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Cs w:val="24"/>
        </w:rPr>
      </w:pPr>
      <w:r>
        <w:rPr>
          <w:rFonts w:hint="default" w:ascii="Times New Roman" w:hAnsi="Times New Roman" w:cs="Times New Roman"/>
        </w:rPr>
        <w:t>对存在严重事故隐患，无改造、修理价值的特种设备，或已到达安全技术规范规定的报废期限的，应当及时予以报废，应当采取必要措施消除该特种设备的使用功能。报废时，按台(套)登记的特种设备应当办理报废手续，向登记机关办理报废手续，并且将使用登记证交回登记机关。</w:t>
      </w:r>
    </w:p>
    <w:p w14:paraId="139647F0">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44"/>
          <w:szCs w:val="44"/>
        </w:rPr>
      </w:pPr>
    </w:p>
    <w:p w14:paraId="38EEF2DE">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特种设备应急救援管理制度</w:t>
      </w:r>
      <w:r>
        <w:rPr>
          <w:rFonts w:hint="default" w:ascii="Times New Roman" w:hAnsi="Times New Roman" w:eastAsia="黑体" w:cs="Times New Roman"/>
          <w:sz w:val="44"/>
          <w:szCs w:val="44"/>
          <w:lang w:eastAsia="zh-CN"/>
        </w:rPr>
        <w:t>（参考模板）</w:t>
      </w:r>
    </w:p>
    <w:p w14:paraId="281F6812">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sz w:val="28"/>
          <w:szCs w:val="28"/>
        </w:rPr>
      </w:pPr>
    </w:p>
    <w:p w14:paraId="7E5B2DF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 特种设备应急救援管理坚持“以人为本，预防为主，统一领导，职责明确，快速反应”的原则。</w:t>
      </w:r>
    </w:p>
    <w:p w14:paraId="03476B5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 公司成立以单位负责人为总指挥，各管理部门、车间负责人为成员的应急救援指挥部。应急管理机构设在特种设备安全管理部门，负责日常管理。</w:t>
      </w:r>
    </w:p>
    <w:p w14:paraId="59FBB5CD">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 应急预案编制</w:t>
      </w:r>
    </w:p>
    <w:p w14:paraId="4A54E3A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cs="Times New Roman"/>
        </w:rPr>
        <w:t>在风险评估和应急能力评估的基础上，按照本单位实际情况及应急预案体系要求编制相应的特种设备事故应急预案，对应急预案主要内容要素的采纳，应根据单位应急预案体系要求进行编写；并与所在地政府的相关应急预案及单位的综合应急预案衔接。</w:t>
      </w:r>
    </w:p>
    <w:p w14:paraId="64F02D6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应急管理机构根据GB／T 33942—2017《特种设备应急预案编制导则》组织编制特种设备事故应急专项预案，纳入公司安全生产综合应急预案，并保持与上级部门应急预案的衔接。根据国家法律法规及实际演练情况，适时修订预案，做到科学、易操作。应包括以下附件内容：</w:t>
      </w:r>
    </w:p>
    <w:p w14:paraId="1B788BD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单位区位图、涉及特种没备配置的平面布置图、周边重要防护目标分布图；</w:t>
      </w:r>
    </w:p>
    <w:p w14:paraId="042A3B5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设备一览表；</w:t>
      </w:r>
    </w:p>
    <w:p w14:paraId="6B0FFFF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w:t>
      </w:r>
      <w:r>
        <w:rPr>
          <w:rFonts w:hint="eastAsia" w:ascii="Times New Roman" w:hAnsi="Times New Roman" w:cs="Times New Roman"/>
          <w:lang w:eastAsia="zh-CN"/>
        </w:rPr>
        <w:t>）</w:t>
      </w:r>
      <w:r>
        <w:rPr>
          <w:rFonts w:hint="default" w:ascii="Times New Roman" w:hAnsi="Times New Roman" w:cs="Times New Roman"/>
        </w:rPr>
        <w:t>应急设施设备、物资清单及布置图；</w:t>
      </w:r>
    </w:p>
    <w:p w14:paraId="47FD2F6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4</w:t>
      </w:r>
      <w:r>
        <w:rPr>
          <w:rFonts w:hint="eastAsia" w:ascii="Times New Roman" w:hAnsi="Times New Roman" w:cs="Times New Roman"/>
          <w:lang w:eastAsia="zh-CN"/>
        </w:rPr>
        <w:t>）</w:t>
      </w:r>
      <w:r>
        <w:rPr>
          <w:rFonts w:hint="default" w:ascii="Times New Roman" w:hAnsi="Times New Roman" w:cs="Times New Roman"/>
        </w:rPr>
        <w:t>疏散线路图、安置场所位置图；</w:t>
      </w:r>
    </w:p>
    <w:p w14:paraId="0AC0C49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5</w:t>
      </w:r>
      <w:r>
        <w:rPr>
          <w:rFonts w:hint="eastAsia" w:ascii="Times New Roman" w:hAnsi="Times New Roman" w:cs="Times New Roman"/>
          <w:lang w:eastAsia="zh-CN"/>
        </w:rPr>
        <w:t>）</w:t>
      </w:r>
      <w:r>
        <w:rPr>
          <w:rFonts w:hint="default" w:ascii="Times New Roman" w:hAnsi="Times New Roman" w:cs="Times New Roman"/>
        </w:rPr>
        <w:t>应急指挥机构组织图、应急救援流程图；</w:t>
      </w:r>
    </w:p>
    <w:p w14:paraId="087A3A2D">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6</w:t>
      </w:r>
      <w:r>
        <w:rPr>
          <w:rFonts w:hint="eastAsia" w:ascii="Times New Roman" w:hAnsi="Times New Roman" w:cs="Times New Roman"/>
          <w:lang w:eastAsia="zh-CN"/>
        </w:rPr>
        <w:t>）</w:t>
      </w:r>
      <w:r>
        <w:rPr>
          <w:rFonts w:hint="default" w:ascii="Times New Roman" w:hAnsi="Times New Roman" w:cs="Times New Roman"/>
        </w:rPr>
        <w:t>单位内部应急机构、人员联系表；</w:t>
      </w:r>
    </w:p>
    <w:p w14:paraId="1260CB8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7</w:t>
      </w:r>
      <w:r>
        <w:rPr>
          <w:rFonts w:hint="eastAsia" w:ascii="Times New Roman" w:hAnsi="Times New Roman" w:cs="Times New Roman"/>
          <w:lang w:eastAsia="zh-CN"/>
        </w:rPr>
        <w:t>）</w:t>
      </w:r>
      <w:r>
        <w:rPr>
          <w:rFonts w:hint="default" w:ascii="Times New Roman" w:hAnsi="Times New Roman" w:cs="Times New Roman"/>
        </w:rPr>
        <w:t>单位外部相关机构(政府有关部门、协议救援单位、就近医疗机构)联系方式；</w:t>
      </w:r>
    </w:p>
    <w:p w14:paraId="16F0A83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8</w:t>
      </w:r>
      <w:r>
        <w:rPr>
          <w:rFonts w:hint="eastAsia" w:ascii="Times New Roman" w:hAnsi="Times New Roman" w:cs="Times New Roman"/>
          <w:lang w:eastAsia="zh-CN"/>
        </w:rPr>
        <w:t>）</w:t>
      </w:r>
      <w:r>
        <w:rPr>
          <w:rFonts w:hint="default" w:ascii="Times New Roman" w:hAnsi="Times New Roman" w:cs="Times New Roman"/>
        </w:rPr>
        <w:t>现场应急处置方案及操作程序(附操作流程图)；</w:t>
      </w:r>
    </w:p>
    <w:p w14:paraId="1BAEB5F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9</w:t>
      </w:r>
      <w:r>
        <w:rPr>
          <w:rFonts w:hint="eastAsia" w:ascii="Times New Roman" w:hAnsi="Times New Roman" w:cs="Times New Roman"/>
          <w:lang w:eastAsia="zh-CN"/>
        </w:rPr>
        <w:t>）</w:t>
      </w:r>
      <w:r>
        <w:rPr>
          <w:rFonts w:hint="default" w:ascii="Times New Roman" w:hAnsi="Times New Roman" w:cs="Times New Roman"/>
        </w:rPr>
        <w:t>信息接收、处理、上报等规范化格式文本；</w:t>
      </w:r>
    </w:p>
    <w:p w14:paraId="64D35E9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10</w:t>
      </w:r>
      <w:r>
        <w:rPr>
          <w:rFonts w:hint="eastAsia" w:ascii="Times New Roman" w:hAnsi="Times New Roman" w:cs="Times New Roman"/>
          <w:lang w:eastAsia="zh-CN"/>
        </w:rPr>
        <w:t>）</w:t>
      </w:r>
      <w:r>
        <w:rPr>
          <w:rFonts w:hint="default" w:ascii="Times New Roman" w:hAnsi="Times New Roman" w:cs="Times New Roman"/>
        </w:rPr>
        <w:t>有关制度、程序、方案等。</w:t>
      </w:r>
    </w:p>
    <w:p w14:paraId="6768F3EA">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4 组织应急预案培训，培训内容应当包括：</w:t>
      </w:r>
    </w:p>
    <w:p w14:paraId="6B9CC22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cs="Times New Roman"/>
        </w:rPr>
        <w:t>特种设备安全常识教育，如事故预防、危险辨识、基本救护常识、避灾避险、逃生自救等；</w:t>
      </w:r>
    </w:p>
    <w:p w14:paraId="56DD08B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特种设备应急知识教育，包括特种设备应急救援操作规范、应急救援安全防护知识、应急处置工作制度和程序等知识，如事故报告、应急响应、各类事故处置方案；</w:t>
      </w:r>
    </w:p>
    <w:p w14:paraId="0DF720E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default" w:ascii="Times New Roman" w:hAnsi="Times New Roman" w:cs="Times New Roman"/>
        </w:rPr>
        <w:t>特种设备应急相关法律法规教育。</w:t>
      </w:r>
    </w:p>
    <w:p w14:paraId="0DF31DA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 xml:space="preserve">5 应急预案演练。将应急演练计划纳入公司年度培训计划，根据设备类别以及相应特种设备安全技术规范的要求，每年至少演练一次，强化职工应急意识，提高应急队伍的反应速度和实战能力，并做好演练记录和总结。 </w:t>
      </w:r>
    </w:p>
    <w:p w14:paraId="5C27969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6 应急救援通讯设备保障。明确与应急工作相关的单位或人员的通讯联系方式，并提供备用方案。要对电话等通信器材进行经常性维护或更新，确保通讯畅通。</w:t>
      </w:r>
    </w:p>
    <w:p w14:paraId="0448A6DF">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7 成立应急救援队伍，人员由各部门、班组主要负责人及重要员工组成，明确各专业应急队伍及负责人的通讯联络方式，建立人员联络表，并进行经常性的训练，熟练掌握基本的救护常识和救援能力。</w:t>
      </w:r>
    </w:p>
    <w:p w14:paraId="4F4B84E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8 应急救援预案物资装备保障。根据公司应急预案做好应急救援设备、器材、防护用品、工具、材料、药品等的保障工作，编制应急救援物资清单。确保经费、物资供应，切实加强应急保障能力，并对应急救援设备、设施定期进行检测、维护、更新，确保性能完好。</w:t>
      </w:r>
    </w:p>
    <w:p w14:paraId="057D002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9 应急救援处置。事故发生后，立即启动应急救援预案，以营救遇险人员为重点，开展应急救援工作；要采取必要措施，防止发生次生、衍生事故，避免造成更大的人员伤亡、财产损失和环境污染；要及时组织受威胁群众疏散、转移，做好安置工作。</w:t>
      </w:r>
    </w:p>
    <w:p w14:paraId="1A861FE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10 应急救援协议。充分利用社会应急资源，与地方政府预案及相关部门的预案和应急组织衔接。根据相关规定，公司可与当地相关部门签订救援协议。</w:t>
      </w:r>
    </w:p>
    <w:p w14:paraId="5A864006">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Cs w:val="24"/>
        </w:rPr>
      </w:pPr>
      <w:r>
        <w:rPr>
          <w:rFonts w:hint="default" w:ascii="Times New Roman" w:hAnsi="Times New Roman" w:cs="Times New Roman"/>
        </w:rPr>
        <w:t>11 明确应急专项经费来源、使用范围、数量和监督管理措施。应急管理费用由应急管理机构提出，经单位负责人审批，财务部予以保障。</w:t>
      </w:r>
    </w:p>
    <w:p w14:paraId="79378445">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44"/>
          <w:szCs w:val="44"/>
        </w:rPr>
      </w:pPr>
    </w:p>
    <w:p w14:paraId="6F36C9A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44"/>
          <w:szCs w:val="44"/>
        </w:rPr>
        <w:t>特种设备事故报告和处理制度</w:t>
      </w:r>
      <w:r>
        <w:rPr>
          <w:rFonts w:hint="default" w:ascii="Times New Roman" w:hAnsi="Times New Roman" w:eastAsia="黑体" w:cs="Times New Roman"/>
          <w:sz w:val="44"/>
          <w:szCs w:val="44"/>
          <w:lang w:eastAsia="zh-CN"/>
        </w:rPr>
        <w:t>（参考模板）</w:t>
      </w:r>
    </w:p>
    <w:p w14:paraId="4073F14D">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sz w:val="28"/>
          <w:szCs w:val="28"/>
        </w:rPr>
      </w:pPr>
    </w:p>
    <w:p w14:paraId="0CFA167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 xml:space="preserve"> 1  特种设备事故发生后，应当立即启动事故应急预案，组织抢救，防止事故扩大，减少人员伤亡和财产损失，并且按照《特种设备事故报告和调查处理规定》的要求，向特种设备安全监管部门和有关部门报告，同时配合事故调查和做好善后处理工作。</w:t>
      </w:r>
    </w:p>
    <w:p w14:paraId="12DE397A">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特种设备事故报告应当及时、准确、完整，任何单位和个人不得迟报、漏报、谎报或者瞒报。</w:t>
      </w:r>
    </w:p>
    <w:p w14:paraId="5AC4595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  事故报告</w:t>
      </w:r>
    </w:p>
    <w:p w14:paraId="5C05B15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2.1  内部报告。事故发生时，事故现场负责人应立即拨打公司应急电活，值班人员接到报警后迅速查明事故发生的部位和原因，并迅速向单位负责人报告。事故现场负责人和单位负责人按预警级别和信息报告流程图逐级上报。紧急情况下，可越级报告，或拨打110或119，有人员受伤严重的拨打120。各级人员间的信息传递以最方便的通讯工具为宜。</w:t>
      </w:r>
    </w:p>
    <w:p w14:paraId="77E6D01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2.2  外部报告。事故发生后，事故现场有关人员应当立即向公司负责人报告；公司负责人接到报告后，应当于1小时内向事故发生地的县级以上市场监督管理部门和有关部门报告。情况紧急时，事故现场有关人员可以直接向事故发生地的县级以上市场监督管理部门报告。</w:t>
      </w:r>
    </w:p>
    <w:p w14:paraId="68B328A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2.3  事故报告应包括以下内容：</w:t>
      </w:r>
    </w:p>
    <w:p w14:paraId="412B0918">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cs="Times New Roman"/>
        </w:rPr>
        <w:t>事故发生的时间、地点、单位概况以及特种设备种类；</w:t>
      </w:r>
    </w:p>
    <w:p w14:paraId="7502ADD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事故发生初步情况，包括事故简要经过、现场破坏情况、已经造成或者可能造成的伤亡和涉险人数、初步估计的直观经济损失、初步确定的事故等级、初步判断的事故原因；</w:t>
      </w:r>
    </w:p>
    <w:p w14:paraId="52E483AF">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default" w:ascii="Times New Roman" w:hAnsi="Times New Roman" w:cs="Times New Roman"/>
        </w:rPr>
        <w:t>已经采取的措施；</w:t>
      </w:r>
    </w:p>
    <w:p w14:paraId="5E18E6C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default" w:ascii="Times New Roman" w:hAnsi="Times New Roman" w:cs="Times New Roman"/>
        </w:rPr>
        <w:t>报告人姓名、联系电话；</w:t>
      </w:r>
    </w:p>
    <w:p w14:paraId="712B1A28">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5</w:t>
      </w:r>
      <w:r>
        <w:rPr>
          <w:rFonts w:hint="eastAsia" w:ascii="Times New Roman" w:hAnsi="Times New Roman" w:cs="Times New Roman"/>
          <w:lang w:eastAsia="zh-CN"/>
        </w:rPr>
        <w:t>）</w:t>
      </w:r>
      <w:r>
        <w:rPr>
          <w:rFonts w:hint="default" w:ascii="Times New Roman" w:hAnsi="Times New Roman" w:cs="Times New Roman"/>
        </w:rPr>
        <w:t>其他有必要报告的情况。</w:t>
      </w:r>
    </w:p>
    <w:p w14:paraId="0CBF7DC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  事故的调查</w:t>
      </w:r>
    </w:p>
    <w:p w14:paraId="6591C88B">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3.1  发生特种设备事故后，公司配合有关部门进行事故调查并做好善后处理工作。</w:t>
      </w:r>
    </w:p>
    <w:p w14:paraId="78CC9B2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3.2  发生特种设备事故后，应当妥善保护事故现场以及相关证据，及时收集、整理有关资料，为事故调查做好准备；必要时，应当对设备、场地、资料进行封存，由专人看管。</w:t>
      </w:r>
    </w:p>
    <w:p w14:paraId="07DAB968">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3.3  因抢救人员、防止事故扩大以及疏通交通等原因，需要移动事故现场物件的，负责移动的单位或者相关人员应当做好标志，绘制现场简图并做出书面记录，妥善保存现场重要痕迹、物证。有条件的，应当现场制作视听资料。</w:t>
      </w:r>
    </w:p>
    <w:p w14:paraId="26419CB6">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3.4  事故调查期间，任何单位和个人不得擅自移动事故相关设备，不得毁灭相关资料、伪造或者故意破坏事故现场。</w:t>
      </w:r>
    </w:p>
    <w:p w14:paraId="7FD9626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3.5  公司负责人和有关人员在事故调查期间不得擅离职守，应当随时接受事故调查组的询问，如实提供有关情况或者资料。参与事故调查、技术鉴定、损失评估等有关人员不得擅自泄露有关事故信息。</w:t>
      </w:r>
    </w:p>
    <w:p w14:paraId="632EE2C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4  事故的处理</w:t>
      </w:r>
    </w:p>
    <w:p w14:paraId="0069671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4.1  事故调查结束，公司根据事故调查结论进行整改。</w:t>
      </w:r>
    </w:p>
    <w:p w14:paraId="1B7DC80C">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4.2  事故设备仍有使用价值的应在对其进行全面检查消除隐患后方可重新投人使用。</w:t>
      </w:r>
    </w:p>
    <w:p w14:paraId="0C8D3607">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4.3  使用部门应当落实事故防范和整改措施。防范和整改措施的落实情况应当接受属地特种设备安全监督管理部门的监督检查，还应当接受工会和职工的监督。</w:t>
      </w:r>
    </w:p>
    <w:p w14:paraId="791C87D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5  事故报告和事故调查处理记录</w:t>
      </w:r>
    </w:p>
    <w:p w14:paraId="3AF809CB">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Cs w:val="24"/>
        </w:rPr>
      </w:pPr>
      <w:r>
        <w:rPr>
          <w:rFonts w:hint="default" w:ascii="Times New Roman" w:hAnsi="Times New Roman" w:cs="Times New Roman"/>
        </w:rPr>
        <w:t>包括事故简要经过、现场破坏情况、已经造成或者可能造成的伤亡和涉险人数、初步估计的直观经济损失、初步确定的事故等级、初步判断的事故原因、相关记录和资料。</w:t>
      </w:r>
    </w:p>
    <w:p w14:paraId="2B7DA3C4">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trike/>
          <w:color w:val="FF0000"/>
        </w:rPr>
      </w:pPr>
    </w:p>
    <w:p w14:paraId="17B96F2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高耗能特种设备节能管理制度</w:t>
      </w:r>
      <w:r>
        <w:rPr>
          <w:rFonts w:hint="default" w:ascii="Times New Roman" w:hAnsi="Times New Roman" w:eastAsia="黑体" w:cs="Times New Roman"/>
          <w:sz w:val="44"/>
          <w:szCs w:val="44"/>
          <w:lang w:eastAsia="zh-CN"/>
        </w:rPr>
        <w:t>（参考模板）</w:t>
      </w:r>
    </w:p>
    <w:p w14:paraId="54429125">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sz w:val="28"/>
          <w:szCs w:val="28"/>
        </w:rPr>
      </w:pPr>
    </w:p>
    <w:p w14:paraId="7FFBD9C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1  严格执行《特种设备安全法》《高耗能特种设备节能监督管理办法》（2020年10月23日国家市监总局令第31号修订）等法律、法规、特种设备安全技术规范和标准的要求，确保设备及其相关系统安全、经济运行。不得使用不符合安全性能要求和能效指标的特种设备，以及国家产业政策明令淘汰的特种设备。对在用国家明令淘汰的高耗能特种设备，应当在规定的期限内予以改造或者更换。到期未改造或者更换的，不得继续使用。</w:t>
      </w:r>
    </w:p>
    <w:p w14:paraId="72F90C46">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 xml:space="preserve"> 2  高耗能特种设备，是指在使用过程中能源消耗量或者转换量大，并具有较大节能空间的锅炉、换热压力容器等特种设备。单位建立健全经济运行、能效计量监控与统计、能效考核等节能管理制度和岗位责任制度。</w:t>
      </w:r>
    </w:p>
    <w:p w14:paraId="7B62B8E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 xml:space="preserve"> 3  建立高耗能特种设备安全技术档案，至少应当包括以下内容：</w:t>
      </w:r>
    </w:p>
    <w:p w14:paraId="061CD873">
      <w:pPr>
        <w:pageBreakBefore w:val="0"/>
        <w:numPr>
          <w:ilvl w:val="0"/>
          <w:numId w:val="30"/>
        </w:numPr>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含有设计能效指标的设计文件；</w:t>
      </w:r>
    </w:p>
    <w:p w14:paraId="3C2EE2AE">
      <w:pPr>
        <w:pageBreakBefore w:val="0"/>
        <w:numPr>
          <w:ilvl w:val="0"/>
          <w:numId w:val="30"/>
        </w:numPr>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能效测试报告；</w:t>
      </w:r>
    </w:p>
    <w:p w14:paraId="1CBAE6CF">
      <w:pPr>
        <w:pageBreakBefore w:val="0"/>
        <w:numPr>
          <w:ilvl w:val="0"/>
          <w:numId w:val="30"/>
        </w:numPr>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设备经济运行文件和操作说明书；</w:t>
      </w:r>
    </w:p>
    <w:p w14:paraId="34B2F1F8">
      <w:pPr>
        <w:pageBreakBefore w:val="0"/>
        <w:numPr>
          <w:ilvl w:val="0"/>
          <w:numId w:val="30"/>
        </w:numPr>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日常运行能效监控记录、能耗状况记录；</w:t>
      </w:r>
    </w:p>
    <w:p w14:paraId="2E240276">
      <w:pPr>
        <w:pageBreakBefore w:val="0"/>
        <w:numPr>
          <w:ilvl w:val="0"/>
          <w:numId w:val="30"/>
        </w:numPr>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节能改造技术资料；</w:t>
      </w:r>
    </w:p>
    <w:p w14:paraId="088B6B3E">
      <w:pPr>
        <w:pageBreakBefore w:val="0"/>
        <w:numPr>
          <w:ilvl w:val="0"/>
          <w:numId w:val="30"/>
        </w:numPr>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能效定期检查记录。</w:t>
      </w:r>
    </w:p>
    <w:p w14:paraId="472FB81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 xml:space="preserve"> 4  使用符合能效指标要求的特种设备，按照有关特种设备安全技术规范、标准或者出厂文件的要求配备、安装辅机设备和能效监控装置、能源计量器具，并记录相关数据。</w:t>
      </w:r>
    </w:p>
    <w:p w14:paraId="33A6B64A">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5 开展节能教育和培训，提高作业人员的节能意识和操作水平，确保特种设备安全、经济运行。对特种设备作业人员进行特种设备安全、节能管理知识教育和节能操作技能培训，保证特种设备作业人员具备必要的特种设备安全、节能知识。高耗能特种设备的作业人员应当严格执行操作规程和节能管理制度。</w:t>
      </w:r>
    </w:p>
    <w:p w14:paraId="71218F7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6 锅炉使用应当按照特种设备安全技术规范的要求进行锅炉水（介）质处理，接受特种设备检验检测机构实施的水（介）质处理定期检验，保障锅炉安全运行、提高能源利用效率。</w:t>
      </w:r>
    </w:p>
    <w:p w14:paraId="5EFE5A9D">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7 锅炉清洗应当按照有关特种设备安全技术规范的要求对锅炉进行清洗，接受特种设备检验检测机构实施的锅炉清洗过程监督检验，保证锅炉清洗工作安全有效进行。</w:t>
      </w:r>
    </w:p>
    <w:p w14:paraId="1ADE037B">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Cs w:val="24"/>
        </w:rPr>
      </w:pPr>
      <w:r>
        <w:rPr>
          <w:rFonts w:hint="default" w:ascii="Times New Roman" w:hAnsi="Times New Roman" w:cs="Times New Roman"/>
        </w:rPr>
        <w:t xml:space="preserve"> 8定期向相关检测机构申请对特种设备安全性能检验和能效测试，高耗能特种设备及其系统的运行能效不符合特种设备安全技术规范等有关规范和标准要求的，应当分析原因，采取有效措施，实施整改或者节能改造。整改或者改造后仍不符合能效指标要求的，不得继续使用，及时办理停用手续。</w:t>
      </w:r>
    </w:p>
    <w:p w14:paraId="53ADB0C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trike/>
          <w:color w:val="FF0000"/>
        </w:rPr>
      </w:pPr>
    </w:p>
    <w:p w14:paraId="6652114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特种设备</w:t>
      </w:r>
      <w:r>
        <w:rPr>
          <w:rFonts w:hint="default" w:ascii="Times New Roman" w:hAnsi="Times New Roman" w:eastAsia="黑体" w:cs="Times New Roman"/>
          <w:sz w:val="44"/>
          <w:szCs w:val="44"/>
          <w:lang w:val="en-US" w:eastAsia="zh-CN"/>
        </w:rPr>
        <w:t>风险分级管控</w:t>
      </w:r>
      <w:r>
        <w:rPr>
          <w:rFonts w:hint="default" w:ascii="Times New Roman" w:hAnsi="Times New Roman" w:eastAsia="黑体" w:cs="Times New Roman"/>
          <w:sz w:val="44"/>
          <w:szCs w:val="44"/>
        </w:rPr>
        <w:t>制度</w:t>
      </w:r>
      <w:r>
        <w:rPr>
          <w:rFonts w:hint="default" w:ascii="Times New Roman" w:hAnsi="Times New Roman" w:eastAsia="黑体" w:cs="Times New Roman"/>
          <w:sz w:val="44"/>
          <w:szCs w:val="44"/>
          <w:lang w:eastAsia="zh-CN"/>
        </w:rPr>
        <w:t>（参考模板）</w:t>
      </w:r>
    </w:p>
    <w:p w14:paraId="17EFD31C">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sz w:val="24"/>
          <w:szCs w:val="24"/>
        </w:rPr>
      </w:pPr>
    </w:p>
    <w:p w14:paraId="58E3700E">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rPr>
        <w:t xml:space="preserve">1  </w:t>
      </w:r>
      <w:r>
        <w:rPr>
          <w:rFonts w:hint="default" w:ascii="Times New Roman" w:hAnsi="Times New Roman" w:cs="Times New Roman"/>
          <w:lang w:val="en-US" w:eastAsia="zh-CN"/>
        </w:rPr>
        <w:t>风险点确定</w:t>
      </w:r>
    </w:p>
    <w:p w14:paraId="6334F79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以在用的单台（套）特种设备及其作业活动为辨识单元进行风险点划分，按照全面排查、参照目录、分类明确、范围清晰、易于识别、便于管理的原则，将风险点划分为：</w:t>
      </w:r>
    </w:p>
    <w:p w14:paraId="75980D6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——锅炉，如承压蒸汽锅炉、承压热水锅炉、有机热载体锅炉；</w:t>
      </w:r>
    </w:p>
    <w:p w14:paraId="39A3D066">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——压力容器，如固定式压力容器、移动式压力容器、氧舱；</w:t>
      </w:r>
    </w:p>
    <w:p w14:paraId="413F352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——压力管道，如长输管道、公用管道、工业管道；</w:t>
      </w:r>
    </w:p>
    <w:p w14:paraId="11CB387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——电梯，如曳引与强制驱动电梯、液压驱动电梯、自动扶梯与自动人行道、其他类型电梯；</w:t>
      </w:r>
    </w:p>
    <w:p w14:paraId="11034491">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——起重机械，如桥式起重机、门式起重机、塔式起重机、流动式起重机、门座起重机、升降机、缆索式起重机、桅杆式起重机、机械式停车设备；</w:t>
      </w:r>
    </w:p>
    <w:p w14:paraId="2B04401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——客运索道，如客运架空索道、客运缆车、客运拖牵索道；</w:t>
      </w:r>
    </w:p>
    <w:p w14:paraId="2B50FEE0">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rPr>
        <w:t>——大型游乐设施，如观览车类、滑行车类、架空游览车类、陀螺类、飞行塔类、转马类、自控飞机类、赛车类、小火车类、碰碰车类、滑道类、水上游乐设施、无动力游乐设施；</w:t>
      </w:r>
    </w:p>
    <w:p w14:paraId="49D0663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场（厂）内专用机动车辆，如机动工业车辆、非公路用旅游观光车辆。</w:t>
      </w:r>
    </w:p>
    <w:p w14:paraId="168BFF8A">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 xml:space="preserve">2 </w:t>
      </w:r>
      <w:r>
        <w:rPr>
          <w:rFonts w:hint="default" w:ascii="Times New Roman" w:hAnsi="Times New Roman" w:cs="Times New Roman"/>
        </w:rPr>
        <w:t>根据法律、法规、安全技术规范及标准要求组织对本单位特种设备使用全过程进行风险点排查。根据特种设备台账和单位实际情况，建立包括风险点（特种设备）名称、设备种类、类别、品种、型号、所在位置等基本信息的《风险点登记台账-特种设备》</w:t>
      </w:r>
    </w:p>
    <w:p w14:paraId="0FA2348F">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cs="Times New Roman"/>
          <w:lang w:val="en-US" w:eastAsia="zh-CN"/>
        </w:rPr>
        <w:t xml:space="preserve">3 </w:t>
      </w:r>
      <w:r>
        <w:rPr>
          <w:rFonts w:hint="default" w:ascii="Times New Roman" w:hAnsi="Times New Roman" w:cs="Times New Roman"/>
        </w:rPr>
        <w:t>对于移动式压力容器充装和气瓶充装作业，充装单位应建立包括风险点（充装作业）名称、作业活动内容、岗位/地点、活动频率等基本信息的《风险点登记台账-充装作业》</w:t>
      </w:r>
    </w:p>
    <w:p w14:paraId="39688F69">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w:t>
      </w:r>
      <w:r>
        <w:rPr>
          <w:rFonts w:hint="default" w:ascii="Times New Roman" w:hAnsi="Times New Roman" w:cs="Times New Roman"/>
        </w:rPr>
        <w:t xml:space="preserve"> 进行风险评价时，应考虑人、设备和财产等三方面存在的可能性和后果严重程度的影响，并结合单位实际，明确后果（事故）发生的可能性、严重性和风险度取值标准，确定适用的风险判定准则，进行风险评价，判定风险等级。</w:t>
      </w:r>
      <w:r>
        <w:rPr>
          <w:rFonts w:hint="default" w:ascii="Times New Roman" w:hAnsi="Times New Roman" w:cs="Times New Roman"/>
          <w:lang w:val="en-US" w:eastAsia="zh-CN"/>
        </w:rPr>
        <w:t>并明确责任人员。</w:t>
      </w:r>
    </w:p>
    <w:p w14:paraId="2CEF1138">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eastAsia="zh-CN"/>
        </w:rPr>
      </w:pPr>
      <w:r>
        <w:rPr>
          <w:rFonts w:hint="default" w:ascii="Times New Roman" w:hAnsi="Times New Roman" w:cs="Times New Roman"/>
          <w:lang w:eastAsia="zh-CN"/>
        </w:rPr>
        <w:t>5</w:t>
      </w:r>
      <w:r>
        <w:rPr>
          <w:rFonts w:hint="default" w:ascii="Times New Roman" w:hAnsi="Times New Roman" w:cs="Times New Roman"/>
          <w:lang w:val="en-US" w:eastAsia="zh-CN"/>
        </w:rPr>
        <w:t xml:space="preserve"> 针对排查出的风险点应逐一落实风险管控措施。</w:t>
      </w:r>
      <w:r>
        <w:rPr>
          <w:rFonts w:hint="default" w:ascii="Times New Roman" w:hAnsi="Times New Roman" w:cs="Times New Roman"/>
          <w:lang w:eastAsia="zh-CN"/>
        </w:rPr>
        <w:t>风险控制措施应从工程技术（或工程控制）措施、管理措施、培训教育、个体防护、应急处置等方面识别并评估现有控制措施的有效性。如果现有控制措施不足以控制此项风险，应当提出建议或改进的控制措施。</w:t>
      </w:r>
    </w:p>
    <w:p w14:paraId="365FFCC2">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eastAsia="zh-CN"/>
        </w:rPr>
      </w:pPr>
      <w:r>
        <w:rPr>
          <w:rFonts w:hint="default" w:ascii="Times New Roman" w:hAnsi="Times New Roman" w:cs="Times New Roman"/>
          <w:lang w:val="en-US" w:eastAsia="zh-CN"/>
        </w:rPr>
        <w:t xml:space="preserve">6 </w:t>
      </w:r>
      <w:r>
        <w:rPr>
          <w:rFonts w:hint="default" w:ascii="Times New Roman" w:hAnsi="Times New Roman" w:cs="Times New Roman"/>
          <w:lang w:eastAsia="zh-CN"/>
        </w:rPr>
        <w:t>风险控制措施应考虑安全性、可靠性、可行性、先进性及经济合理性。</w:t>
      </w:r>
    </w:p>
    <w:p w14:paraId="20CC4B35">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 当风险管控措施确定后，应即使组织对现有风险的培训和告知。</w:t>
      </w:r>
    </w:p>
    <w:p w14:paraId="4660CE0D">
      <w:pPr>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Cs w:val="24"/>
          <w:lang w:val="en-US" w:eastAsia="zh-CN"/>
        </w:rPr>
      </w:pPr>
      <w:r>
        <w:rPr>
          <w:rFonts w:hint="default" w:ascii="Times New Roman" w:hAnsi="Times New Roman" w:cs="Times New Roman"/>
          <w:lang w:val="en-US" w:eastAsia="zh-CN"/>
        </w:rPr>
        <w:t>8 针对风险分级管控工作应每年进行一次更新、评审。</w:t>
      </w:r>
    </w:p>
    <w:p w14:paraId="1DCA2C53">
      <w:pPr>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strike/>
          <w:color w:val="FF0000"/>
        </w:rPr>
      </w:pPr>
    </w:p>
    <w:p w14:paraId="2721DFD3">
      <w:pPr>
        <w:rPr>
          <w:rFonts w:hint="eastAsia" w:ascii="Times New Roman" w:hAnsi="Times New Roman" w:eastAsia="方正公文小标宋" w:cs="Times New Roman"/>
          <w:sz w:val="44"/>
          <w:szCs w:val="44"/>
          <w:lang w:val="en-US" w:eastAsia="zh-CN"/>
        </w:rPr>
      </w:pPr>
      <w:r>
        <w:rPr>
          <w:rFonts w:hint="eastAsia" w:ascii="Times New Roman" w:hAnsi="Times New Roman" w:eastAsia="方正公文小标宋" w:cs="Times New Roman"/>
          <w:sz w:val="44"/>
          <w:szCs w:val="44"/>
          <w:lang w:val="en-US" w:eastAsia="zh-CN"/>
        </w:rPr>
        <w:br w:type="page"/>
      </w:r>
    </w:p>
    <w:p w14:paraId="063E3578">
      <w:pPr>
        <w:pStyle w:val="2"/>
        <w:bidi w:val="0"/>
        <w:ind w:left="0" w:leftChars="0" w:firstLine="0" w:firstLineChars="0"/>
        <w:rPr>
          <w:rFonts w:hint="default"/>
          <w:b/>
          <w:bCs/>
          <w:lang w:val="en-US" w:eastAsia="zh-CN"/>
        </w:rPr>
      </w:pPr>
      <w:bookmarkStart w:id="57" w:name="_Toc9866"/>
      <w:r>
        <w:rPr>
          <w:rFonts w:hint="default"/>
          <w:b/>
          <w:bCs/>
          <w:lang w:val="en-US" w:eastAsia="zh-CN"/>
        </w:rPr>
        <w:t>附件</w:t>
      </w:r>
      <w:r>
        <w:rPr>
          <w:rFonts w:hint="eastAsia"/>
          <w:b/>
          <w:bCs/>
          <w:lang w:val="en-US" w:eastAsia="zh-CN"/>
        </w:rPr>
        <w:t>3</w:t>
      </w:r>
      <w:r>
        <w:rPr>
          <w:rFonts w:hint="default"/>
          <w:b/>
          <w:bCs/>
          <w:lang w:eastAsia="zh-CN"/>
        </w:rPr>
        <w:t>特种设备日管控、周排查、月调度制度</w:t>
      </w:r>
      <w:r>
        <w:rPr>
          <w:rFonts w:hint="default"/>
          <w:b/>
          <w:bCs/>
          <w:lang w:val="en-US" w:eastAsia="zh-CN"/>
        </w:rPr>
        <w:t>参考模板</w:t>
      </w:r>
      <w:bookmarkEnd w:id="57"/>
    </w:p>
    <w:p w14:paraId="71311157">
      <w:pPr>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公文小标宋" w:cs="Times New Roman"/>
          <w:color w:val="FF0000"/>
          <w:sz w:val="44"/>
          <w:szCs w:val="44"/>
          <w:lang w:val="en-US" w:eastAsia="zh-CN"/>
        </w:rPr>
      </w:pPr>
    </w:p>
    <w:p w14:paraId="1A0658CB">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公文小标宋" w:cs="Times New Roman"/>
          <w:color w:val="FF0000"/>
          <w:sz w:val="44"/>
          <w:szCs w:val="44"/>
          <w:lang w:eastAsia="zh-CN"/>
        </w:rPr>
      </w:pPr>
      <w:r>
        <w:rPr>
          <w:rFonts w:hint="eastAsia" w:ascii="Times New Roman" w:hAnsi="Times New Roman" w:eastAsia="方正公文小标宋" w:cs="Times New Roman"/>
          <w:color w:val="FF0000"/>
          <w:sz w:val="44"/>
          <w:szCs w:val="44"/>
          <w:lang w:val="en-US" w:eastAsia="zh-CN"/>
        </w:rPr>
        <w:t>XX</w:t>
      </w:r>
      <w:r>
        <w:rPr>
          <w:rFonts w:hint="default" w:ascii="Times New Roman" w:hAnsi="Times New Roman" w:eastAsia="方正公文小标宋" w:cs="Times New Roman"/>
          <w:color w:val="FF0000"/>
          <w:sz w:val="44"/>
          <w:szCs w:val="44"/>
          <w:lang w:val="en-US" w:eastAsia="zh-CN"/>
        </w:rPr>
        <w:t>XX</w:t>
      </w:r>
      <w:r>
        <w:rPr>
          <w:rFonts w:hint="default" w:ascii="Times New Roman" w:hAnsi="Times New Roman" w:eastAsia="方正公文小标宋" w:cs="Times New Roman"/>
          <w:color w:val="FF0000"/>
          <w:sz w:val="44"/>
          <w:szCs w:val="44"/>
          <w:lang w:eastAsia="zh-CN"/>
        </w:rPr>
        <w:t>公司</w:t>
      </w:r>
    </w:p>
    <w:p w14:paraId="36BE97A7">
      <w:pPr>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公文小标宋" w:cs="Times New Roman"/>
          <w:sz w:val="44"/>
          <w:szCs w:val="44"/>
          <w:lang w:eastAsia="zh-CN"/>
        </w:rPr>
      </w:pPr>
      <w:r>
        <w:rPr>
          <w:rFonts w:hint="default" w:ascii="Times New Roman" w:hAnsi="Times New Roman" w:eastAsia="方正公文小标宋" w:cs="Times New Roman"/>
          <w:sz w:val="44"/>
          <w:szCs w:val="44"/>
          <w:lang w:eastAsia="zh-CN"/>
        </w:rPr>
        <w:t>特种设备</w:t>
      </w:r>
      <w:r>
        <w:rPr>
          <w:rFonts w:hint="default" w:ascii="Times New Roman" w:hAnsi="Times New Roman" w:eastAsia="方正公文小标宋" w:cs="Times New Roman"/>
          <w:sz w:val="44"/>
          <w:szCs w:val="44"/>
        </w:rPr>
        <w:t>安全风险日管控、周排查、月调度管理制度</w:t>
      </w:r>
      <w:r>
        <w:rPr>
          <w:rFonts w:hint="default" w:ascii="Times New Roman" w:hAnsi="Times New Roman" w:eastAsia="方正公文小标宋" w:cs="Times New Roman"/>
          <w:sz w:val="44"/>
          <w:szCs w:val="44"/>
          <w:lang w:eastAsia="zh-CN"/>
        </w:rPr>
        <w:t>（</w:t>
      </w:r>
      <w:r>
        <w:rPr>
          <w:rFonts w:hint="default" w:ascii="Times New Roman" w:hAnsi="Times New Roman" w:eastAsia="方正公文小标宋" w:cs="Times New Roman"/>
          <w:sz w:val="44"/>
          <w:szCs w:val="44"/>
          <w:lang w:val="en-US" w:eastAsia="zh-CN"/>
        </w:rPr>
        <w:t>参考模板</w:t>
      </w:r>
      <w:r>
        <w:rPr>
          <w:rFonts w:hint="default" w:ascii="Times New Roman" w:hAnsi="Times New Roman" w:eastAsia="方正公文小标宋" w:cs="Times New Roman"/>
          <w:sz w:val="44"/>
          <w:szCs w:val="44"/>
          <w:lang w:eastAsia="zh-CN"/>
        </w:rPr>
        <w:t>）</w:t>
      </w:r>
    </w:p>
    <w:p w14:paraId="36A47944">
      <w:pPr>
        <w:pStyle w:val="25"/>
        <w:keepNext/>
        <w:keepLines/>
        <w:pageBreakBefore w:val="0"/>
        <w:kinsoku/>
        <w:wordWrap/>
        <w:overflowPunct/>
        <w:topLinePunct w:val="0"/>
        <w:autoSpaceDE/>
        <w:autoSpaceDN/>
        <w:bidi w:val="0"/>
        <w:adjustRightInd/>
        <w:snapToGrid/>
        <w:spacing w:after="0" w:line="560" w:lineRule="exact"/>
        <w:textAlignment w:val="auto"/>
        <w:rPr>
          <w:rFonts w:hint="default" w:ascii="Times New Roman" w:hAnsi="Times New Roman" w:eastAsia="方正小标宋简体" w:cs="Times New Roman"/>
          <w:b/>
          <w:bCs/>
          <w:color w:val="000000"/>
          <w:sz w:val="44"/>
          <w:szCs w:val="44"/>
        </w:rPr>
      </w:pPr>
    </w:p>
    <w:p w14:paraId="02718051">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黑体" w:cs="Times New Roman"/>
          <w:b/>
          <w:bCs/>
          <w:color w:val="000000"/>
          <w:sz w:val="32"/>
          <w:szCs w:val="32"/>
        </w:rPr>
        <w:t>1</w:t>
      </w:r>
      <w:r>
        <w:rPr>
          <w:rFonts w:hint="default" w:ascii="Times New Roman" w:hAnsi="Times New Roman" w:eastAsia="黑体" w:cs="Times New Roman"/>
          <w:b/>
          <w:bCs/>
          <w:color w:val="000000"/>
          <w:sz w:val="32"/>
          <w:szCs w:val="32"/>
          <w:lang w:eastAsia="zh-CN"/>
        </w:rPr>
        <w:t>.</w:t>
      </w:r>
      <w:r>
        <w:rPr>
          <w:rFonts w:hint="default" w:ascii="Times New Roman" w:hAnsi="Times New Roman" w:eastAsia="黑体" w:cs="Times New Roman"/>
          <w:b/>
          <w:bCs/>
          <w:color w:val="000000"/>
          <w:sz w:val="32"/>
          <w:szCs w:val="32"/>
        </w:rPr>
        <w:t>目的</w:t>
      </w:r>
    </w:p>
    <w:p w14:paraId="3D41AFA8">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rPr>
        <w:t>为了落实本企业（单位）特种设备使用安全主体责任，强化主要负责人特种设备安全责任，规范特种设备安全管理人员行为,根据《中华人民共和国特种设备安全法》《特种设备安全监察条例》及《特种设备使用单位落实使用安全主体责任监督管理规定》（总局令第</w:t>
      </w:r>
      <w:r>
        <w:rPr>
          <w:rFonts w:hint="default" w:ascii="Times New Roman" w:hAnsi="Times New Roman" w:eastAsia="仿宋_GB2312" w:cs="Times New Roman"/>
          <w:b/>
          <w:bCs/>
          <w:color w:val="000000"/>
          <w:sz w:val="32"/>
          <w:szCs w:val="32"/>
          <w:lang w:val="en-US" w:eastAsia="zh-CN"/>
        </w:rPr>
        <w:t>74</w:t>
      </w:r>
      <w:r>
        <w:rPr>
          <w:rFonts w:hint="default" w:ascii="Times New Roman" w:hAnsi="Times New Roman" w:eastAsia="仿宋_GB2312" w:cs="Times New Roman"/>
          <w:b/>
          <w:bCs/>
          <w:color w:val="000000"/>
          <w:sz w:val="32"/>
          <w:szCs w:val="32"/>
        </w:rPr>
        <w:t>号）等法律法规的规定，结合本单位实际情况制定本制度。</w:t>
      </w:r>
    </w:p>
    <w:p w14:paraId="260D02B8">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黑体" w:cs="Times New Roman"/>
          <w:b/>
          <w:bCs/>
          <w:color w:val="000000"/>
          <w:sz w:val="32"/>
          <w:szCs w:val="32"/>
        </w:rPr>
      </w:pPr>
      <w:r>
        <w:rPr>
          <w:rFonts w:hint="default" w:ascii="Times New Roman" w:hAnsi="Times New Roman" w:eastAsia="黑体" w:cs="Times New Roman"/>
          <w:b/>
          <w:bCs/>
          <w:color w:val="000000"/>
          <w:sz w:val="32"/>
          <w:szCs w:val="32"/>
        </w:rPr>
        <w:t>2</w:t>
      </w:r>
      <w:r>
        <w:rPr>
          <w:rFonts w:hint="default" w:ascii="Times New Roman" w:hAnsi="Times New Roman" w:eastAsia="黑体" w:cs="Times New Roman"/>
          <w:b/>
          <w:bCs/>
          <w:color w:val="000000"/>
          <w:sz w:val="32"/>
          <w:szCs w:val="32"/>
          <w:lang w:eastAsia="zh-CN"/>
        </w:rPr>
        <w:t>.</w:t>
      </w:r>
      <w:r>
        <w:rPr>
          <w:rFonts w:hint="default" w:ascii="Times New Roman" w:hAnsi="Times New Roman" w:eastAsia="黑体" w:cs="Times New Roman"/>
          <w:b/>
          <w:bCs/>
          <w:color w:val="000000"/>
          <w:sz w:val="32"/>
          <w:szCs w:val="32"/>
        </w:rPr>
        <w:t>范围</w:t>
      </w:r>
    </w:p>
    <w:p w14:paraId="5CC71955">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sz w:val="32"/>
          <w:szCs w:val="32"/>
        </w:rPr>
        <w:t>适用于本企业（单位）内对特种设备使用安全风险隐患管控有关的管理层及各职能有关人员</w:t>
      </w:r>
      <w:r>
        <w:rPr>
          <w:rFonts w:hint="default" w:ascii="Times New Roman" w:hAnsi="Times New Roman" w:eastAsia="仿宋_GB2312" w:cs="Times New Roman"/>
          <w:b/>
          <w:bCs/>
          <w:color w:val="000000"/>
          <w:sz w:val="32"/>
          <w:szCs w:val="32"/>
          <w:lang w:eastAsia="zh-CN"/>
        </w:rPr>
        <w:t>。</w:t>
      </w:r>
    </w:p>
    <w:p w14:paraId="17F73E97">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黑体" w:cs="Times New Roman"/>
          <w:b/>
          <w:bCs/>
          <w:color w:val="000000"/>
          <w:sz w:val="32"/>
          <w:szCs w:val="32"/>
        </w:rPr>
      </w:pPr>
      <w:r>
        <w:rPr>
          <w:rFonts w:hint="default" w:ascii="Times New Roman" w:hAnsi="Times New Roman" w:eastAsia="黑体" w:cs="Times New Roman"/>
          <w:b/>
          <w:bCs/>
          <w:color w:val="000000"/>
          <w:sz w:val="32"/>
          <w:szCs w:val="32"/>
        </w:rPr>
        <w:t>3</w:t>
      </w:r>
      <w:r>
        <w:rPr>
          <w:rFonts w:hint="default" w:ascii="Times New Roman" w:hAnsi="Times New Roman" w:eastAsia="黑体" w:cs="Times New Roman"/>
          <w:b/>
          <w:bCs/>
          <w:color w:val="000000"/>
          <w:sz w:val="32"/>
          <w:szCs w:val="32"/>
          <w:lang w:eastAsia="zh-CN"/>
        </w:rPr>
        <w:t>.</w:t>
      </w:r>
      <w:r>
        <w:rPr>
          <w:rFonts w:hint="default" w:ascii="Times New Roman" w:hAnsi="Times New Roman" w:eastAsia="黑体" w:cs="Times New Roman"/>
          <w:b/>
          <w:bCs/>
          <w:color w:val="000000"/>
          <w:sz w:val="32"/>
          <w:szCs w:val="32"/>
        </w:rPr>
        <w:t>职责</w:t>
      </w:r>
    </w:p>
    <w:p w14:paraId="50274A20">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lang w:val="en-US" w:eastAsia="zh-CN" w:bidi="en-US"/>
        </w:rPr>
        <w:t>3.1</w:t>
      </w:r>
      <w:r>
        <w:rPr>
          <w:rFonts w:hint="default" w:ascii="Times New Roman" w:hAnsi="Times New Roman" w:eastAsia="仿宋_GB2312" w:cs="Times New Roman"/>
          <w:b/>
          <w:bCs/>
          <w:color w:val="000000"/>
          <w:sz w:val="32"/>
          <w:szCs w:val="32"/>
        </w:rPr>
        <w:t>本企业（单位）主要负责人对本单位特种设备使用安全工作全面负责，建立并落实特种设备使用安全主体责任的长效机制。</w:t>
      </w:r>
    </w:p>
    <w:p w14:paraId="5A050858">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lang w:val="en-US" w:eastAsia="zh-CN" w:bidi="en-US"/>
        </w:rPr>
        <w:t>3.</w:t>
      </w:r>
      <w:r>
        <w:rPr>
          <w:rFonts w:hint="default" w:ascii="Times New Roman" w:hAnsi="Times New Roman" w:eastAsia="仿宋_GB2312" w:cs="Times New Roman"/>
          <w:b/>
          <w:bCs/>
          <w:color w:val="000000"/>
          <w:sz w:val="32"/>
          <w:szCs w:val="32"/>
        </w:rPr>
        <w:t>2特种设备安全总监负责特种设备安全风险日管控、周排查、月调度管理制度的编制、修改及更新。</w:t>
      </w:r>
    </w:p>
    <w:p w14:paraId="3AD3B787">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sz w:val="32"/>
          <w:szCs w:val="32"/>
          <w:lang w:val="en-US" w:eastAsia="zh-CN" w:bidi="en-US"/>
        </w:rPr>
        <w:t>3.</w:t>
      </w:r>
      <w:r>
        <w:rPr>
          <w:rFonts w:hint="default" w:ascii="Times New Roman" w:hAnsi="Times New Roman" w:eastAsia="仿宋_GB2312" w:cs="Times New Roman"/>
          <w:b/>
          <w:bCs/>
          <w:color w:val="000000"/>
          <w:sz w:val="32"/>
          <w:szCs w:val="32"/>
        </w:rPr>
        <w:t>3特种设备安全员按照要求落实特种设备安全风险日管控相关工作，按照制度要求及时上报特种设备安全总监或单位主要负责人</w:t>
      </w:r>
      <w:r>
        <w:rPr>
          <w:rFonts w:hint="default" w:ascii="Times New Roman" w:hAnsi="Times New Roman" w:eastAsia="仿宋_GB2312" w:cs="Times New Roman"/>
          <w:b/>
          <w:bCs/>
          <w:color w:val="000000"/>
          <w:sz w:val="32"/>
          <w:szCs w:val="32"/>
          <w:lang w:eastAsia="zh-CN"/>
        </w:rPr>
        <w:t>。</w:t>
      </w:r>
    </w:p>
    <w:p w14:paraId="29A0C9EF">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lang w:val="en-US" w:eastAsia="zh-CN" w:bidi="en-US"/>
        </w:rPr>
        <w:t>3.</w:t>
      </w:r>
      <w:r>
        <w:rPr>
          <w:rFonts w:hint="default" w:ascii="Times New Roman" w:hAnsi="Times New Roman" w:eastAsia="仿宋_GB2312" w:cs="Times New Roman"/>
          <w:b/>
          <w:bCs/>
          <w:color w:val="000000"/>
          <w:sz w:val="32"/>
          <w:szCs w:val="32"/>
        </w:rPr>
        <w:t>4特种设备安全总监负责对于风险排查中发现的特种设备安全风险隐患问题，明确责任人，督促相关责任人</w:t>
      </w:r>
      <w:r>
        <w:rPr>
          <w:rFonts w:hint="default" w:ascii="Times New Roman" w:hAnsi="Times New Roman" w:eastAsia="仿宋_GB2312" w:cs="Times New Roman"/>
          <w:b/>
          <w:bCs/>
          <w:color w:val="000000"/>
          <w:sz w:val="32"/>
          <w:szCs w:val="32"/>
          <w:lang w:val="en-US" w:eastAsia="zh-CN"/>
        </w:rPr>
        <w:t>采取</w:t>
      </w:r>
      <w:r>
        <w:rPr>
          <w:rFonts w:hint="default" w:ascii="Times New Roman" w:hAnsi="Times New Roman" w:eastAsia="仿宋_GB2312" w:cs="Times New Roman"/>
          <w:b/>
          <w:bCs/>
          <w:color w:val="000000"/>
          <w:sz w:val="32"/>
          <w:szCs w:val="32"/>
        </w:rPr>
        <w:t>相适应的防范措施，及时解决发现的问题，向主要负责人报告有关情况，提出改进措施。</w:t>
      </w:r>
    </w:p>
    <w:p w14:paraId="5592CD63">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黑体" w:cs="Times New Roman"/>
          <w:b/>
          <w:bCs/>
          <w:sz w:val="32"/>
          <w:szCs w:val="32"/>
        </w:rPr>
      </w:pPr>
      <w:r>
        <w:rPr>
          <w:rFonts w:hint="default" w:ascii="Times New Roman" w:hAnsi="Times New Roman" w:eastAsia="黑体" w:cs="Times New Roman"/>
          <w:b/>
          <w:bCs/>
          <w:color w:val="000000"/>
          <w:sz w:val="32"/>
          <w:szCs w:val="32"/>
        </w:rPr>
        <w:t>4</w:t>
      </w:r>
      <w:r>
        <w:rPr>
          <w:rFonts w:hint="default" w:ascii="Times New Roman" w:hAnsi="Times New Roman" w:eastAsia="黑体" w:cs="Times New Roman"/>
          <w:b/>
          <w:bCs/>
          <w:color w:val="000000"/>
          <w:sz w:val="32"/>
          <w:szCs w:val="32"/>
          <w:lang w:eastAsia="zh-CN"/>
        </w:rPr>
        <w:t>.</w:t>
      </w:r>
      <w:r>
        <w:rPr>
          <w:rFonts w:hint="default" w:ascii="Times New Roman" w:hAnsi="Times New Roman" w:eastAsia="黑体" w:cs="Times New Roman"/>
          <w:b/>
          <w:bCs/>
          <w:color w:val="000000"/>
          <w:sz w:val="32"/>
          <w:szCs w:val="32"/>
        </w:rPr>
        <w:t>管理要求</w:t>
      </w:r>
    </w:p>
    <w:p w14:paraId="666D6636">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lang w:val="en-US" w:eastAsia="zh-CN" w:bidi="en-US"/>
        </w:rPr>
        <w:t>4.1</w:t>
      </w:r>
      <w:r>
        <w:rPr>
          <w:rFonts w:hint="default" w:ascii="Times New Roman" w:hAnsi="Times New Roman" w:eastAsia="仿宋_GB2312" w:cs="Times New Roman"/>
          <w:b/>
          <w:bCs/>
          <w:color w:val="000000"/>
          <w:sz w:val="32"/>
          <w:szCs w:val="32"/>
        </w:rPr>
        <w:t>主要负责人根据本单位使用的特种设备数量、用途、使用环境等情况配备合适的安全总监和足够数量的安全员，并逐台明确负责的安全员；安全员负责日管控具体工作的情况落实，协助安全总监负责周排查、月调度具体工作的情况落实。</w:t>
      </w:r>
    </w:p>
    <w:p w14:paraId="4D0A967C">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仿宋_GB2312" w:cs="Times New Roman"/>
          <w:b/>
          <w:bCs/>
          <w:sz w:val="32"/>
          <w:szCs w:val="32"/>
        </w:rPr>
      </w:pPr>
      <w:r>
        <w:rPr>
          <w:rFonts w:hint="default" w:ascii="Times New Roman" w:hAnsi="Times New Roman" w:eastAsia="楷体" w:cs="Times New Roman"/>
          <w:b/>
          <w:bCs/>
          <w:color w:val="000000"/>
          <w:sz w:val="32"/>
          <w:szCs w:val="32"/>
          <w:lang w:val="en-US" w:eastAsia="zh-CN" w:bidi="en-US"/>
        </w:rPr>
        <w:t>4.2</w:t>
      </w:r>
      <w:r>
        <w:rPr>
          <w:rFonts w:hint="default" w:ascii="Times New Roman" w:hAnsi="Times New Roman" w:eastAsia="楷体" w:cs="Times New Roman"/>
          <w:b/>
          <w:bCs/>
          <w:color w:val="000000"/>
          <w:sz w:val="32"/>
          <w:szCs w:val="32"/>
        </w:rPr>
        <w:t>日管控</w:t>
      </w:r>
    </w:p>
    <w:p w14:paraId="5B46BCB3">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sz w:val="32"/>
          <w:szCs w:val="32"/>
          <w:lang w:val="en-US" w:eastAsia="zh-CN" w:bidi="en-US"/>
        </w:rPr>
        <w:t>4.2.1</w:t>
      </w:r>
      <w:r>
        <w:rPr>
          <w:rFonts w:hint="default" w:ascii="Times New Roman" w:hAnsi="Times New Roman" w:eastAsia="仿宋_GB2312" w:cs="Times New Roman"/>
          <w:b/>
          <w:bCs/>
          <w:color w:val="000000"/>
          <w:sz w:val="32"/>
          <w:szCs w:val="32"/>
        </w:rPr>
        <w:t>日管控风险内容参照各类特种设备的《风险管控清单》</w:t>
      </w:r>
      <w:r>
        <w:rPr>
          <w:rFonts w:hint="default" w:ascii="Times New Roman" w:hAnsi="Times New Roman" w:eastAsia="仿宋_GB2312" w:cs="Times New Roman"/>
          <w:b/>
          <w:bCs/>
          <w:color w:val="000000"/>
          <w:sz w:val="32"/>
          <w:szCs w:val="32"/>
          <w:lang w:eastAsia="zh-CN"/>
        </w:rPr>
        <w:t>。</w:t>
      </w:r>
    </w:p>
    <w:p w14:paraId="20050E7F">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lang w:val="en-US" w:eastAsia="zh-CN" w:bidi="en-US"/>
        </w:rPr>
        <w:t>4.2.2</w:t>
      </w:r>
      <w:r>
        <w:rPr>
          <w:rFonts w:hint="default" w:ascii="Times New Roman" w:hAnsi="Times New Roman" w:eastAsia="仿宋_GB2312" w:cs="Times New Roman"/>
          <w:b/>
          <w:bCs/>
          <w:color w:val="000000"/>
          <w:sz w:val="32"/>
          <w:szCs w:val="32"/>
        </w:rPr>
        <w:t>工作期间，特种设备安全员每日根据《风险管控清单》进行检查，管控各个环节可能存在的特种设备安全风险隐患，并将检查结果汇总记录在《每日XX</w:t>
      </w:r>
      <w:r>
        <w:rPr>
          <w:rFonts w:hint="default" w:ascii="Times New Roman" w:hAnsi="Times New Roman" w:eastAsia="仿宋_GB2312" w:cs="Times New Roman"/>
          <w:b/>
          <w:bCs/>
          <w:color w:val="000000"/>
          <w:sz w:val="32"/>
          <w:szCs w:val="32"/>
          <w:lang w:val="en-US" w:eastAsia="zh-CN"/>
        </w:rPr>
        <w:t>设备</w:t>
      </w:r>
      <w:r>
        <w:rPr>
          <w:rFonts w:hint="default" w:ascii="Times New Roman" w:hAnsi="Times New Roman" w:eastAsia="仿宋_GB2312" w:cs="Times New Roman"/>
          <w:b/>
          <w:bCs/>
          <w:color w:val="000000"/>
          <w:sz w:val="32"/>
          <w:szCs w:val="32"/>
        </w:rPr>
        <w:t>安全检查记录》表上，可采用电子表格的形式予以记录。未发现问题的，也应当予以记录，实行零报告。</w:t>
      </w:r>
    </w:p>
    <w:p w14:paraId="666710CF">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lang w:val="en-US" w:eastAsia="zh-CN" w:bidi="en-US"/>
        </w:rPr>
        <w:t>4.2.</w:t>
      </w:r>
      <w:r>
        <w:rPr>
          <w:rFonts w:hint="default" w:ascii="Times New Roman" w:hAnsi="Times New Roman" w:eastAsia="仿宋_GB2312" w:cs="Times New Roman"/>
          <w:b/>
          <w:bCs/>
          <w:color w:val="000000"/>
          <w:sz w:val="32"/>
          <w:szCs w:val="32"/>
        </w:rPr>
        <w:t>3对于日管控检查中发现的特种设备安全风险隐患问题，明确责任人，及时反馈特种设备安全总监立即</w:t>
      </w:r>
      <w:r>
        <w:rPr>
          <w:rFonts w:hint="default" w:ascii="Times New Roman" w:hAnsi="Times New Roman" w:eastAsia="仿宋_GB2312" w:cs="Times New Roman"/>
          <w:b/>
          <w:bCs/>
          <w:color w:val="000000"/>
          <w:sz w:val="32"/>
          <w:szCs w:val="32"/>
          <w:lang w:val="en-US" w:eastAsia="zh-CN"/>
        </w:rPr>
        <w:t>采取</w:t>
      </w:r>
      <w:r>
        <w:rPr>
          <w:rFonts w:hint="default" w:ascii="Times New Roman" w:hAnsi="Times New Roman" w:eastAsia="仿宋_GB2312" w:cs="Times New Roman"/>
          <w:b/>
          <w:bCs/>
          <w:color w:val="000000"/>
          <w:sz w:val="32"/>
          <w:szCs w:val="32"/>
        </w:rPr>
        <w:t>防范措施。对于现场能立即整改的应立即整改；对于不能现场立即整改的，应明确整改期限，在后续日管控检查中跟踪验证整改落实情况。</w:t>
      </w:r>
    </w:p>
    <w:p w14:paraId="08CF7A59">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楷体" w:cs="Times New Roman"/>
          <w:b/>
          <w:bCs/>
          <w:sz w:val="32"/>
          <w:szCs w:val="32"/>
        </w:rPr>
      </w:pPr>
      <w:r>
        <w:rPr>
          <w:rFonts w:hint="default" w:ascii="Times New Roman" w:hAnsi="Times New Roman" w:eastAsia="楷体" w:cs="Times New Roman"/>
          <w:b/>
          <w:bCs/>
          <w:color w:val="000000"/>
          <w:sz w:val="32"/>
          <w:szCs w:val="32"/>
          <w:lang w:val="en-US" w:eastAsia="zh-CN" w:bidi="en-US"/>
        </w:rPr>
        <w:t>4.</w:t>
      </w:r>
      <w:r>
        <w:rPr>
          <w:rFonts w:hint="default" w:ascii="Times New Roman" w:hAnsi="Times New Roman" w:eastAsia="楷体" w:cs="Times New Roman"/>
          <w:b/>
          <w:bCs/>
          <w:color w:val="000000"/>
          <w:sz w:val="32"/>
          <w:szCs w:val="32"/>
        </w:rPr>
        <w:t>3周排查</w:t>
      </w:r>
    </w:p>
    <w:p w14:paraId="7F968312">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lang w:val="en-US" w:eastAsia="zh-CN" w:bidi="en-US"/>
        </w:rPr>
        <w:t>4.3.</w:t>
      </w:r>
      <w:r>
        <w:rPr>
          <w:rFonts w:hint="default" w:ascii="Times New Roman" w:hAnsi="Times New Roman" w:eastAsia="仿宋_GB2312" w:cs="Times New Roman"/>
          <w:b/>
          <w:bCs/>
          <w:color w:val="000000"/>
          <w:sz w:val="32"/>
          <w:szCs w:val="32"/>
        </w:rPr>
        <w:t>1工作期间，特种设备安全总监每周至少组织1次风险隐患排查，全面排查使用过程各环节可能存在的特种设备安全风险隐患。</w:t>
      </w:r>
    </w:p>
    <w:p w14:paraId="37756D3F">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color w:val="000000"/>
          <w:sz w:val="32"/>
          <w:szCs w:val="32"/>
          <w:lang w:val="en-US" w:eastAsia="zh-CN" w:bidi="en-US"/>
        </w:rPr>
        <w:t>4.3.2</w:t>
      </w:r>
      <w:r>
        <w:rPr>
          <w:rFonts w:hint="default" w:ascii="Times New Roman" w:hAnsi="Times New Roman" w:eastAsia="仿宋_GB2312" w:cs="Times New Roman"/>
          <w:b/>
          <w:bCs/>
          <w:color w:val="000000"/>
          <w:sz w:val="32"/>
          <w:szCs w:val="32"/>
        </w:rPr>
        <w:t>工作期间，排查可以结合日管控情况、现场自查情况、其他各渠道收集的特种设备安全信息等，分析各单位的特种设备安全管理情况，检讨日管控中存在的问题，对于频繁发生或者存在较高特种设备安全风险的问题，应制定相应的纠正预防措施，督促相关人员落实整改并进行跟踪验证整改结果。</w:t>
      </w:r>
    </w:p>
    <w:p w14:paraId="71198B3C">
      <w:pPr>
        <w:pStyle w:val="26"/>
        <w:keepNext w:val="0"/>
        <w:keepLines w:val="0"/>
        <w:pageBreakBefore w:val="0"/>
        <w:widowControl w:val="0"/>
        <w:tabs>
          <w:tab w:val="left" w:pos="366"/>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bookmarkStart w:id="58" w:name="bookmark1564"/>
      <w:bookmarkEnd w:id="58"/>
      <w:r>
        <w:rPr>
          <w:rFonts w:hint="default" w:ascii="Times New Roman" w:hAnsi="Times New Roman" w:eastAsia="仿宋_GB2312" w:cs="Times New Roman"/>
          <w:b/>
          <w:bCs/>
          <w:color w:val="000000"/>
          <w:sz w:val="32"/>
          <w:szCs w:val="32"/>
          <w:lang w:val="en-US" w:eastAsia="zh-CN" w:bidi="en-US"/>
        </w:rPr>
        <w:t>4.3.3</w:t>
      </w:r>
      <w:r>
        <w:rPr>
          <w:rFonts w:hint="default" w:ascii="Times New Roman" w:hAnsi="Times New Roman" w:eastAsia="仿宋_GB2312" w:cs="Times New Roman"/>
          <w:b/>
          <w:bCs/>
          <w:color w:val="000000"/>
          <w:sz w:val="32"/>
          <w:szCs w:val="32"/>
        </w:rPr>
        <w:t>对于周排查形成的《每周XX</w:t>
      </w:r>
      <w:r>
        <w:rPr>
          <w:rFonts w:hint="default" w:ascii="Times New Roman" w:hAnsi="Times New Roman" w:eastAsia="仿宋_GB2312" w:cs="Times New Roman"/>
          <w:b/>
          <w:bCs/>
          <w:color w:val="000000"/>
          <w:sz w:val="32"/>
          <w:szCs w:val="32"/>
          <w:lang w:val="en-US" w:eastAsia="zh-CN"/>
        </w:rPr>
        <w:t>设备</w:t>
      </w:r>
      <w:r>
        <w:rPr>
          <w:rFonts w:hint="default" w:ascii="Times New Roman" w:hAnsi="Times New Roman" w:eastAsia="仿宋_GB2312" w:cs="Times New Roman"/>
          <w:b/>
          <w:bCs/>
          <w:color w:val="000000"/>
          <w:sz w:val="32"/>
          <w:szCs w:val="32"/>
        </w:rPr>
        <w:t>安全排查治理报告》，应及时报至特种设备安全总监，抄送相关责任负责人，使其知晓存在的特种设备安全风险，督促相关责任人采取相应的管控措施，确保特种设备安全风险可控。</w:t>
      </w:r>
    </w:p>
    <w:p w14:paraId="2722D46E">
      <w:pPr>
        <w:pStyle w:val="26"/>
        <w:keepNext w:val="0"/>
        <w:keepLines w:val="0"/>
        <w:pageBreakBefore w:val="0"/>
        <w:widowControl w:val="0"/>
        <w:tabs>
          <w:tab w:val="left" w:pos="366"/>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rPr>
      </w:pPr>
      <w:bookmarkStart w:id="59" w:name="bookmark1565"/>
      <w:bookmarkEnd w:id="59"/>
      <w:r>
        <w:rPr>
          <w:rFonts w:hint="default" w:ascii="Times New Roman" w:hAnsi="Times New Roman" w:eastAsia="仿宋_GB2312" w:cs="Times New Roman"/>
          <w:b/>
          <w:bCs/>
          <w:color w:val="000000"/>
          <w:sz w:val="32"/>
          <w:szCs w:val="32"/>
          <w:lang w:val="en-US" w:eastAsia="zh-CN" w:bidi="en-US"/>
        </w:rPr>
        <w:t>4.3.4</w:t>
      </w:r>
      <w:r>
        <w:rPr>
          <w:rFonts w:hint="default" w:ascii="Times New Roman" w:hAnsi="Times New Roman" w:eastAsia="仿宋_GB2312" w:cs="Times New Roman"/>
          <w:b/>
          <w:bCs/>
          <w:color w:val="000000"/>
          <w:sz w:val="32"/>
          <w:szCs w:val="32"/>
        </w:rPr>
        <w:t>对排查出的风险隐患，如能在短期完成治理整改的，应立即采取措施进行治理排除；对情况复杂、短期内难以治理排除的,要制订整改方案和应对预案，落实治理整改措施、整改效果、责任人和期限等，防范突发事件的发生。</w:t>
      </w:r>
    </w:p>
    <w:p w14:paraId="56729DF1">
      <w:pPr>
        <w:pStyle w:val="26"/>
        <w:keepNext w:val="0"/>
        <w:keepLines w:val="0"/>
        <w:pageBreakBefore w:val="0"/>
        <w:widowControl w:val="0"/>
        <w:tabs>
          <w:tab w:val="left" w:pos="381"/>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楷体" w:cs="Times New Roman"/>
          <w:b/>
          <w:bCs/>
          <w:sz w:val="32"/>
          <w:szCs w:val="32"/>
        </w:rPr>
      </w:pPr>
      <w:bookmarkStart w:id="60" w:name="bookmark1566"/>
      <w:bookmarkEnd w:id="60"/>
      <w:r>
        <w:rPr>
          <w:rFonts w:hint="default" w:ascii="Times New Roman" w:hAnsi="Times New Roman" w:eastAsia="楷体" w:cs="Times New Roman"/>
          <w:b/>
          <w:bCs/>
          <w:color w:val="000000"/>
          <w:sz w:val="32"/>
          <w:szCs w:val="32"/>
          <w:lang w:val="en-US" w:eastAsia="zh-CN"/>
        </w:rPr>
        <w:t>4.</w:t>
      </w:r>
      <w:r>
        <w:rPr>
          <w:rFonts w:hint="default" w:ascii="Times New Roman" w:hAnsi="Times New Roman" w:eastAsia="楷体" w:cs="Times New Roman"/>
          <w:b/>
          <w:bCs/>
          <w:color w:val="000000"/>
          <w:sz w:val="32"/>
          <w:szCs w:val="32"/>
        </w:rPr>
        <w:t>4月调度</w:t>
      </w:r>
    </w:p>
    <w:p w14:paraId="29CF6093">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sz w:val="32"/>
          <w:szCs w:val="32"/>
          <w:lang w:val="en-US" w:eastAsia="zh-CN" w:bidi="en-US"/>
        </w:rPr>
        <w:t>4.4.</w:t>
      </w:r>
      <w:r>
        <w:rPr>
          <w:rFonts w:hint="default" w:ascii="Times New Roman" w:hAnsi="Times New Roman" w:eastAsia="仿宋_GB2312" w:cs="Times New Roman"/>
          <w:b/>
          <w:bCs/>
          <w:color w:val="000000"/>
          <w:sz w:val="32"/>
          <w:szCs w:val="32"/>
        </w:rPr>
        <w:t>1根据落实主体责任要求，由特种设备安全总监负责月调度具体工作的情况落实，由企业（单位）主要负责人组织召开月调度会议，听取特种设备安全总监关于特种设备安全管理工作的情况汇报</w:t>
      </w:r>
      <w:r>
        <w:rPr>
          <w:rFonts w:hint="default" w:ascii="Times New Roman" w:hAnsi="Times New Roman" w:eastAsia="仿宋_GB2312" w:cs="Times New Roman"/>
          <w:b/>
          <w:bCs/>
          <w:color w:val="000000"/>
          <w:sz w:val="32"/>
          <w:szCs w:val="32"/>
          <w:lang w:eastAsia="zh-CN"/>
        </w:rPr>
        <w:t>。</w:t>
      </w:r>
    </w:p>
    <w:p w14:paraId="67DC5953">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sz w:val="32"/>
          <w:szCs w:val="32"/>
          <w:lang w:val="en-US" w:eastAsia="zh-CN" w:bidi="en-US"/>
        </w:rPr>
        <w:t>4.4.2</w:t>
      </w:r>
      <w:r>
        <w:rPr>
          <w:rFonts w:hint="default" w:ascii="Times New Roman" w:hAnsi="Times New Roman" w:eastAsia="仿宋_GB2312" w:cs="Times New Roman"/>
          <w:b/>
          <w:bCs/>
          <w:color w:val="000000"/>
          <w:sz w:val="32"/>
          <w:szCs w:val="32"/>
        </w:rPr>
        <w:t>由特种设备安全总监汇总最近一个月度内企业（单位）的特种设备使用安全管理工作情况，主要包括日管控、周排查中发现的重大特种设备安全风险问题及整改情况，日常特种设备安全管理情况的汇总分析</w:t>
      </w:r>
      <w:r>
        <w:rPr>
          <w:rFonts w:hint="default" w:ascii="Times New Roman" w:hAnsi="Times New Roman" w:eastAsia="仿宋_GB2312" w:cs="Times New Roman"/>
          <w:b/>
          <w:bCs/>
          <w:color w:val="000000"/>
          <w:sz w:val="32"/>
          <w:szCs w:val="32"/>
          <w:lang w:eastAsia="zh-CN"/>
        </w:rPr>
        <w:t>。</w:t>
      </w:r>
    </w:p>
    <w:p w14:paraId="4FC4B154">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sz w:val="32"/>
          <w:szCs w:val="32"/>
          <w:lang w:val="en-US" w:eastAsia="zh-CN" w:bidi="en-US"/>
        </w:rPr>
        <w:t>4.4.</w:t>
      </w:r>
      <w:r>
        <w:rPr>
          <w:rFonts w:hint="default" w:ascii="Times New Roman" w:hAnsi="Times New Roman" w:eastAsia="仿宋_GB2312" w:cs="Times New Roman"/>
          <w:b/>
          <w:bCs/>
          <w:color w:val="000000"/>
          <w:sz w:val="32"/>
          <w:szCs w:val="32"/>
          <w:lang w:val="zh-CN" w:eastAsia="zh-CN" w:bidi="zh-CN"/>
        </w:rPr>
        <w:t>3</w:t>
      </w:r>
      <w:r>
        <w:rPr>
          <w:rFonts w:hint="default" w:ascii="Times New Roman" w:hAnsi="Times New Roman" w:eastAsia="仿宋_GB2312" w:cs="Times New Roman"/>
          <w:b/>
          <w:bCs/>
          <w:color w:val="000000"/>
          <w:sz w:val="32"/>
          <w:szCs w:val="32"/>
        </w:rPr>
        <w:t>由特种设备安全总监对近一个月内企业（单位）的特种设备使用安全管理工作情况进行汇报，对当月特种设备使用安全日常管理、风险隐患排查治理等情况进行工作总结</w:t>
      </w:r>
      <w:r>
        <w:rPr>
          <w:rFonts w:hint="default" w:ascii="Times New Roman" w:hAnsi="Times New Roman" w:eastAsia="仿宋_GB2312" w:cs="Times New Roman"/>
          <w:b/>
          <w:bCs/>
          <w:color w:val="000000"/>
          <w:sz w:val="32"/>
          <w:szCs w:val="32"/>
          <w:lang w:eastAsia="zh-CN"/>
        </w:rPr>
        <w:t>。</w:t>
      </w:r>
    </w:p>
    <w:p w14:paraId="02DE4AA1">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sz w:val="32"/>
          <w:szCs w:val="32"/>
          <w:lang w:val="en-US" w:eastAsia="zh-CN" w:bidi="en-US"/>
        </w:rPr>
        <w:t>4.4.4</w:t>
      </w:r>
      <w:r>
        <w:rPr>
          <w:rFonts w:hint="default" w:ascii="Times New Roman" w:hAnsi="Times New Roman" w:eastAsia="仿宋_GB2312" w:cs="Times New Roman"/>
          <w:b/>
          <w:bCs/>
          <w:color w:val="000000"/>
          <w:sz w:val="32"/>
          <w:szCs w:val="32"/>
        </w:rPr>
        <w:t>对于日常特种设备安全管理中发现存在的不足问题，由相关责任人进行报告，采取有效的应对措施进行处置</w:t>
      </w:r>
      <w:r>
        <w:rPr>
          <w:rFonts w:hint="default" w:ascii="Times New Roman" w:hAnsi="Times New Roman" w:eastAsia="仿宋_GB2312" w:cs="Times New Roman"/>
          <w:b/>
          <w:bCs/>
          <w:color w:val="000000"/>
          <w:sz w:val="32"/>
          <w:szCs w:val="32"/>
          <w:lang w:eastAsia="zh-CN"/>
        </w:rPr>
        <w:t>。</w:t>
      </w:r>
    </w:p>
    <w:p w14:paraId="0432BB64">
      <w:pPr>
        <w:pStyle w:val="26"/>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sz w:val="32"/>
          <w:szCs w:val="32"/>
          <w:lang w:val="en-US" w:eastAsia="zh-CN" w:bidi="en-US"/>
        </w:rPr>
        <w:t>4.4.5</w:t>
      </w:r>
      <w:r>
        <w:rPr>
          <w:rFonts w:hint="default" w:ascii="Times New Roman" w:hAnsi="Times New Roman" w:eastAsia="仿宋_GB2312" w:cs="Times New Roman"/>
          <w:b/>
          <w:bCs/>
          <w:color w:val="000000"/>
          <w:sz w:val="32"/>
          <w:szCs w:val="32"/>
        </w:rPr>
        <w:t>由企业（单位）主要负责人对特种设备安全管理工作作出指示</w:t>
      </w:r>
      <w:r>
        <w:rPr>
          <w:rFonts w:hint="default" w:ascii="Times New Roman" w:hAnsi="Times New Roman" w:eastAsia="仿宋_GB2312" w:cs="Times New Roman"/>
          <w:b/>
          <w:bCs/>
          <w:color w:val="000000"/>
          <w:sz w:val="32"/>
          <w:szCs w:val="32"/>
          <w:lang w:eastAsia="zh-CN"/>
        </w:rPr>
        <w:t>。</w:t>
      </w:r>
    </w:p>
    <w:p w14:paraId="5469EAEA">
      <w:pPr>
        <w:pStyle w:val="26"/>
        <w:keepNext w:val="0"/>
        <w:keepLines w:val="0"/>
        <w:pageBreakBefore w:val="0"/>
        <w:widowControl w:val="0"/>
        <w:tabs>
          <w:tab w:val="left" w:pos="411"/>
        </w:tabs>
        <w:kinsoku/>
        <w:wordWrap/>
        <w:overflowPunct/>
        <w:topLinePunct w:val="0"/>
        <w:autoSpaceDE/>
        <w:autoSpaceDN/>
        <w:bidi w:val="0"/>
        <w:adjustRightInd/>
        <w:snapToGrid/>
        <w:spacing w:line="520" w:lineRule="exact"/>
        <w:ind w:firstLine="643" w:firstLineChars="200"/>
        <w:jc w:val="left"/>
        <w:textAlignment w:val="auto"/>
        <w:rPr>
          <w:rFonts w:hint="default" w:ascii="Times New Roman" w:hAnsi="Times New Roman" w:eastAsia="仿宋_GB2312" w:cs="Times New Roman"/>
          <w:b/>
          <w:bCs/>
          <w:sz w:val="32"/>
          <w:szCs w:val="32"/>
          <w:lang w:eastAsia="zh-CN"/>
        </w:rPr>
      </w:pPr>
      <w:bookmarkStart w:id="61" w:name="bookmark1567"/>
      <w:bookmarkEnd w:id="61"/>
      <w:r>
        <w:rPr>
          <w:rFonts w:hint="default" w:ascii="Times New Roman" w:hAnsi="Times New Roman" w:eastAsia="仿宋_GB2312" w:cs="Times New Roman"/>
          <w:b/>
          <w:bCs/>
          <w:color w:val="000000"/>
          <w:sz w:val="32"/>
          <w:szCs w:val="32"/>
          <w:lang w:val="en-US" w:eastAsia="zh-CN" w:bidi="en-US"/>
        </w:rPr>
        <w:t>4.4.6</w:t>
      </w:r>
      <w:r>
        <w:rPr>
          <w:rFonts w:hint="default" w:ascii="Times New Roman" w:hAnsi="Times New Roman" w:eastAsia="仿宋_GB2312" w:cs="Times New Roman"/>
          <w:b/>
          <w:bCs/>
          <w:color w:val="000000"/>
          <w:sz w:val="32"/>
          <w:szCs w:val="32"/>
        </w:rPr>
        <w:t>特种设备安全总监根据当月特种设备安全管理工作情况、会议讨论决议及企业（单位）主要负责人指示，制定下个月特种设备安全管理重点工作计划，并形成《每月XX</w:t>
      </w:r>
      <w:r>
        <w:rPr>
          <w:rFonts w:hint="default" w:ascii="Times New Roman" w:hAnsi="Times New Roman" w:eastAsia="仿宋_GB2312" w:cs="Times New Roman"/>
          <w:b/>
          <w:bCs/>
          <w:color w:val="000000"/>
          <w:sz w:val="32"/>
          <w:szCs w:val="32"/>
          <w:lang w:val="en-US" w:eastAsia="zh-CN"/>
        </w:rPr>
        <w:t>设备</w:t>
      </w:r>
      <w:r>
        <w:rPr>
          <w:rFonts w:hint="default" w:ascii="Times New Roman" w:hAnsi="Times New Roman" w:eastAsia="仿宋_GB2312" w:cs="Times New Roman"/>
          <w:b/>
          <w:bCs/>
          <w:color w:val="000000"/>
          <w:sz w:val="32"/>
          <w:szCs w:val="32"/>
        </w:rPr>
        <w:t>安全调度会议纪要》</w:t>
      </w:r>
      <w:r>
        <w:rPr>
          <w:rFonts w:hint="default" w:ascii="Times New Roman" w:hAnsi="Times New Roman" w:eastAsia="仿宋_GB2312" w:cs="Times New Roman"/>
          <w:b/>
          <w:bCs/>
          <w:color w:val="000000"/>
          <w:sz w:val="32"/>
          <w:szCs w:val="32"/>
          <w:lang w:eastAsia="zh-CN"/>
        </w:rPr>
        <w:t>。</w:t>
      </w:r>
    </w:p>
    <w:p w14:paraId="6C5EE977">
      <w:pPr>
        <w:pStyle w:val="26"/>
        <w:keepNext w:val="0"/>
        <w:keepLines w:val="0"/>
        <w:pageBreakBefore w:val="0"/>
        <w:widowControl w:val="0"/>
        <w:tabs>
          <w:tab w:val="left" w:pos="381"/>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color w:val="000000"/>
          <w:sz w:val="32"/>
          <w:szCs w:val="32"/>
        </w:rPr>
      </w:pPr>
      <w:r>
        <w:rPr>
          <w:rFonts w:hint="default" w:ascii="Times New Roman" w:hAnsi="Times New Roman" w:eastAsia="楷体" w:cs="Times New Roman"/>
          <w:b/>
          <w:bCs/>
          <w:color w:val="000000"/>
          <w:sz w:val="32"/>
          <w:szCs w:val="32"/>
        </w:rPr>
        <w:t>5</w:t>
      </w:r>
      <w:r>
        <w:rPr>
          <w:rFonts w:hint="default" w:ascii="Times New Roman" w:hAnsi="Times New Roman" w:eastAsia="楷体" w:cs="Times New Roman"/>
          <w:b/>
          <w:bCs/>
          <w:color w:val="000000"/>
          <w:sz w:val="32"/>
          <w:szCs w:val="32"/>
          <w:lang w:eastAsia="zh-CN"/>
        </w:rPr>
        <w:t>.</w:t>
      </w:r>
      <w:r>
        <w:rPr>
          <w:rFonts w:hint="default" w:ascii="Times New Roman" w:hAnsi="Times New Roman" w:eastAsia="楷体" w:cs="Times New Roman"/>
          <w:b/>
          <w:bCs/>
          <w:color w:val="000000"/>
          <w:sz w:val="32"/>
          <w:szCs w:val="32"/>
        </w:rPr>
        <w:t>记录</w:t>
      </w:r>
    </w:p>
    <w:p w14:paraId="056543D4">
      <w:pPr>
        <w:pStyle w:val="26"/>
        <w:keepNext w:val="0"/>
        <w:keepLines w:val="0"/>
        <w:pageBreakBefore w:val="0"/>
        <w:widowControl w:val="0"/>
        <w:tabs>
          <w:tab w:val="left" w:pos="411"/>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lang w:eastAsia="zh-CN"/>
        </w:rPr>
      </w:pPr>
      <w:bookmarkStart w:id="62" w:name="bookmark1568"/>
      <w:bookmarkEnd w:id="62"/>
      <w:r>
        <w:rPr>
          <w:rFonts w:hint="default" w:ascii="Times New Roman" w:hAnsi="Times New Roman" w:eastAsia="仿宋_GB2312" w:cs="Times New Roman"/>
          <w:b/>
          <w:bCs/>
          <w:color w:val="000000"/>
          <w:sz w:val="32"/>
          <w:szCs w:val="32"/>
          <w:lang w:val="en-US" w:eastAsia="zh-CN" w:bidi="en-US"/>
        </w:rPr>
        <w:t>5.1特种设备</w:t>
      </w:r>
      <w:r>
        <w:rPr>
          <w:rFonts w:hint="default" w:ascii="Times New Roman" w:hAnsi="Times New Roman" w:eastAsia="仿宋_GB2312" w:cs="Times New Roman"/>
          <w:b/>
          <w:bCs/>
          <w:color w:val="000000"/>
          <w:sz w:val="32"/>
          <w:szCs w:val="32"/>
        </w:rPr>
        <w:t>每日安全检查记录</w:t>
      </w:r>
      <w:r>
        <w:rPr>
          <w:rFonts w:hint="default" w:ascii="Times New Roman" w:hAnsi="Times New Roman" w:eastAsia="仿宋_GB2312" w:cs="Times New Roman"/>
          <w:b/>
          <w:bCs/>
          <w:color w:val="000000"/>
          <w:sz w:val="32"/>
          <w:szCs w:val="32"/>
          <w:lang w:eastAsia="zh-CN"/>
        </w:rPr>
        <w:t>。</w:t>
      </w:r>
    </w:p>
    <w:p w14:paraId="1EE1CF81">
      <w:pPr>
        <w:pStyle w:val="26"/>
        <w:keepNext w:val="0"/>
        <w:keepLines w:val="0"/>
        <w:pageBreakBefore w:val="0"/>
        <w:widowControl w:val="0"/>
        <w:tabs>
          <w:tab w:val="left" w:pos="402"/>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bCs/>
          <w:sz w:val="32"/>
          <w:szCs w:val="32"/>
          <w:lang w:eastAsia="zh-CN"/>
        </w:rPr>
      </w:pPr>
      <w:bookmarkStart w:id="63" w:name="bookmark1569"/>
      <w:bookmarkEnd w:id="63"/>
      <w:r>
        <w:rPr>
          <w:rFonts w:hint="default" w:ascii="Times New Roman" w:hAnsi="Times New Roman" w:eastAsia="仿宋_GB2312" w:cs="Times New Roman"/>
          <w:b/>
          <w:bCs/>
          <w:color w:val="000000"/>
          <w:sz w:val="32"/>
          <w:szCs w:val="32"/>
          <w:lang w:val="en-US" w:eastAsia="zh-CN"/>
        </w:rPr>
        <w:t>5.</w:t>
      </w:r>
      <w:r>
        <w:rPr>
          <w:rFonts w:hint="default" w:ascii="Times New Roman" w:hAnsi="Times New Roman" w:eastAsia="仿宋_GB2312" w:cs="Times New Roman"/>
          <w:b/>
          <w:bCs/>
          <w:color w:val="000000"/>
          <w:sz w:val="32"/>
          <w:szCs w:val="32"/>
        </w:rPr>
        <w:t>2</w:t>
      </w:r>
      <w:r>
        <w:rPr>
          <w:rFonts w:hint="default" w:ascii="Times New Roman" w:hAnsi="Times New Roman" w:eastAsia="仿宋_GB2312" w:cs="Times New Roman"/>
          <w:b/>
          <w:bCs/>
          <w:color w:val="000000"/>
          <w:sz w:val="32"/>
          <w:szCs w:val="32"/>
          <w:lang w:val="en-US" w:eastAsia="zh-CN" w:bidi="en-US"/>
        </w:rPr>
        <w:t>特种设备</w:t>
      </w:r>
      <w:r>
        <w:rPr>
          <w:rFonts w:hint="default" w:ascii="Times New Roman" w:hAnsi="Times New Roman" w:eastAsia="仿宋_GB2312" w:cs="Times New Roman"/>
          <w:b/>
          <w:bCs/>
          <w:color w:val="000000"/>
          <w:sz w:val="32"/>
          <w:szCs w:val="32"/>
        </w:rPr>
        <w:t>每周安全排查治理报告</w:t>
      </w:r>
      <w:r>
        <w:rPr>
          <w:rFonts w:hint="default" w:ascii="Times New Roman" w:hAnsi="Times New Roman" w:eastAsia="仿宋_GB2312" w:cs="Times New Roman"/>
          <w:b/>
          <w:bCs/>
          <w:color w:val="000000"/>
          <w:sz w:val="32"/>
          <w:szCs w:val="32"/>
          <w:lang w:eastAsia="zh-CN"/>
        </w:rPr>
        <w:t>。</w:t>
      </w:r>
    </w:p>
    <w:p w14:paraId="7C97BBE6">
      <w:pPr>
        <w:pStyle w:val="26"/>
        <w:keepNext w:val="0"/>
        <w:keepLines w:val="0"/>
        <w:pageBreakBefore w:val="0"/>
        <w:widowControl w:val="0"/>
        <w:tabs>
          <w:tab w:val="left" w:pos="402"/>
        </w:tabs>
        <w:kinsoku/>
        <w:wordWrap/>
        <w:overflowPunct/>
        <w:topLinePunct w:val="0"/>
        <w:autoSpaceDE/>
        <w:autoSpaceDN/>
        <w:bidi w:val="0"/>
        <w:adjustRightInd/>
        <w:snapToGrid/>
        <w:spacing w:line="520" w:lineRule="exact"/>
        <w:ind w:firstLine="643" w:firstLineChars="200"/>
        <w:jc w:val="both"/>
        <w:textAlignment w:val="auto"/>
        <w:rPr>
          <w:rFonts w:hint="eastAsia" w:ascii="Times New Roman" w:hAnsi="Times New Roman" w:eastAsia="方正公文小标宋" w:cs="Times New Roman"/>
          <w:sz w:val="44"/>
          <w:szCs w:val="44"/>
          <w:lang w:val="en-US" w:eastAsia="zh-CN"/>
        </w:rPr>
      </w:pPr>
      <w:bookmarkStart w:id="64" w:name="bookmark1570"/>
      <w:bookmarkEnd w:id="64"/>
      <w:r>
        <w:rPr>
          <w:rFonts w:hint="default" w:ascii="Times New Roman" w:hAnsi="Times New Roman" w:eastAsia="仿宋_GB2312" w:cs="Times New Roman"/>
          <w:b/>
          <w:bCs/>
          <w:color w:val="000000"/>
          <w:sz w:val="32"/>
          <w:szCs w:val="32"/>
          <w:lang w:val="en-US" w:eastAsia="zh-CN"/>
        </w:rPr>
        <w:t>5.</w:t>
      </w:r>
      <w:r>
        <w:rPr>
          <w:rFonts w:hint="default" w:ascii="Times New Roman" w:hAnsi="Times New Roman" w:eastAsia="仿宋_GB2312" w:cs="Times New Roman"/>
          <w:b/>
          <w:bCs/>
          <w:color w:val="000000"/>
          <w:sz w:val="32"/>
          <w:szCs w:val="32"/>
        </w:rPr>
        <w:t>3</w:t>
      </w:r>
      <w:r>
        <w:rPr>
          <w:rFonts w:hint="default" w:ascii="Times New Roman" w:hAnsi="Times New Roman" w:eastAsia="仿宋_GB2312" w:cs="Times New Roman"/>
          <w:b/>
          <w:bCs/>
          <w:color w:val="000000"/>
          <w:sz w:val="32"/>
          <w:szCs w:val="32"/>
          <w:lang w:val="en-US" w:eastAsia="zh-CN" w:bidi="en-US"/>
        </w:rPr>
        <w:t>特种设备</w:t>
      </w:r>
      <w:r>
        <w:rPr>
          <w:rFonts w:hint="default" w:ascii="Times New Roman" w:hAnsi="Times New Roman" w:eastAsia="仿宋_GB2312" w:cs="Times New Roman"/>
          <w:b/>
          <w:bCs/>
          <w:color w:val="000000"/>
          <w:sz w:val="32"/>
          <w:szCs w:val="32"/>
        </w:rPr>
        <w:t>每月安全调度会议纪要</w:t>
      </w:r>
      <w:r>
        <w:rPr>
          <w:rFonts w:hint="default" w:ascii="Times New Roman" w:hAnsi="Times New Roman" w:eastAsia="仿宋_GB2312" w:cs="Times New Roman"/>
          <w:b/>
          <w:bCs/>
          <w:color w:val="000000"/>
          <w:sz w:val="32"/>
          <w:szCs w:val="32"/>
          <w:lang w:eastAsia="zh-CN"/>
        </w:rPr>
        <w:t>。</w:t>
      </w:r>
      <w:r>
        <w:rPr>
          <w:rFonts w:hint="default" w:ascii="Times New Roman" w:hAnsi="Times New Roman" w:eastAsia="仿宋_GB2312" w:cs="Times New Roman"/>
          <w:b/>
          <w:bCs/>
          <w:color w:val="000000"/>
          <w:sz w:val="32"/>
          <w:szCs w:val="32"/>
          <w:lang w:val="en-US" w:eastAsia="zh-CN" w:bidi="en-US"/>
        </w:rPr>
        <w:br w:type="page"/>
      </w:r>
      <w:r>
        <w:rPr>
          <w:rFonts w:hint="default" w:ascii="Times New Roman" w:hAnsi="Times New Roman" w:eastAsia="方正公文小标宋" w:cs="Times New Roman"/>
          <w:sz w:val="44"/>
          <w:szCs w:val="44"/>
        </w:rPr>
        <w:t>特种设备每日安全检查记录</w:t>
      </w:r>
      <w:r>
        <w:rPr>
          <w:rFonts w:hint="eastAsia" w:ascii="Times New Roman" w:hAnsi="Times New Roman" w:eastAsia="方正公文小标宋" w:cs="Times New Roman"/>
          <w:sz w:val="44"/>
          <w:szCs w:val="44"/>
          <w:lang w:eastAsia="zh-CN"/>
        </w:rPr>
        <w:t>（供参考）</w:t>
      </w:r>
    </w:p>
    <w:tbl>
      <w:tblPr>
        <w:tblStyle w:val="16"/>
        <w:tblW w:w="8952" w:type="dxa"/>
        <w:jc w:val="center"/>
        <w:tblLayout w:type="fixed"/>
        <w:tblCellMar>
          <w:top w:w="0" w:type="dxa"/>
          <w:left w:w="10" w:type="dxa"/>
          <w:bottom w:w="0" w:type="dxa"/>
          <w:right w:w="10" w:type="dxa"/>
        </w:tblCellMar>
      </w:tblPr>
      <w:tblGrid>
        <w:gridCol w:w="869"/>
        <w:gridCol w:w="1651"/>
        <w:gridCol w:w="2578"/>
        <w:gridCol w:w="1430"/>
        <w:gridCol w:w="1368"/>
        <w:gridCol w:w="1056"/>
      </w:tblGrid>
      <w:tr w14:paraId="14A31B7E">
        <w:tblPrEx>
          <w:tblCellMar>
            <w:top w:w="0" w:type="dxa"/>
            <w:left w:w="10" w:type="dxa"/>
            <w:bottom w:w="0" w:type="dxa"/>
            <w:right w:w="10" w:type="dxa"/>
          </w:tblCellMar>
        </w:tblPrEx>
        <w:trPr>
          <w:trHeight w:val="604" w:hRule="exact"/>
          <w:jc w:val="center"/>
        </w:trPr>
        <w:tc>
          <w:tcPr>
            <w:tcW w:w="2520" w:type="dxa"/>
            <w:gridSpan w:val="2"/>
            <w:shd w:val="clear" w:color="auto" w:fill="FFFFFF"/>
            <w:noWrap w:val="0"/>
            <w:vAlign w:val="center"/>
          </w:tcPr>
          <w:p w14:paraId="3BB31557">
            <w:pPr>
              <w:pStyle w:val="28"/>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color w:val="000000"/>
                <w:sz w:val="28"/>
                <w:szCs w:val="28"/>
              </w:rPr>
              <w:t>检査日期：</w:t>
            </w:r>
          </w:p>
        </w:tc>
        <w:tc>
          <w:tcPr>
            <w:tcW w:w="6432" w:type="dxa"/>
            <w:gridSpan w:val="4"/>
            <w:shd w:val="clear" w:color="auto" w:fill="FFFFFF"/>
            <w:noWrap w:val="0"/>
            <w:vAlign w:val="center"/>
          </w:tcPr>
          <w:p w14:paraId="0D4D45FF">
            <w:pPr>
              <w:pStyle w:val="28"/>
              <w:keepNext w:val="0"/>
              <w:keepLines w:val="0"/>
              <w:pageBreakBefore w:val="0"/>
              <w:widowControl w:val="0"/>
              <w:kinsoku/>
              <w:wordWrap/>
              <w:overflowPunct/>
              <w:topLinePunct w:val="0"/>
              <w:autoSpaceDE/>
              <w:autoSpaceDN/>
              <w:bidi w:val="0"/>
              <w:adjustRightInd/>
              <w:snapToGrid/>
              <w:spacing w:line="320" w:lineRule="exact"/>
              <w:ind w:firstLine="4216" w:firstLineChars="1500"/>
              <w:jc w:val="center"/>
              <w:textAlignment w:val="auto"/>
              <w:rPr>
                <w:rFonts w:hint="default" w:ascii="Times New Roman" w:hAnsi="Times New Roman" w:cs="Times New Roman" w:eastAsiaTheme="minorEastAsia"/>
                <w:b/>
                <w:bCs/>
                <w:color w:val="000000"/>
                <w:sz w:val="28"/>
                <w:szCs w:val="28"/>
              </w:rPr>
            </w:pPr>
            <w:r>
              <w:rPr>
                <w:rFonts w:hint="default" w:ascii="Times New Roman" w:hAnsi="Times New Roman" w:cs="Times New Roman" w:eastAsiaTheme="minorEastAsia"/>
                <w:b/>
                <w:bCs/>
                <w:color w:val="000000"/>
                <w:sz w:val="28"/>
                <w:szCs w:val="28"/>
              </w:rPr>
              <w:t xml:space="preserve">年 </w:t>
            </w:r>
            <w:r>
              <w:rPr>
                <w:rFonts w:hint="default" w:ascii="Times New Roman" w:hAnsi="Times New Roman" w:cs="Times New Roman" w:eastAsiaTheme="minorEastAsia"/>
                <w:b/>
                <w:bCs/>
                <w:color w:val="000000"/>
                <w:sz w:val="28"/>
                <w:szCs w:val="28"/>
                <w:lang w:val="en-US" w:eastAsia="zh-CN"/>
              </w:rPr>
              <w:t xml:space="preserve">  </w:t>
            </w:r>
            <w:r>
              <w:rPr>
                <w:rFonts w:hint="default" w:ascii="Times New Roman" w:hAnsi="Times New Roman" w:cs="Times New Roman" w:eastAsiaTheme="minorEastAsia"/>
                <w:b/>
                <w:bCs/>
                <w:color w:val="000000"/>
                <w:sz w:val="28"/>
                <w:szCs w:val="28"/>
              </w:rPr>
              <w:t xml:space="preserve">月 </w:t>
            </w:r>
            <w:r>
              <w:rPr>
                <w:rFonts w:hint="default" w:ascii="Times New Roman" w:hAnsi="Times New Roman" w:cs="Times New Roman" w:eastAsiaTheme="minorEastAsia"/>
                <w:b/>
                <w:bCs/>
                <w:color w:val="000000"/>
                <w:sz w:val="28"/>
                <w:szCs w:val="28"/>
                <w:lang w:val="en-US" w:eastAsia="zh-CN"/>
              </w:rPr>
              <w:t xml:space="preserve">  </w:t>
            </w:r>
            <w:r>
              <w:rPr>
                <w:rFonts w:hint="default" w:ascii="Times New Roman" w:hAnsi="Times New Roman" w:cs="Times New Roman" w:eastAsiaTheme="minorEastAsia"/>
                <w:b/>
                <w:bCs/>
                <w:color w:val="000000"/>
                <w:sz w:val="28"/>
                <w:szCs w:val="28"/>
              </w:rPr>
              <w:t>日</w:t>
            </w:r>
          </w:p>
        </w:tc>
      </w:tr>
      <w:tr w14:paraId="3ABD87B9">
        <w:tblPrEx>
          <w:tblCellMar>
            <w:top w:w="0" w:type="dxa"/>
            <w:left w:w="10" w:type="dxa"/>
            <w:bottom w:w="0" w:type="dxa"/>
            <w:right w:w="10" w:type="dxa"/>
          </w:tblCellMar>
        </w:tblPrEx>
        <w:trPr>
          <w:trHeight w:val="547" w:hRule="exact"/>
          <w:jc w:val="center"/>
        </w:trPr>
        <w:tc>
          <w:tcPr>
            <w:tcW w:w="869" w:type="dxa"/>
            <w:tcBorders>
              <w:top w:val="single" w:color="auto" w:sz="4" w:space="0"/>
              <w:left w:val="single" w:color="auto" w:sz="4" w:space="0"/>
            </w:tcBorders>
            <w:shd w:val="clear" w:color="auto" w:fill="FFFFFF"/>
            <w:noWrap w:val="0"/>
            <w:vAlign w:val="center"/>
          </w:tcPr>
          <w:p w14:paraId="7361EB0C">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color w:val="000000"/>
                <w:sz w:val="24"/>
                <w:szCs w:val="24"/>
              </w:rPr>
              <w:t>序号</w:t>
            </w:r>
          </w:p>
        </w:tc>
        <w:tc>
          <w:tcPr>
            <w:tcW w:w="1651" w:type="dxa"/>
            <w:tcBorders>
              <w:top w:val="single" w:color="auto" w:sz="4" w:space="0"/>
              <w:left w:val="single" w:color="auto" w:sz="4" w:space="0"/>
            </w:tcBorders>
            <w:shd w:val="clear" w:color="auto" w:fill="FFFFFF"/>
            <w:noWrap w:val="0"/>
            <w:vAlign w:val="center"/>
          </w:tcPr>
          <w:p w14:paraId="72AA588F">
            <w:pPr>
              <w:pStyle w:val="28"/>
              <w:keepNext w:val="0"/>
              <w:keepLines w:val="0"/>
              <w:pageBreakBefore w:val="0"/>
              <w:widowControl w:val="0"/>
              <w:kinsoku/>
              <w:wordWrap/>
              <w:overflowPunct/>
              <w:topLinePunct w:val="0"/>
              <w:autoSpaceDE/>
              <w:autoSpaceDN/>
              <w:bidi w:val="0"/>
              <w:adjustRightInd/>
              <w:snapToGrid/>
              <w:spacing w:line="320" w:lineRule="exact"/>
              <w:ind w:firstLine="320"/>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color w:val="000000"/>
                <w:sz w:val="24"/>
                <w:szCs w:val="24"/>
              </w:rPr>
              <w:t>检査项目</w:t>
            </w:r>
          </w:p>
        </w:tc>
        <w:tc>
          <w:tcPr>
            <w:tcW w:w="2578" w:type="dxa"/>
            <w:tcBorders>
              <w:top w:val="single" w:color="auto" w:sz="4" w:space="0"/>
              <w:left w:val="single" w:color="auto" w:sz="4" w:space="0"/>
            </w:tcBorders>
            <w:shd w:val="clear" w:color="auto" w:fill="FFFFFF"/>
            <w:noWrap w:val="0"/>
            <w:vAlign w:val="center"/>
          </w:tcPr>
          <w:p w14:paraId="472E5316">
            <w:pPr>
              <w:pStyle w:val="28"/>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color w:val="000000"/>
                <w:sz w:val="24"/>
                <w:szCs w:val="24"/>
              </w:rPr>
              <w:t>检査内容</w:t>
            </w:r>
          </w:p>
        </w:tc>
        <w:tc>
          <w:tcPr>
            <w:tcW w:w="1430" w:type="dxa"/>
            <w:tcBorders>
              <w:top w:val="single" w:color="auto" w:sz="4" w:space="0"/>
              <w:left w:val="single" w:color="auto" w:sz="4" w:space="0"/>
            </w:tcBorders>
            <w:shd w:val="clear" w:color="auto" w:fill="FFFFFF"/>
            <w:noWrap w:val="0"/>
            <w:vAlign w:val="center"/>
          </w:tcPr>
          <w:p w14:paraId="37EA3CFA">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color w:val="000000"/>
                <w:sz w:val="24"/>
                <w:szCs w:val="24"/>
              </w:rPr>
              <w:t>检査结果</w:t>
            </w:r>
          </w:p>
        </w:tc>
        <w:tc>
          <w:tcPr>
            <w:tcW w:w="1368" w:type="dxa"/>
            <w:tcBorders>
              <w:top w:val="single" w:color="auto" w:sz="4" w:space="0"/>
              <w:left w:val="single" w:color="auto" w:sz="4" w:space="0"/>
            </w:tcBorders>
            <w:shd w:val="clear" w:color="auto" w:fill="FFFFFF"/>
            <w:noWrap w:val="0"/>
            <w:vAlign w:val="center"/>
          </w:tcPr>
          <w:p w14:paraId="08A852C7">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color w:val="000000"/>
                <w:sz w:val="24"/>
                <w:szCs w:val="24"/>
              </w:rPr>
              <w:t>处理结果</w:t>
            </w:r>
          </w:p>
        </w:tc>
        <w:tc>
          <w:tcPr>
            <w:tcW w:w="1056" w:type="dxa"/>
            <w:tcBorders>
              <w:top w:val="single" w:color="auto" w:sz="4" w:space="0"/>
              <w:left w:val="single" w:color="auto" w:sz="4" w:space="0"/>
              <w:right w:val="single" w:color="auto" w:sz="4" w:space="0"/>
            </w:tcBorders>
            <w:shd w:val="clear" w:color="auto" w:fill="FFFFFF"/>
            <w:noWrap w:val="0"/>
            <w:vAlign w:val="center"/>
          </w:tcPr>
          <w:p w14:paraId="5BF90105">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color w:val="000000"/>
                <w:sz w:val="24"/>
                <w:szCs w:val="24"/>
              </w:rPr>
              <w:t>备注</w:t>
            </w:r>
          </w:p>
        </w:tc>
      </w:tr>
      <w:tr w14:paraId="7AA4AEA2">
        <w:tblPrEx>
          <w:tblCellMar>
            <w:top w:w="0" w:type="dxa"/>
            <w:left w:w="10" w:type="dxa"/>
            <w:bottom w:w="0" w:type="dxa"/>
            <w:right w:w="10" w:type="dxa"/>
          </w:tblCellMar>
        </w:tblPrEx>
        <w:trPr>
          <w:trHeight w:val="1137" w:hRule="exact"/>
          <w:jc w:val="center"/>
        </w:trPr>
        <w:tc>
          <w:tcPr>
            <w:tcW w:w="869" w:type="dxa"/>
            <w:tcBorders>
              <w:top w:val="single" w:color="auto" w:sz="4" w:space="0"/>
              <w:left w:val="single" w:color="auto" w:sz="4" w:space="0"/>
            </w:tcBorders>
            <w:shd w:val="clear" w:color="auto" w:fill="FFFFFF"/>
            <w:noWrap w:val="0"/>
            <w:vAlign w:val="center"/>
          </w:tcPr>
          <w:p w14:paraId="3CF8860E">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1</w:t>
            </w:r>
          </w:p>
        </w:tc>
        <w:tc>
          <w:tcPr>
            <w:tcW w:w="1651" w:type="dxa"/>
            <w:tcBorders>
              <w:top w:val="single" w:color="auto" w:sz="4" w:space="0"/>
              <w:left w:val="single" w:color="auto" w:sz="4" w:space="0"/>
            </w:tcBorders>
            <w:shd w:val="clear" w:color="auto" w:fill="FFFFFF"/>
            <w:noWrap w:val="0"/>
            <w:vAlign w:val="center"/>
          </w:tcPr>
          <w:p w14:paraId="69C04DB0">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lang w:eastAsia="zh-CN"/>
              </w:rPr>
              <w:t>作业</w:t>
            </w:r>
            <w:r>
              <w:rPr>
                <w:rFonts w:hint="default" w:ascii="Times New Roman" w:hAnsi="Times New Roman" w:cs="Times New Roman" w:eastAsiaTheme="minorEastAsia"/>
                <w:b/>
                <w:bCs/>
                <w:color w:val="000000"/>
                <w:sz w:val="24"/>
                <w:szCs w:val="24"/>
              </w:rPr>
              <w:t>人员</w:t>
            </w:r>
          </w:p>
        </w:tc>
        <w:tc>
          <w:tcPr>
            <w:tcW w:w="2578" w:type="dxa"/>
            <w:tcBorders>
              <w:top w:val="single" w:color="auto" w:sz="4" w:space="0"/>
              <w:left w:val="single" w:color="auto" w:sz="4" w:space="0"/>
            </w:tcBorders>
            <w:shd w:val="clear" w:color="auto" w:fill="FFFFFF"/>
            <w:noWrap w:val="0"/>
            <w:vAlign w:val="center"/>
          </w:tcPr>
          <w:p w14:paraId="2B500429">
            <w:pPr>
              <w:keepNext w:val="0"/>
              <w:keepLines w:val="0"/>
              <w:pageBreakBefore w:val="0"/>
              <w:widowControl w:val="0"/>
              <w:kinsoku/>
              <w:wordWrap/>
              <w:overflowPunct/>
              <w:topLinePunct w:val="0"/>
              <w:autoSpaceDE/>
              <w:autoSpaceDN/>
              <w:bidi w:val="0"/>
              <w:adjustRightInd/>
              <w:snapToGrid/>
              <w:spacing w:line="320" w:lineRule="exact"/>
              <w:ind w:left="0" w:firstLine="883"/>
              <w:jc w:val="left"/>
              <w:textAlignment w:val="auto"/>
              <w:rPr>
                <w:rFonts w:hint="default" w:ascii="Times New Roman" w:hAnsi="Times New Roman" w:cs="Times New Roman" w:eastAsiaTheme="minorEastAsia"/>
                <w:b/>
                <w:bCs/>
                <w:sz w:val="24"/>
                <w:lang w:eastAsia="zh-CN"/>
              </w:rPr>
            </w:pPr>
            <w:r>
              <w:rPr>
                <w:rFonts w:hint="default" w:ascii="Times New Roman" w:hAnsi="Times New Roman" w:cs="Times New Roman" w:eastAsiaTheme="minorEastAsia"/>
                <w:b/>
                <w:bCs/>
                <w:sz w:val="24"/>
                <w:lang w:eastAsia="zh-CN"/>
              </w:rPr>
              <w:t>人员是否持证、是否经教育培训合格、是否存在违章作业行为等。</w:t>
            </w:r>
          </w:p>
        </w:tc>
        <w:tc>
          <w:tcPr>
            <w:tcW w:w="1430" w:type="dxa"/>
            <w:tcBorders>
              <w:top w:val="single" w:color="auto" w:sz="4" w:space="0"/>
              <w:left w:val="single" w:color="auto" w:sz="4" w:space="0"/>
            </w:tcBorders>
            <w:shd w:val="clear" w:color="auto" w:fill="FFFFFF"/>
            <w:noWrap w:val="0"/>
            <w:vAlign w:val="center"/>
          </w:tcPr>
          <w:p w14:paraId="638181B2">
            <w:pPr>
              <w:keepNext w:val="0"/>
              <w:keepLines w:val="0"/>
              <w:pageBreakBefore w:val="0"/>
              <w:widowControl w:val="0"/>
              <w:kinsoku/>
              <w:wordWrap/>
              <w:overflowPunct/>
              <w:topLinePunct w:val="0"/>
              <w:autoSpaceDE/>
              <w:autoSpaceDN/>
              <w:bidi w:val="0"/>
              <w:adjustRightInd/>
              <w:snapToGrid/>
              <w:spacing w:line="320" w:lineRule="exact"/>
              <w:ind w:left="0" w:firstLine="883"/>
              <w:jc w:val="center"/>
              <w:textAlignment w:val="auto"/>
              <w:rPr>
                <w:rFonts w:hint="default" w:ascii="Times New Roman" w:hAnsi="Times New Roman" w:cs="Times New Roman" w:eastAsiaTheme="minorEastAsia"/>
                <w:b/>
                <w:bCs/>
                <w:sz w:val="24"/>
                <w:lang w:eastAsia="zh-CN"/>
              </w:rPr>
            </w:pPr>
          </w:p>
        </w:tc>
        <w:tc>
          <w:tcPr>
            <w:tcW w:w="1368" w:type="dxa"/>
            <w:tcBorders>
              <w:top w:val="single" w:color="auto" w:sz="4" w:space="0"/>
              <w:left w:val="single" w:color="auto" w:sz="4" w:space="0"/>
            </w:tcBorders>
            <w:shd w:val="clear" w:color="auto" w:fill="FFFFFF"/>
            <w:noWrap w:val="0"/>
            <w:vAlign w:val="center"/>
          </w:tcPr>
          <w:p w14:paraId="347AEA21">
            <w:pPr>
              <w:keepNext w:val="0"/>
              <w:keepLines w:val="0"/>
              <w:pageBreakBefore w:val="0"/>
              <w:widowControl w:val="0"/>
              <w:kinsoku/>
              <w:wordWrap/>
              <w:overflowPunct/>
              <w:topLinePunct w:val="0"/>
              <w:autoSpaceDE/>
              <w:autoSpaceDN/>
              <w:bidi w:val="0"/>
              <w:adjustRightInd/>
              <w:snapToGrid/>
              <w:spacing w:line="320" w:lineRule="exact"/>
              <w:ind w:left="0" w:firstLine="883"/>
              <w:jc w:val="center"/>
              <w:textAlignment w:val="auto"/>
              <w:rPr>
                <w:rFonts w:hint="default" w:ascii="Times New Roman" w:hAnsi="Times New Roman" w:cs="Times New Roman" w:eastAsiaTheme="minorEastAsia"/>
                <w:b/>
                <w:bCs/>
                <w:sz w:val="24"/>
                <w:lang w:eastAsia="zh-CN"/>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677BD71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r>
      <w:tr w14:paraId="71D74C7F">
        <w:tblPrEx>
          <w:tblCellMar>
            <w:top w:w="0" w:type="dxa"/>
            <w:left w:w="10" w:type="dxa"/>
            <w:bottom w:w="0" w:type="dxa"/>
            <w:right w:w="10" w:type="dxa"/>
          </w:tblCellMar>
        </w:tblPrEx>
        <w:trPr>
          <w:trHeight w:val="1344" w:hRule="exact"/>
          <w:jc w:val="center"/>
        </w:trPr>
        <w:tc>
          <w:tcPr>
            <w:tcW w:w="869" w:type="dxa"/>
            <w:tcBorders>
              <w:top w:val="single" w:color="auto" w:sz="4" w:space="0"/>
              <w:left w:val="single" w:color="auto" w:sz="4" w:space="0"/>
            </w:tcBorders>
            <w:shd w:val="clear" w:color="auto" w:fill="FFFFFF"/>
            <w:noWrap w:val="0"/>
            <w:vAlign w:val="center"/>
          </w:tcPr>
          <w:p w14:paraId="5544205D">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2</w:t>
            </w:r>
          </w:p>
        </w:tc>
        <w:tc>
          <w:tcPr>
            <w:tcW w:w="1651" w:type="dxa"/>
            <w:tcBorders>
              <w:top w:val="single" w:color="auto" w:sz="4" w:space="0"/>
              <w:left w:val="single" w:color="auto" w:sz="4" w:space="0"/>
            </w:tcBorders>
            <w:shd w:val="clear" w:color="auto" w:fill="FFFFFF"/>
            <w:noWrap w:val="0"/>
            <w:vAlign w:val="center"/>
          </w:tcPr>
          <w:p w14:paraId="751CAD0A">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设备本体</w:t>
            </w:r>
          </w:p>
        </w:tc>
        <w:tc>
          <w:tcPr>
            <w:tcW w:w="2578" w:type="dxa"/>
            <w:tcBorders>
              <w:top w:val="single" w:color="auto" w:sz="4" w:space="0"/>
              <w:left w:val="single" w:color="auto" w:sz="4" w:space="0"/>
            </w:tcBorders>
            <w:shd w:val="clear" w:color="auto" w:fill="FFFFFF"/>
            <w:noWrap w:val="0"/>
            <w:vAlign w:val="center"/>
          </w:tcPr>
          <w:p w14:paraId="585537AE">
            <w:pPr>
              <w:keepNext w:val="0"/>
              <w:keepLines w:val="0"/>
              <w:pageBreakBefore w:val="0"/>
              <w:widowControl w:val="0"/>
              <w:kinsoku/>
              <w:wordWrap/>
              <w:overflowPunct/>
              <w:topLinePunct w:val="0"/>
              <w:autoSpaceDE/>
              <w:autoSpaceDN/>
              <w:bidi w:val="0"/>
              <w:adjustRightInd/>
              <w:snapToGrid/>
              <w:spacing w:line="320" w:lineRule="exact"/>
              <w:ind w:left="0" w:firstLine="883"/>
              <w:jc w:val="left"/>
              <w:textAlignment w:val="auto"/>
              <w:rPr>
                <w:rFonts w:hint="default" w:ascii="Times New Roman" w:hAnsi="Times New Roman" w:cs="Times New Roman" w:eastAsiaTheme="minorEastAsia"/>
                <w:b/>
                <w:bCs/>
                <w:sz w:val="24"/>
                <w:lang w:eastAsia="zh-CN"/>
              </w:rPr>
            </w:pPr>
            <w:r>
              <w:rPr>
                <w:rFonts w:hint="default" w:ascii="Times New Roman" w:hAnsi="Times New Roman" w:cs="Times New Roman" w:eastAsiaTheme="minorEastAsia"/>
                <w:b/>
                <w:bCs/>
                <w:sz w:val="24"/>
                <w:lang w:eastAsia="zh-CN"/>
              </w:rPr>
              <w:t>设备是否在有限检验期内，设备本体有无泄漏、裂纹、变形、腐蚀等异常情况。</w:t>
            </w:r>
          </w:p>
        </w:tc>
        <w:tc>
          <w:tcPr>
            <w:tcW w:w="1430" w:type="dxa"/>
            <w:tcBorders>
              <w:top w:val="single" w:color="auto" w:sz="4" w:space="0"/>
              <w:left w:val="single" w:color="auto" w:sz="4" w:space="0"/>
            </w:tcBorders>
            <w:shd w:val="clear" w:color="auto" w:fill="FFFFFF"/>
            <w:noWrap w:val="0"/>
            <w:vAlign w:val="center"/>
          </w:tcPr>
          <w:p w14:paraId="77A3C8E1">
            <w:pPr>
              <w:keepNext w:val="0"/>
              <w:keepLines w:val="0"/>
              <w:pageBreakBefore w:val="0"/>
              <w:widowControl w:val="0"/>
              <w:kinsoku/>
              <w:wordWrap/>
              <w:overflowPunct/>
              <w:topLinePunct w:val="0"/>
              <w:autoSpaceDE/>
              <w:autoSpaceDN/>
              <w:bidi w:val="0"/>
              <w:adjustRightInd/>
              <w:snapToGrid/>
              <w:spacing w:line="320" w:lineRule="exact"/>
              <w:ind w:left="0" w:firstLine="883"/>
              <w:jc w:val="center"/>
              <w:textAlignment w:val="auto"/>
              <w:rPr>
                <w:rFonts w:hint="default" w:ascii="Times New Roman" w:hAnsi="Times New Roman" w:cs="Times New Roman" w:eastAsiaTheme="minorEastAsia"/>
                <w:b/>
                <w:bCs/>
                <w:sz w:val="24"/>
                <w:lang w:eastAsia="zh-CN"/>
              </w:rPr>
            </w:pPr>
          </w:p>
        </w:tc>
        <w:tc>
          <w:tcPr>
            <w:tcW w:w="1368" w:type="dxa"/>
            <w:tcBorders>
              <w:top w:val="single" w:color="auto" w:sz="4" w:space="0"/>
              <w:left w:val="single" w:color="auto" w:sz="4" w:space="0"/>
            </w:tcBorders>
            <w:shd w:val="clear" w:color="auto" w:fill="FFFFFF"/>
            <w:noWrap w:val="0"/>
            <w:vAlign w:val="center"/>
          </w:tcPr>
          <w:p w14:paraId="342C834B">
            <w:pPr>
              <w:keepNext w:val="0"/>
              <w:keepLines w:val="0"/>
              <w:pageBreakBefore w:val="0"/>
              <w:widowControl w:val="0"/>
              <w:kinsoku/>
              <w:wordWrap/>
              <w:overflowPunct/>
              <w:topLinePunct w:val="0"/>
              <w:autoSpaceDE/>
              <w:autoSpaceDN/>
              <w:bidi w:val="0"/>
              <w:adjustRightInd/>
              <w:snapToGrid/>
              <w:spacing w:line="320" w:lineRule="exact"/>
              <w:ind w:left="0" w:firstLine="883"/>
              <w:jc w:val="center"/>
              <w:textAlignment w:val="auto"/>
              <w:rPr>
                <w:rFonts w:hint="default" w:ascii="Times New Roman" w:hAnsi="Times New Roman" w:cs="Times New Roman" w:eastAsiaTheme="minorEastAsia"/>
                <w:b/>
                <w:bCs/>
                <w:sz w:val="24"/>
                <w:lang w:eastAsia="zh-CN"/>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3C5B40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r>
      <w:tr w14:paraId="0A1B4F9A">
        <w:tblPrEx>
          <w:tblCellMar>
            <w:top w:w="0" w:type="dxa"/>
            <w:left w:w="10" w:type="dxa"/>
            <w:bottom w:w="0" w:type="dxa"/>
            <w:right w:w="10" w:type="dxa"/>
          </w:tblCellMar>
        </w:tblPrEx>
        <w:trPr>
          <w:trHeight w:val="1379" w:hRule="exact"/>
          <w:jc w:val="center"/>
        </w:trPr>
        <w:tc>
          <w:tcPr>
            <w:tcW w:w="869" w:type="dxa"/>
            <w:tcBorders>
              <w:top w:val="single" w:color="auto" w:sz="4" w:space="0"/>
              <w:left w:val="single" w:color="auto" w:sz="4" w:space="0"/>
            </w:tcBorders>
            <w:shd w:val="clear" w:color="auto" w:fill="FFFFFF"/>
            <w:noWrap w:val="0"/>
            <w:vAlign w:val="center"/>
          </w:tcPr>
          <w:p w14:paraId="10F5F6FE">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3</w:t>
            </w:r>
          </w:p>
        </w:tc>
        <w:tc>
          <w:tcPr>
            <w:tcW w:w="1651" w:type="dxa"/>
            <w:tcBorders>
              <w:top w:val="single" w:color="auto" w:sz="4" w:space="0"/>
              <w:left w:val="single" w:color="auto" w:sz="4" w:space="0"/>
            </w:tcBorders>
            <w:shd w:val="clear" w:color="auto" w:fill="FFFFFF"/>
            <w:noWrap w:val="0"/>
            <w:vAlign w:val="center"/>
          </w:tcPr>
          <w:p w14:paraId="1CB3F238">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color w:val="000000"/>
                <w:sz w:val="24"/>
                <w:szCs w:val="24"/>
              </w:rPr>
              <w:t>安全附件</w:t>
            </w:r>
            <w:r>
              <w:rPr>
                <w:rFonts w:hint="default" w:ascii="Times New Roman" w:hAnsi="Times New Roman" w:cs="Times New Roman" w:eastAsiaTheme="minorEastAsia"/>
                <w:b/>
                <w:bCs/>
                <w:color w:val="000000"/>
                <w:sz w:val="24"/>
                <w:szCs w:val="24"/>
                <w:lang w:eastAsia="zh-CN"/>
              </w:rPr>
              <w:t>和计量器具</w:t>
            </w:r>
          </w:p>
        </w:tc>
        <w:tc>
          <w:tcPr>
            <w:tcW w:w="2578" w:type="dxa"/>
            <w:tcBorders>
              <w:top w:val="single" w:color="auto" w:sz="4" w:space="0"/>
              <w:left w:val="single" w:color="auto" w:sz="4" w:space="0"/>
            </w:tcBorders>
            <w:shd w:val="clear" w:color="auto" w:fill="FFFFFF"/>
            <w:noWrap w:val="0"/>
            <w:vAlign w:val="center"/>
          </w:tcPr>
          <w:p w14:paraId="49302A3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sz w:val="24"/>
                <w:lang w:eastAsia="zh-CN"/>
              </w:rPr>
            </w:pPr>
            <w:r>
              <w:rPr>
                <w:rFonts w:hint="default" w:ascii="Times New Roman" w:hAnsi="Times New Roman" w:cs="Times New Roman" w:eastAsiaTheme="minorEastAsia"/>
                <w:b/>
                <w:bCs/>
                <w:sz w:val="24"/>
                <w:lang w:eastAsia="zh-CN"/>
              </w:rPr>
              <w:t>安全附件和计量器具是否在有效期内，是否张贴或固定铅封标牌、检定标识。</w:t>
            </w:r>
          </w:p>
        </w:tc>
        <w:tc>
          <w:tcPr>
            <w:tcW w:w="1430" w:type="dxa"/>
            <w:tcBorders>
              <w:top w:val="single" w:color="auto" w:sz="4" w:space="0"/>
              <w:left w:val="single" w:color="auto" w:sz="4" w:space="0"/>
            </w:tcBorders>
            <w:shd w:val="clear" w:color="auto" w:fill="FFFFFF"/>
            <w:noWrap w:val="0"/>
            <w:vAlign w:val="center"/>
          </w:tcPr>
          <w:p w14:paraId="6F54FC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368" w:type="dxa"/>
            <w:tcBorders>
              <w:top w:val="single" w:color="auto" w:sz="4" w:space="0"/>
              <w:left w:val="single" w:color="auto" w:sz="4" w:space="0"/>
            </w:tcBorders>
            <w:shd w:val="clear" w:color="auto" w:fill="FFFFFF"/>
            <w:noWrap w:val="0"/>
            <w:vAlign w:val="center"/>
          </w:tcPr>
          <w:p w14:paraId="22B1F87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77C8AD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r>
      <w:tr w14:paraId="220501ED">
        <w:tblPrEx>
          <w:tblCellMar>
            <w:top w:w="0" w:type="dxa"/>
            <w:left w:w="10" w:type="dxa"/>
            <w:bottom w:w="0" w:type="dxa"/>
            <w:right w:w="10" w:type="dxa"/>
          </w:tblCellMar>
        </w:tblPrEx>
        <w:trPr>
          <w:trHeight w:val="997" w:hRule="exact"/>
          <w:jc w:val="center"/>
        </w:trPr>
        <w:tc>
          <w:tcPr>
            <w:tcW w:w="869" w:type="dxa"/>
            <w:tcBorders>
              <w:top w:val="single" w:color="auto" w:sz="4" w:space="0"/>
              <w:left w:val="single" w:color="auto" w:sz="4" w:space="0"/>
            </w:tcBorders>
            <w:shd w:val="clear" w:color="auto" w:fill="FFFFFF"/>
            <w:noWrap w:val="0"/>
            <w:vAlign w:val="center"/>
          </w:tcPr>
          <w:p w14:paraId="755D86FC">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4</w:t>
            </w:r>
          </w:p>
        </w:tc>
        <w:tc>
          <w:tcPr>
            <w:tcW w:w="1651" w:type="dxa"/>
            <w:tcBorders>
              <w:top w:val="single" w:color="auto" w:sz="4" w:space="0"/>
              <w:left w:val="single" w:color="auto" w:sz="4" w:space="0"/>
            </w:tcBorders>
            <w:shd w:val="clear" w:color="auto" w:fill="FFFFFF"/>
            <w:noWrap w:val="0"/>
            <w:vAlign w:val="center"/>
          </w:tcPr>
          <w:p w14:paraId="3B06E388">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安全保护装置</w:t>
            </w:r>
          </w:p>
        </w:tc>
        <w:tc>
          <w:tcPr>
            <w:tcW w:w="2578" w:type="dxa"/>
            <w:tcBorders>
              <w:top w:val="single" w:color="auto" w:sz="4" w:space="0"/>
              <w:left w:val="single" w:color="auto" w:sz="4" w:space="0"/>
            </w:tcBorders>
            <w:shd w:val="clear" w:color="auto" w:fill="FFFFFF"/>
            <w:noWrap w:val="0"/>
            <w:vAlign w:val="center"/>
          </w:tcPr>
          <w:p w14:paraId="6965052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sz w:val="24"/>
                <w:lang w:eastAsia="zh-CN"/>
              </w:rPr>
            </w:pPr>
            <w:r>
              <w:rPr>
                <w:rFonts w:hint="default" w:ascii="Times New Roman" w:hAnsi="Times New Roman" w:cs="Times New Roman" w:eastAsiaTheme="minorEastAsia"/>
                <w:b/>
                <w:bCs/>
                <w:sz w:val="24"/>
                <w:lang w:eastAsia="zh-CN"/>
              </w:rPr>
              <w:t>安全保护装置是否缺少，功能是否完好有效。</w:t>
            </w:r>
          </w:p>
        </w:tc>
        <w:tc>
          <w:tcPr>
            <w:tcW w:w="1430" w:type="dxa"/>
            <w:tcBorders>
              <w:top w:val="single" w:color="auto" w:sz="4" w:space="0"/>
              <w:left w:val="single" w:color="auto" w:sz="4" w:space="0"/>
            </w:tcBorders>
            <w:shd w:val="clear" w:color="auto" w:fill="FFFFFF"/>
            <w:noWrap w:val="0"/>
            <w:vAlign w:val="center"/>
          </w:tcPr>
          <w:p w14:paraId="751179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368" w:type="dxa"/>
            <w:tcBorders>
              <w:top w:val="single" w:color="auto" w:sz="4" w:space="0"/>
              <w:left w:val="single" w:color="auto" w:sz="4" w:space="0"/>
            </w:tcBorders>
            <w:shd w:val="clear" w:color="auto" w:fill="FFFFFF"/>
            <w:noWrap w:val="0"/>
            <w:vAlign w:val="center"/>
          </w:tcPr>
          <w:p w14:paraId="4AB0EF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36886C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r>
      <w:tr w14:paraId="17B306BB">
        <w:tblPrEx>
          <w:tblCellMar>
            <w:top w:w="0" w:type="dxa"/>
            <w:left w:w="10" w:type="dxa"/>
            <w:bottom w:w="0" w:type="dxa"/>
            <w:right w:w="10" w:type="dxa"/>
          </w:tblCellMar>
        </w:tblPrEx>
        <w:trPr>
          <w:trHeight w:val="804" w:hRule="exact"/>
          <w:jc w:val="center"/>
        </w:trPr>
        <w:tc>
          <w:tcPr>
            <w:tcW w:w="869" w:type="dxa"/>
            <w:tcBorders>
              <w:top w:val="single" w:color="auto" w:sz="4" w:space="0"/>
              <w:left w:val="single" w:color="auto" w:sz="4" w:space="0"/>
            </w:tcBorders>
            <w:shd w:val="clear" w:color="auto" w:fill="FFFFFF"/>
            <w:noWrap w:val="0"/>
            <w:vAlign w:val="center"/>
          </w:tcPr>
          <w:p w14:paraId="5802FA5A">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5</w:t>
            </w:r>
          </w:p>
        </w:tc>
        <w:tc>
          <w:tcPr>
            <w:tcW w:w="1651" w:type="dxa"/>
            <w:tcBorders>
              <w:top w:val="single" w:color="auto" w:sz="4" w:space="0"/>
              <w:left w:val="single" w:color="auto" w:sz="4" w:space="0"/>
            </w:tcBorders>
            <w:shd w:val="clear" w:color="auto" w:fill="FFFFFF"/>
            <w:noWrap w:val="0"/>
            <w:vAlign w:val="center"/>
          </w:tcPr>
          <w:p w14:paraId="7D8D6BB0">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维护保养状况</w:t>
            </w:r>
          </w:p>
        </w:tc>
        <w:tc>
          <w:tcPr>
            <w:tcW w:w="2578" w:type="dxa"/>
            <w:tcBorders>
              <w:top w:val="single" w:color="auto" w:sz="4" w:space="0"/>
              <w:left w:val="single" w:color="auto" w:sz="4" w:space="0"/>
            </w:tcBorders>
            <w:shd w:val="clear" w:color="auto" w:fill="FFFFFF"/>
            <w:noWrap w:val="0"/>
            <w:vAlign w:val="center"/>
          </w:tcPr>
          <w:p w14:paraId="215D15C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sz w:val="24"/>
                <w:lang w:eastAsia="zh-CN"/>
              </w:rPr>
            </w:pPr>
            <w:r>
              <w:rPr>
                <w:rFonts w:hint="default" w:ascii="Times New Roman" w:hAnsi="Times New Roman" w:cs="Times New Roman" w:eastAsiaTheme="minorEastAsia"/>
                <w:b/>
                <w:bCs/>
                <w:sz w:val="24"/>
                <w:lang w:eastAsia="zh-CN"/>
              </w:rPr>
              <w:t>是否按期进行维护保养。</w:t>
            </w:r>
          </w:p>
        </w:tc>
        <w:tc>
          <w:tcPr>
            <w:tcW w:w="1430" w:type="dxa"/>
            <w:tcBorders>
              <w:top w:val="single" w:color="auto" w:sz="4" w:space="0"/>
              <w:left w:val="single" w:color="auto" w:sz="4" w:space="0"/>
            </w:tcBorders>
            <w:shd w:val="clear" w:color="auto" w:fill="FFFFFF"/>
            <w:noWrap w:val="0"/>
            <w:vAlign w:val="center"/>
          </w:tcPr>
          <w:p w14:paraId="183DB16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368" w:type="dxa"/>
            <w:tcBorders>
              <w:top w:val="single" w:color="auto" w:sz="4" w:space="0"/>
              <w:left w:val="single" w:color="auto" w:sz="4" w:space="0"/>
            </w:tcBorders>
            <w:shd w:val="clear" w:color="auto" w:fill="FFFFFF"/>
            <w:noWrap w:val="0"/>
            <w:vAlign w:val="center"/>
          </w:tcPr>
          <w:p w14:paraId="63A163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7D32358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r>
      <w:tr w14:paraId="5210D3DF">
        <w:tblPrEx>
          <w:tblCellMar>
            <w:top w:w="0" w:type="dxa"/>
            <w:left w:w="10" w:type="dxa"/>
            <w:bottom w:w="0" w:type="dxa"/>
            <w:right w:w="10" w:type="dxa"/>
          </w:tblCellMar>
        </w:tblPrEx>
        <w:trPr>
          <w:trHeight w:val="807" w:hRule="exact"/>
          <w:jc w:val="center"/>
        </w:trPr>
        <w:tc>
          <w:tcPr>
            <w:tcW w:w="869" w:type="dxa"/>
            <w:tcBorders>
              <w:top w:val="single" w:color="auto" w:sz="4" w:space="0"/>
              <w:left w:val="single" w:color="auto" w:sz="4" w:space="0"/>
            </w:tcBorders>
            <w:shd w:val="clear" w:color="auto" w:fill="FFFFFF"/>
            <w:noWrap w:val="0"/>
            <w:vAlign w:val="center"/>
          </w:tcPr>
          <w:p w14:paraId="5FE8C0E5">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6</w:t>
            </w:r>
          </w:p>
        </w:tc>
        <w:tc>
          <w:tcPr>
            <w:tcW w:w="1651" w:type="dxa"/>
            <w:tcBorders>
              <w:top w:val="single" w:color="auto" w:sz="4" w:space="0"/>
              <w:left w:val="single" w:color="auto" w:sz="4" w:space="0"/>
            </w:tcBorders>
            <w:shd w:val="clear" w:color="auto" w:fill="FFFFFF"/>
            <w:noWrap w:val="0"/>
            <w:vAlign w:val="center"/>
          </w:tcPr>
          <w:p w14:paraId="16CA718D">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定期自行检查情况</w:t>
            </w:r>
          </w:p>
        </w:tc>
        <w:tc>
          <w:tcPr>
            <w:tcW w:w="2578" w:type="dxa"/>
            <w:tcBorders>
              <w:top w:val="single" w:color="auto" w:sz="4" w:space="0"/>
              <w:left w:val="single" w:color="auto" w:sz="4" w:space="0"/>
            </w:tcBorders>
            <w:shd w:val="clear" w:color="auto" w:fill="FFFFFF"/>
            <w:noWrap w:val="0"/>
            <w:vAlign w:val="center"/>
          </w:tcPr>
          <w:p w14:paraId="38E847B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sz w:val="24"/>
                <w:lang w:eastAsia="zh-CN"/>
              </w:rPr>
            </w:pPr>
            <w:r>
              <w:rPr>
                <w:rFonts w:hint="default" w:ascii="Times New Roman" w:hAnsi="Times New Roman" w:cs="Times New Roman" w:eastAsiaTheme="minorEastAsia"/>
                <w:b/>
                <w:bCs/>
                <w:sz w:val="24"/>
                <w:lang w:eastAsia="zh-CN"/>
              </w:rPr>
              <w:t>是否定期进行年度、月度检查，留存记录。</w:t>
            </w:r>
          </w:p>
        </w:tc>
        <w:tc>
          <w:tcPr>
            <w:tcW w:w="1430" w:type="dxa"/>
            <w:tcBorders>
              <w:top w:val="single" w:color="auto" w:sz="4" w:space="0"/>
              <w:left w:val="single" w:color="auto" w:sz="4" w:space="0"/>
            </w:tcBorders>
            <w:shd w:val="clear" w:color="auto" w:fill="FFFFFF"/>
            <w:noWrap w:val="0"/>
            <w:vAlign w:val="center"/>
          </w:tcPr>
          <w:p w14:paraId="2C20F7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368" w:type="dxa"/>
            <w:tcBorders>
              <w:top w:val="single" w:color="auto" w:sz="4" w:space="0"/>
              <w:left w:val="single" w:color="auto" w:sz="4" w:space="0"/>
            </w:tcBorders>
            <w:shd w:val="clear" w:color="auto" w:fill="FFFFFF"/>
            <w:noWrap w:val="0"/>
            <w:vAlign w:val="center"/>
          </w:tcPr>
          <w:p w14:paraId="519363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000173D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r>
      <w:tr w14:paraId="77FF4696">
        <w:tblPrEx>
          <w:tblCellMar>
            <w:top w:w="0" w:type="dxa"/>
            <w:left w:w="10" w:type="dxa"/>
            <w:bottom w:w="0" w:type="dxa"/>
            <w:right w:w="10" w:type="dxa"/>
          </w:tblCellMar>
        </w:tblPrEx>
        <w:trPr>
          <w:trHeight w:val="772" w:hRule="exact"/>
          <w:jc w:val="center"/>
        </w:trPr>
        <w:tc>
          <w:tcPr>
            <w:tcW w:w="869" w:type="dxa"/>
            <w:tcBorders>
              <w:top w:val="single" w:color="auto" w:sz="4" w:space="0"/>
              <w:left w:val="single" w:color="auto" w:sz="4" w:space="0"/>
            </w:tcBorders>
            <w:shd w:val="clear" w:color="auto" w:fill="FFFFFF"/>
            <w:noWrap w:val="0"/>
            <w:vAlign w:val="center"/>
          </w:tcPr>
          <w:p w14:paraId="3E069DAC">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7</w:t>
            </w:r>
          </w:p>
        </w:tc>
        <w:tc>
          <w:tcPr>
            <w:tcW w:w="1651" w:type="dxa"/>
            <w:tcBorders>
              <w:top w:val="single" w:color="auto" w:sz="4" w:space="0"/>
              <w:left w:val="single" w:color="auto" w:sz="4" w:space="0"/>
            </w:tcBorders>
            <w:shd w:val="clear" w:color="auto" w:fill="FFFFFF"/>
            <w:noWrap w:val="0"/>
            <w:vAlign w:val="center"/>
          </w:tcPr>
          <w:p w14:paraId="17E53B8D">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sz w:val="24"/>
                <w:szCs w:val="24"/>
                <w:lang w:eastAsia="zh-CN"/>
              </w:rPr>
              <w:t>工艺参数</w:t>
            </w:r>
          </w:p>
        </w:tc>
        <w:tc>
          <w:tcPr>
            <w:tcW w:w="2578" w:type="dxa"/>
            <w:tcBorders>
              <w:top w:val="single" w:color="auto" w:sz="4" w:space="0"/>
              <w:left w:val="single" w:color="auto" w:sz="4" w:space="0"/>
            </w:tcBorders>
            <w:shd w:val="clear" w:color="auto" w:fill="FFFFFF"/>
            <w:noWrap w:val="0"/>
            <w:vAlign w:val="center"/>
          </w:tcPr>
          <w:p w14:paraId="43B3E26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sz w:val="24"/>
                <w:lang w:eastAsia="zh-CN"/>
              </w:rPr>
            </w:pPr>
            <w:r>
              <w:rPr>
                <w:rFonts w:hint="default" w:ascii="Times New Roman" w:hAnsi="Times New Roman" w:cs="Times New Roman" w:eastAsiaTheme="minorEastAsia"/>
                <w:b/>
                <w:bCs/>
                <w:sz w:val="24"/>
                <w:lang w:eastAsia="zh-CN"/>
              </w:rPr>
              <w:t>是否存在超温、超压运行情况。</w:t>
            </w:r>
          </w:p>
        </w:tc>
        <w:tc>
          <w:tcPr>
            <w:tcW w:w="1430" w:type="dxa"/>
            <w:tcBorders>
              <w:top w:val="single" w:color="auto" w:sz="4" w:space="0"/>
              <w:left w:val="single" w:color="auto" w:sz="4" w:space="0"/>
            </w:tcBorders>
            <w:shd w:val="clear" w:color="auto" w:fill="FFFFFF"/>
            <w:noWrap w:val="0"/>
            <w:vAlign w:val="center"/>
          </w:tcPr>
          <w:p w14:paraId="4F9CE99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368" w:type="dxa"/>
            <w:tcBorders>
              <w:top w:val="single" w:color="auto" w:sz="4" w:space="0"/>
              <w:left w:val="single" w:color="auto" w:sz="4" w:space="0"/>
            </w:tcBorders>
            <w:shd w:val="clear" w:color="auto" w:fill="FFFFFF"/>
            <w:noWrap w:val="0"/>
            <w:vAlign w:val="center"/>
          </w:tcPr>
          <w:p w14:paraId="3805C67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28A5EC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r>
      <w:tr w14:paraId="41334F5E">
        <w:tblPrEx>
          <w:tblCellMar>
            <w:top w:w="0" w:type="dxa"/>
            <w:left w:w="10" w:type="dxa"/>
            <w:bottom w:w="0" w:type="dxa"/>
            <w:right w:w="10" w:type="dxa"/>
          </w:tblCellMar>
        </w:tblPrEx>
        <w:trPr>
          <w:trHeight w:val="897" w:hRule="exact"/>
          <w:jc w:val="center"/>
        </w:trPr>
        <w:tc>
          <w:tcPr>
            <w:tcW w:w="869" w:type="dxa"/>
            <w:tcBorders>
              <w:top w:val="single" w:color="auto" w:sz="4" w:space="0"/>
              <w:left w:val="single" w:color="auto" w:sz="4" w:space="0"/>
            </w:tcBorders>
            <w:shd w:val="clear" w:color="auto" w:fill="FFFFFF"/>
            <w:noWrap w:val="0"/>
            <w:vAlign w:val="center"/>
          </w:tcPr>
          <w:p w14:paraId="29678958">
            <w:pPr>
              <w:pStyle w:val="28"/>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8</w:t>
            </w:r>
          </w:p>
        </w:tc>
        <w:tc>
          <w:tcPr>
            <w:tcW w:w="1651" w:type="dxa"/>
            <w:tcBorders>
              <w:top w:val="single" w:color="auto" w:sz="4" w:space="0"/>
              <w:left w:val="single" w:color="auto" w:sz="4" w:space="0"/>
            </w:tcBorders>
            <w:shd w:val="clear" w:color="auto" w:fill="FFFFFF"/>
            <w:noWrap w:val="0"/>
            <w:vAlign w:val="center"/>
          </w:tcPr>
          <w:p w14:paraId="16F5BEB0">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bCs/>
                <w:sz w:val="24"/>
                <w:lang w:eastAsia="zh-CN"/>
              </w:rPr>
            </w:pPr>
            <w:r>
              <w:rPr>
                <w:rFonts w:hint="default" w:ascii="Times New Roman" w:hAnsi="Times New Roman" w:cs="Times New Roman" w:eastAsiaTheme="minorEastAsia"/>
                <w:b/>
                <w:bCs/>
                <w:color w:val="000000"/>
                <w:sz w:val="24"/>
                <w:szCs w:val="24"/>
                <w:lang w:eastAsia="zh-CN"/>
              </w:rPr>
              <w:t>外部</w:t>
            </w:r>
            <w:r>
              <w:rPr>
                <w:rFonts w:hint="default" w:ascii="Times New Roman" w:hAnsi="Times New Roman" w:cs="Times New Roman" w:eastAsiaTheme="minorEastAsia"/>
                <w:b/>
                <w:bCs/>
                <w:color w:val="000000"/>
                <w:sz w:val="24"/>
                <w:szCs w:val="24"/>
              </w:rPr>
              <w:t>环境</w:t>
            </w:r>
            <w:r>
              <w:rPr>
                <w:rFonts w:hint="default" w:ascii="Times New Roman" w:hAnsi="Times New Roman" w:cs="Times New Roman" w:eastAsiaTheme="minorEastAsia"/>
                <w:b/>
                <w:bCs/>
                <w:color w:val="000000"/>
                <w:sz w:val="24"/>
                <w:szCs w:val="24"/>
                <w:lang w:eastAsia="zh-CN"/>
              </w:rPr>
              <w:t>和第三方破坏</w:t>
            </w:r>
          </w:p>
        </w:tc>
        <w:tc>
          <w:tcPr>
            <w:tcW w:w="2578" w:type="dxa"/>
            <w:tcBorders>
              <w:top w:val="single" w:color="auto" w:sz="4" w:space="0"/>
              <w:left w:val="single" w:color="auto" w:sz="4" w:space="0"/>
            </w:tcBorders>
            <w:shd w:val="clear" w:color="auto" w:fill="FFFFFF"/>
            <w:noWrap w:val="0"/>
            <w:vAlign w:val="center"/>
          </w:tcPr>
          <w:p w14:paraId="052258D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sz w:val="24"/>
                <w:lang w:eastAsia="zh-CN"/>
              </w:rPr>
            </w:pPr>
          </w:p>
        </w:tc>
        <w:tc>
          <w:tcPr>
            <w:tcW w:w="1430" w:type="dxa"/>
            <w:tcBorders>
              <w:top w:val="single" w:color="auto" w:sz="4" w:space="0"/>
              <w:left w:val="single" w:color="auto" w:sz="4" w:space="0"/>
            </w:tcBorders>
            <w:shd w:val="clear" w:color="auto" w:fill="FFFFFF"/>
            <w:noWrap w:val="0"/>
            <w:vAlign w:val="center"/>
          </w:tcPr>
          <w:p w14:paraId="38C8B1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368" w:type="dxa"/>
            <w:tcBorders>
              <w:top w:val="single" w:color="auto" w:sz="4" w:space="0"/>
              <w:left w:val="single" w:color="auto" w:sz="4" w:space="0"/>
            </w:tcBorders>
            <w:shd w:val="clear" w:color="auto" w:fill="FFFFFF"/>
            <w:noWrap w:val="0"/>
            <w:vAlign w:val="center"/>
          </w:tcPr>
          <w:p w14:paraId="3C8547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577C57D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sz w:val="24"/>
              </w:rPr>
            </w:pPr>
          </w:p>
        </w:tc>
      </w:tr>
      <w:tr w14:paraId="3C7B4038">
        <w:tblPrEx>
          <w:tblCellMar>
            <w:top w:w="0" w:type="dxa"/>
            <w:left w:w="10" w:type="dxa"/>
            <w:bottom w:w="0" w:type="dxa"/>
            <w:right w:w="10" w:type="dxa"/>
          </w:tblCellMar>
        </w:tblPrEx>
        <w:trPr>
          <w:trHeight w:val="1895" w:hRule="exact"/>
          <w:jc w:val="center"/>
        </w:trPr>
        <w:tc>
          <w:tcPr>
            <w:tcW w:w="8952" w:type="dxa"/>
            <w:gridSpan w:val="6"/>
            <w:tcBorders>
              <w:top w:val="single" w:color="auto" w:sz="4" w:space="0"/>
              <w:left w:val="single" w:color="auto" w:sz="4" w:space="0"/>
              <w:bottom w:val="single" w:color="auto" w:sz="4" w:space="0"/>
              <w:right w:val="single" w:color="auto" w:sz="4" w:space="0"/>
            </w:tcBorders>
            <w:shd w:val="clear" w:color="auto" w:fill="FFFFFF"/>
            <w:noWrap w:val="0"/>
            <w:vAlign w:val="top"/>
          </w:tcPr>
          <w:p w14:paraId="174DED99">
            <w:pPr>
              <w:pStyle w:val="28"/>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sz w:val="24"/>
                <w:szCs w:val="24"/>
              </w:rPr>
              <w:t>釆取的防范措施：</w:t>
            </w:r>
          </w:p>
          <w:p w14:paraId="1123A67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eastAsiaTheme="minorEastAsia"/>
                <w:b/>
                <w:bCs/>
                <w:color w:val="000000"/>
                <w:sz w:val="24"/>
              </w:rPr>
            </w:pPr>
          </w:p>
          <w:p w14:paraId="6D81BF9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eastAsiaTheme="minorEastAsia"/>
                <w:b/>
                <w:bCs/>
                <w:sz w:val="24"/>
              </w:rPr>
            </w:pPr>
            <w:r>
              <w:rPr>
                <w:rFonts w:hint="default" w:ascii="Times New Roman" w:hAnsi="Times New Roman" w:cs="Times New Roman" w:eastAsiaTheme="minorEastAsia"/>
                <w:b/>
                <w:bCs/>
                <w:color w:val="000000"/>
                <w:sz w:val="24"/>
                <w:lang w:eastAsia="zh-CN"/>
              </w:rPr>
              <w:t>特种设备</w:t>
            </w:r>
            <w:r>
              <w:rPr>
                <w:rFonts w:hint="default" w:ascii="Times New Roman" w:hAnsi="Times New Roman" w:cs="Times New Roman" w:eastAsiaTheme="minorEastAsia"/>
                <w:b/>
                <w:bCs/>
                <w:color w:val="000000"/>
                <w:sz w:val="24"/>
              </w:rPr>
              <w:t>安全员：</w:t>
            </w:r>
          </w:p>
        </w:tc>
      </w:tr>
    </w:tbl>
    <w:p w14:paraId="3B707533">
      <w:pPr>
        <w:pStyle w:val="29"/>
        <w:ind w:left="5"/>
        <w:jc w:val="left"/>
        <w:rPr>
          <w:rFonts w:hint="default" w:ascii="Times New Roman" w:hAnsi="Times New Roman" w:eastAsia="方正小标宋简体" w:cs="Times New Roman"/>
          <w:b/>
          <w:bCs/>
          <w:color w:val="000000"/>
          <w:sz w:val="44"/>
          <w:szCs w:val="44"/>
        </w:rPr>
      </w:pPr>
      <w:r>
        <w:rPr>
          <w:rFonts w:hint="default" w:ascii="Times New Roman" w:hAnsi="Times New Roman" w:cs="Times New Roman" w:eastAsiaTheme="minorEastAsia"/>
          <w:b/>
          <w:bCs/>
          <w:color w:val="000000"/>
          <w:sz w:val="21"/>
          <w:szCs w:val="21"/>
        </w:rPr>
        <w:t>注：1.以上检查结果合格直接打“√”</w:t>
      </w:r>
      <w:r>
        <w:rPr>
          <w:rFonts w:hint="default" w:ascii="Times New Roman" w:hAnsi="Times New Roman" w:cs="Times New Roman" w:eastAsiaTheme="minorEastAsia"/>
          <w:b/>
          <w:bCs/>
          <w:color w:val="000000"/>
          <w:sz w:val="21"/>
          <w:szCs w:val="21"/>
          <w:lang w:val="en-US" w:eastAsia="zh-CN" w:bidi="en-US"/>
        </w:rPr>
        <w:t>，</w:t>
      </w:r>
      <w:r>
        <w:rPr>
          <w:rFonts w:hint="default" w:ascii="Times New Roman" w:hAnsi="Times New Roman" w:cs="Times New Roman" w:eastAsiaTheme="minorEastAsia"/>
          <w:b/>
          <w:bCs/>
          <w:color w:val="000000"/>
          <w:sz w:val="21"/>
          <w:szCs w:val="21"/>
        </w:rPr>
        <w:t>若有不合格则在</w:t>
      </w:r>
      <w:r>
        <w:rPr>
          <w:rFonts w:hint="default" w:ascii="Times New Roman" w:hAnsi="Times New Roman" w:cs="Times New Roman" w:eastAsiaTheme="minorEastAsia"/>
          <w:b/>
          <w:bCs/>
          <w:color w:val="000000"/>
          <w:sz w:val="21"/>
          <w:szCs w:val="21"/>
          <w:lang w:val="zh-CN" w:eastAsia="zh-CN" w:bidi="zh-CN"/>
        </w:rPr>
        <w:t>“检</w:t>
      </w:r>
      <w:r>
        <w:rPr>
          <w:rFonts w:hint="default" w:ascii="Times New Roman" w:hAnsi="Times New Roman" w:cs="Times New Roman" w:eastAsiaTheme="minorEastAsia"/>
          <w:b/>
          <w:bCs/>
          <w:color w:val="000000"/>
          <w:sz w:val="21"/>
          <w:szCs w:val="21"/>
        </w:rPr>
        <w:t>查结果</w:t>
      </w:r>
      <w:r>
        <w:rPr>
          <w:rFonts w:hint="default" w:ascii="Times New Roman" w:hAnsi="Times New Roman" w:cs="Times New Roman" w:eastAsiaTheme="minorEastAsia"/>
          <w:b/>
          <w:bCs/>
          <w:color w:val="000000"/>
          <w:sz w:val="21"/>
          <w:szCs w:val="21"/>
          <w:lang w:val="zh-CN" w:eastAsia="zh-CN" w:bidi="zh-CN"/>
        </w:rPr>
        <w:t>”栏</w:t>
      </w:r>
      <w:r>
        <w:rPr>
          <w:rFonts w:hint="default" w:ascii="Times New Roman" w:hAnsi="Times New Roman" w:cs="Times New Roman" w:eastAsiaTheme="minorEastAsia"/>
          <w:b/>
          <w:bCs/>
          <w:color w:val="000000"/>
          <w:sz w:val="21"/>
          <w:szCs w:val="21"/>
        </w:rPr>
        <w:t>内填写不合格具体情况，同时填写处理结果。</w:t>
      </w:r>
      <w:r>
        <w:rPr>
          <w:rFonts w:hint="eastAsia" w:ascii="Times New Roman" w:hAnsi="Times New Roman" w:cs="Times New Roman" w:eastAsiaTheme="minorEastAsia"/>
          <w:b/>
          <w:bCs/>
          <w:color w:val="000000"/>
          <w:sz w:val="21"/>
          <w:szCs w:val="21"/>
          <w:lang w:val="en-US" w:eastAsia="zh-CN"/>
        </w:rPr>
        <w:t>2.</w:t>
      </w:r>
      <w:r>
        <w:rPr>
          <w:rFonts w:hint="default" w:ascii="Times New Roman" w:hAnsi="Times New Roman" w:cs="Times New Roman" w:eastAsiaTheme="minorEastAsia"/>
          <w:b/>
          <w:bCs/>
          <w:color w:val="000000"/>
          <w:sz w:val="21"/>
          <w:szCs w:val="21"/>
        </w:rPr>
        <w:t>以上为例表，特种设备</w:t>
      </w:r>
      <w:r>
        <w:rPr>
          <w:rFonts w:hint="default" w:ascii="Times New Roman" w:hAnsi="Times New Roman" w:cs="Times New Roman" w:eastAsiaTheme="minorEastAsia"/>
          <w:b/>
          <w:bCs/>
          <w:color w:val="000000"/>
          <w:sz w:val="21"/>
          <w:szCs w:val="21"/>
          <w:lang w:val="en-US" w:eastAsia="zh-CN"/>
        </w:rPr>
        <w:t>使用</w:t>
      </w:r>
      <w:r>
        <w:rPr>
          <w:rFonts w:hint="default" w:ascii="Times New Roman" w:hAnsi="Times New Roman" w:cs="Times New Roman" w:eastAsiaTheme="minorEastAsia"/>
          <w:b/>
          <w:bCs/>
          <w:color w:val="000000"/>
          <w:sz w:val="21"/>
          <w:szCs w:val="21"/>
        </w:rPr>
        <w:t>单位可根据本单位的《安全风险管控清单》调整检査项目，细化检査内容。</w:t>
      </w:r>
      <w:r>
        <w:rPr>
          <w:rFonts w:hint="eastAsia" w:ascii="Times New Roman" w:hAnsi="Times New Roman" w:cs="Times New Roman" w:eastAsiaTheme="minorEastAsia"/>
          <w:b/>
          <w:bCs/>
          <w:color w:val="000000"/>
          <w:sz w:val="21"/>
          <w:szCs w:val="21"/>
          <w:lang w:val="en-US" w:eastAsia="zh-CN"/>
        </w:rPr>
        <w:t>3.</w:t>
      </w:r>
      <w:r>
        <w:rPr>
          <w:rFonts w:hint="default" w:ascii="Times New Roman" w:hAnsi="Times New Roman" w:cs="Times New Roman" w:eastAsiaTheme="minorEastAsia"/>
          <w:b/>
          <w:bCs/>
          <w:color w:val="000000"/>
          <w:sz w:val="21"/>
          <w:szCs w:val="21"/>
          <w:lang w:eastAsia="zh-CN"/>
        </w:rPr>
        <w:t>特种设备较少的单位，可以把一个月的工作记录整合到一张表。</w:t>
      </w:r>
    </w:p>
    <w:p w14:paraId="243FEB1E">
      <w:pPr>
        <w:rPr>
          <w:rFonts w:hint="default" w:ascii="Times New Roman" w:hAnsi="Times New Roman" w:eastAsia="方正小标宋简体" w:cs="Times New Roman"/>
          <w:b/>
          <w:bCs/>
          <w:color w:val="000000"/>
          <w:sz w:val="44"/>
          <w:szCs w:val="44"/>
        </w:rPr>
      </w:pPr>
      <w:r>
        <w:rPr>
          <w:rFonts w:hint="default" w:ascii="Times New Roman" w:hAnsi="Times New Roman" w:eastAsia="方正小标宋简体" w:cs="Times New Roman"/>
          <w:b/>
          <w:bCs/>
          <w:color w:val="000000"/>
          <w:sz w:val="44"/>
          <w:szCs w:val="44"/>
        </w:rPr>
        <w:br w:type="page"/>
      </w:r>
    </w:p>
    <w:p w14:paraId="0C914E03">
      <w:pPr>
        <w:pStyle w:val="29"/>
        <w:keepNext w:val="0"/>
        <w:keepLines w:val="0"/>
        <w:pageBreakBefore w:val="0"/>
        <w:widowControl w:val="0"/>
        <w:kinsoku/>
        <w:wordWrap/>
        <w:overflowPunct/>
        <w:topLinePunct w:val="0"/>
        <w:autoSpaceDE/>
        <w:autoSpaceDN/>
        <w:bidi w:val="0"/>
        <w:adjustRightInd/>
        <w:snapToGrid/>
        <w:spacing w:after="313" w:afterLines="100" w:line="600" w:lineRule="exact"/>
        <w:ind w:left="0" w:leftChars="0" w:firstLine="0" w:firstLineChars="0"/>
        <w:jc w:val="center"/>
        <w:textAlignment w:val="auto"/>
        <w:rPr>
          <w:rFonts w:hint="default" w:ascii="Times New Roman" w:hAnsi="Times New Roman" w:eastAsia="方正小标宋简体" w:cs="Times New Roman"/>
          <w:b/>
          <w:bCs/>
          <w:color w:val="000000"/>
          <w:sz w:val="44"/>
          <w:szCs w:val="44"/>
        </w:rPr>
      </w:pPr>
      <w:r>
        <w:rPr>
          <w:rFonts w:hint="default" w:ascii="Times New Roman" w:hAnsi="Times New Roman" w:eastAsia="方正小标宋简体" w:cs="Times New Roman"/>
          <w:b/>
          <w:bCs/>
          <w:color w:val="000000"/>
          <w:sz w:val="44"/>
          <w:szCs w:val="44"/>
        </w:rPr>
        <w:t>特种设备每周安全排查治理报告</w:t>
      </w:r>
      <w:r>
        <w:rPr>
          <w:rFonts w:hint="eastAsia" w:ascii="Times New Roman" w:hAnsi="Times New Roman" w:eastAsia="方正公文小标宋" w:cs="Times New Roman"/>
          <w:sz w:val="44"/>
          <w:szCs w:val="44"/>
          <w:lang w:eastAsia="zh-CN"/>
        </w:rPr>
        <w:t>（供参考）</w:t>
      </w:r>
    </w:p>
    <w:p w14:paraId="5BFA14EE">
      <w:pPr>
        <w:pStyle w:val="29"/>
        <w:tabs>
          <w:tab w:val="left" w:pos="6984"/>
        </w:tabs>
        <w:spacing w:line="240" w:lineRule="auto"/>
        <w:jc w:val="left"/>
        <w:rPr>
          <w:rFonts w:hint="default" w:ascii="Times New Roman" w:hAnsi="Times New Roman" w:cs="Times New Roman"/>
          <w:b/>
          <w:bCs/>
        </w:rPr>
      </w:pPr>
      <w:r>
        <w:rPr>
          <w:rFonts w:hint="default" w:ascii="Times New Roman" w:hAnsi="Times New Roman" w:cs="Times New Roman"/>
          <w:b/>
          <w:bCs/>
          <w:color w:val="000000"/>
          <w:sz w:val="24"/>
        </w:rPr>
        <w:t>日期：</w:t>
      </w:r>
      <w:r>
        <w:rPr>
          <w:rFonts w:hint="default" w:ascii="Times New Roman" w:hAnsi="Times New Roman" w:cs="Times New Roman"/>
          <w:b/>
          <w:bCs/>
          <w:color w:val="000000"/>
          <w:sz w:val="24"/>
          <w:lang w:val="en-US" w:eastAsia="zh-CN"/>
        </w:rPr>
        <w:t xml:space="preserve">  </w:t>
      </w:r>
      <w:r>
        <w:rPr>
          <w:rFonts w:hint="default" w:ascii="Times New Roman" w:hAnsi="Times New Roman" w:cs="Times New Roman"/>
          <w:b/>
          <w:bCs/>
          <w:color w:val="000000"/>
          <w:sz w:val="24"/>
        </w:rPr>
        <w:t xml:space="preserve"> 年</w:t>
      </w:r>
      <w:r>
        <w:rPr>
          <w:rFonts w:hint="default" w:ascii="Times New Roman" w:hAnsi="Times New Roman" w:cs="Times New Roman"/>
          <w:b/>
          <w:bCs/>
          <w:color w:val="000000"/>
          <w:sz w:val="24"/>
          <w:lang w:val="en-US" w:eastAsia="zh-CN"/>
        </w:rPr>
        <w:t xml:space="preserve">  </w:t>
      </w:r>
      <w:r>
        <w:rPr>
          <w:rFonts w:hint="default" w:ascii="Times New Roman" w:hAnsi="Times New Roman" w:cs="Times New Roman"/>
          <w:b/>
          <w:bCs/>
          <w:color w:val="000000"/>
          <w:sz w:val="24"/>
        </w:rPr>
        <w:t xml:space="preserve"> </w:t>
      </w:r>
      <w:r>
        <w:rPr>
          <w:rFonts w:hint="default" w:ascii="Times New Roman" w:hAnsi="Times New Roman" w:cs="Times New Roman"/>
          <w:b/>
          <w:bCs/>
          <w:color w:val="000000"/>
          <w:sz w:val="24"/>
          <w:lang w:val="zh-CN" w:eastAsia="zh-CN" w:bidi="zh-CN"/>
        </w:rPr>
        <w:t>月</w:t>
      </w:r>
      <w:r>
        <w:rPr>
          <w:rFonts w:hint="default" w:ascii="Times New Roman" w:hAnsi="Times New Roman" w:cs="Times New Roman"/>
          <w:b/>
          <w:bCs/>
          <w:color w:val="000000"/>
          <w:sz w:val="24"/>
          <w:lang w:val="en-US" w:eastAsia="zh-CN" w:bidi="zh-CN"/>
        </w:rPr>
        <w:t xml:space="preserve">   日</w:t>
      </w:r>
      <w:r>
        <w:rPr>
          <w:rFonts w:hint="default" w:ascii="Times New Roman" w:hAnsi="Times New Roman" w:cs="Times New Roman"/>
          <w:b/>
          <w:bCs/>
          <w:color w:val="000000"/>
          <w:sz w:val="24"/>
          <w:lang w:val="zh-CN" w:eastAsia="zh-CN" w:bidi="zh-CN"/>
        </w:rPr>
        <w:tab/>
      </w:r>
      <w:r>
        <w:rPr>
          <w:rFonts w:hint="default" w:ascii="Times New Roman" w:hAnsi="Times New Roman" w:cs="Times New Roman"/>
          <w:b/>
          <w:bCs/>
          <w:color w:val="000000"/>
          <w:sz w:val="24"/>
        </w:rPr>
        <w:t xml:space="preserve">第 </w:t>
      </w:r>
      <w:r>
        <w:rPr>
          <w:rFonts w:hint="default" w:ascii="Times New Roman" w:hAnsi="Times New Roman" w:cs="Times New Roman"/>
          <w:b/>
          <w:bCs/>
          <w:color w:val="000000"/>
          <w:sz w:val="24"/>
          <w:lang w:val="en-US" w:eastAsia="zh-CN"/>
        </w:rPr>
        <w:t xml:space="preserve">  </w:t>
      </w:r>
      <w:r>
        <w:rPr>
          <w:rFonts w:hint="default" w:ascii="Times New Roman" w:hAnsi="Times New Roman" w:cs="Times New Roman"/>
          <w:b/>
          <w:bCs/>
          <w:color w:val="000000"/>
          <w:sz w:val="24"/>
        </w:rPr>
        <w:t>周</w:t>
      </w:r>
    </w:p>
    <w:tbl>
      <w:tblPr>
        <w:tblStyle w:val="16"/>
        <w:tblW w:w="0" w:type="auto"/>
        <w:jc w:val="center"/>
        <w:tblLayout w:type="fixed"/>
        <w:tblCellMar>
          <w:top w:w="0" w:type="dxa"/>
          <w:left w:w="10" w:type="dxa"/>
          <w:bottom w:w="0" w:type="dxa"/>
          <w:right w:w="10" w:type="dxa"/>
        </w:tblCellMar>
      </w:tblPr>
      <w:tblGrid>
        <w:gridCol w:w="2327"/>
        <w:gridCol w:w="7094"/>
      </w:tblGrid>
      <w:tr w14:paraId="107C9F77">
        <w:tblPrEx>
          <w:tblCellMar>
            <w:top w:w="0" w:type="dxa"/>
            <w:left w:w="10" w:type="dxa"/>
            <w:bottom w:w="0" w:type="dxa"/>
            <w:right w:w="10" w:type="dxa"/>
          </w:tblCellMar>
        </w:tblPrEx>
        <w:trPr>
          <w:trHeight w:val="2046" w:hRule="exact"/>
          <w:jc w:val="center"/>
        </w:trPr>
        <w:tc>
          <w:tcPr>
            <w:tcW w:w="2327" w:type="dxa"/>
            <w:tcBorders>
              <w:top w:val="single" w:color="auto" w:sz="4" w:space="0"/>
              <w:left w:val="single" w:color="auto" w:sz="4" w:space="0"/>
            </w:tcBorders>
            <w:shd w:val="clear" w:color="auto" w:fill="FFFFFF"/>
            <w:noWrap w:val="0"/>
            <w:vAlign w:val="center"/>
          </w:tcPr>
          <w:p w14:paraId="236A2A41">
            <w:pPr>
              <w:pStyle w:val="28"/>
              <w:spacing w:line="360" w:lineRule="exact"/>
              <w:ind w:left="0" w:lef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color w:val="000000"/>
                <w:sz w:val="24"/>
                <w:szCs w:val="24"/>
              </w:rPr>
              <w:t>上周安全风险隐患问题整改核实情况</w:t>
            </w:r>
          </w:p>
        </w:tc>
        <w:tc>
          <w:tcPr>
            <w:tcW w:w="7094" w:type="dxa"/>
            <w:tcBorders>
              <w:top w:val="single" w:color="auto" w:sz="4" w:space="0"/>
              <w:left w:val="single" w:color="auto" w:sz="4" w:space="0"/>
              <w:right w:val="single" w:color="auto" w:sz="4" w:space="0"/>
            </w:tcBorders>
            <w:shd w:val="clear" w:color="auto" w:fill="FFFFFF"/>
            <w:noWrap w:val="0"/>
            <w:vAlign w:val="top"/>
          </w:tcPr>
          <w:p w14:paraId="1FD5C900">
            <w:pPr>
              <w:rPr>
                <w:rFonts w:hint="default" w:ascii="Times New Roman" w:hAnsi="Times New Roman" w:cs="Times New Roman"/>
                <w:b/>
                <w:bCs/>
                <w:sz w:val="10"/>
                <w:szCs w:val="10"/>
              </w:rPr>
            </w:pPr>
          </w:p>
        </w:tc>
      </w:tr>
      <w:tr w14:paraId="795BF623">
        <w:tblPrEx>
          <w:tblCellMar>
            <w:top w:w="0" w:type="dxa"/>
            <w:left w:w="10" w:type="dxa"/>
            <w:bottom w:w="0" w:type="dxa"/>
            <w:right w:w="10" w:type="dxa"/>
          </w:tblCellMar>
        </w:tblPrEx>
        <w:trPr>
          <w:trHeight w:val="2067" w:hRule="exact"/>
          <w:jc w:val="center"/>
        </w:trPr>
        <w:tc>
          <w:tcPr>
            <w:tcW w:w="2327" w:type="dxa"/>
            <w:tcBorders>
              <w:top w:val="single" w:color="auto" w:sz="4" w:space="0"/>
              <w:left w:val="single" w:color="auto" w:sz="4" w:space="0"/>
            </w:tcBorders>
            <w:shd w:val="clear" w:color="auto" w:fill="FFFFFF"/>
            <w:noWrap w:val="0"/>
            <w:vAlign w:val="center"/>
          </w:tcPr>
          <w:p w14:paraId="021C5F0A">
            <w:pPr>
              <w:pStyle w:val="28"/>
              <w:spacing w:line="360" w:lineRule="exact"/>
              <w:ind w:left="0" w:lef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color w:val="000000"/>
                <w:sz w:val="24"/>
                <w:szCs w:val="24"/>
              </w:rPr>
              <w:t>本周主要安全风险隐患和整改情况</w:t>
            </w:r>
          </w:p>
        </w:tc>
        <w:tc>
          <w:tcPr>
            <w:tcW w:w="7094" w:type="dxa"/>
            <w:tcBorders>
              <w:top w:val="single" w:color="auto" w:sz="4" w:space="0"/>
              <w:left w:val="single" w:color="auto" w:sz="4" w:space="0"/>
              <w:right w:val="single" w:color="auto" w:sz="4" w:space="0"/>
            </w:tcBorders>
            <w:shd w:val="clear" w:color="auto" w:fill="FFFFFF"/>
            <w:noWrap w:val="0"/>
            <w:vAlign w:val="top"/>
          </w:tcPr>
          <w:p w14:paraId="5B209CFD">
            <w:pPr>
              <w:rPr>
                <w:rFonts w:hint="default" w:ascii="Times New Roman" w:hAnsi="Times New Roman" w:cs="Times New Roman"/>
                <w:b/>
                <w:bCs/>
                <w:sz w:val="10"/>
                <w:szCs w:val="10"/>
              </w:rPr>
            </w:pPr>
          </w:p>
        </w:tc>
      </w:tr>
      <w:tr w14:paraId="172E2B15">
        <w:tblPrEx>
          <w:tblCellMar>
            <w:top w:w="0" w:type="dxa"/>
            <w:left w:w="10" w:type="dxa"/>
            <w:bottom w:w="0" w:type="dxa"/>
            <w:right w:w="10" w:type="dxa"/>
          </w:tblCellMar>
        </w:tblPrEx>
        <w:trPr>
          <w:trHeight w:val="1646" w:hRule="exact"/>
          <w:jc w:val="center"/>
        </w:trPr>
        <w:tc>
          <w:tcPr>
            <w:tcW w:w="2327" w:type="dxa"/>
            <w:tcBorders>
              <w:top w:val="single" w:color="auto" w:sz="4" w:space="0"/>
              <w:left w:val="single" w:color="auto" w:sz="4" w:space="0"/>
            </w:tcBorders>
            <w:shd w:val="clear" w:color="auto" w:fill="FFFFFF"/>
            <w:noWrap w:val="0"/>
            <w:vAlign w:val="center"/>
          </w:tcPr>
          <w:p w14:paraId="0FEEBE11">
            <w:pPr>
              <w:pStyle w:val="28"/>
              <w:spacing w:line="360" w:lineRule="exact"/>
              <w:ind w:left="0" w:lef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color w:val="000000"/>
                <w:sz w:val="24"/>
                <w:szCs w:val="24"/>
              </w:rPr>
              <w:t>本周安全管理情况评价</w:t>
            </w:r>
          </w:p>
        </w:tc>
        <w:tc>
          <w:tcPr>
            <w:tcW w:w="7094" w:type="dxa"/>
            <w:tcBorders>
              <w:top w:val="single" w:color="auto" w:sz="4" w:space="0"/>
              <w:left w:val="single" w:color="auto" w:sz="4" w:space="0"/>
              <w:right w:val="single" w:color="auto" w:sz="4" w:space="0"/>
            </w:tcBorders>
            <w:shd w:val="clear" w:color="auto" w:fill="FFFFFF"/>
            <w:noWrap w:val="0"/>
            <w:vAlign w:val="center"/>
          </w:tcPr>
          <w:p w14:paraId="740AD668">
            <w:pPr>
              <w:pStyle w:val="28"/>
              <w:spacing w:line="466" w:lineRule="exact"/>
              <w:ind w:left="100"/>
              <w:jc w:val="left"/>
              <w:rPr>
                <w:rFonts w:hint="default" w:ascii="Times New Roman" w:hAnsi="Times New Roman" w:cs="Times New Roman"/>
                <w:b/>
                <w:bCs/>
                <w:color w:val="000000"/>
                <w:sz w:val="24"/>
                <w:szCs w:val="24"/>
                <w:lang w:eastAsia="zh-CN"/>
              </w:rPr>
            </w:pPr>
            <w:r>
              <w:rPr>
                <w:rFonts w:hint="default" w:ascii="Times New Roman" w:hAnsi="Times New Roman" w:eastAsia="仿宋" w:cs="Times New Roman"/>
                <w:b/>
                <w:bCs/>
                <w:color w:val="000000"/>
                <w:sz w:val="24"/>
                <w:szCs w:val="24"/>
              </w:rPr>
              <w:t>□</w:t>
            </w:r>
            <w:r>
              <w:rPr>
                <w:rFonts w:hint="default" w:ascii="Times New Roman" w:hAnsi="Times New Roman" w:cs="Times New Roman"/>
                <w:b/>
                <w:bCs/>
                <w:color w:val="000000"/>
                <w:sz w:val="24"/>
                <w:szCs w:val="24"/>
              </w:rPr>
              <w:t>安全风险可控，无较大安全风险隐患</w:t>
            </w:r>
            <w:r>
              <w:rPr>
                <w:rFonts w:hint="default" w:ascii="Times New Roman" w:hAnsi="Times New Roman" w:cs="Times New Roman"/>
                <w:b/>
                <w:bCs/>
                <w:color w:val="000000"/>
                <w:sz w:val="24"/>
                <w:szCs w:val="24"/>
                <w:lang w:eastAsia="zh-CN"/>
              </w:rPr>
              <w:t>。</w:t>
            </w:r>
          </w:p>
          <w:p w14:paraId="49D6ECF6">
            <w:pPr>
              <w:pStyle w:val="28"/>
              <w:spacing w:line="466" w:lineRule="exact"/>
              <w:ind w:left="100"/>
              <w:jc w:val="left"/>
              <w:rPr>
                <w:rFonts w:hint="default" w:ascii="Times New Roman" w:hAnsi="Times New Roman" w:cs="Times New Roman"/>
                <w:b/>
                <w:bCs/>
                <w:sz w:val="24"/>
                <w:szCs w:val="24"/>
                <w:lang w:eastAsia="zh-CN"/>
              </w:rPr>
            </w:pPr>
            <w:r>
              <w:rPr>
                <w:rFonts w:hint="default" w:ascii="Times New Roman" w:hAnsi="Times New Roman" w:eastAsia="仿宋" w:cs="Times New Roman"/>
                <w:b/>
                <w:bCs/>
                <w:color w:val="000000"/>
                <w:sz w:val="24"/>
                <w:szCs w:val="24"/>
              </w:rPr>
              <w:t>□</w:t>
            </w:r>
            <w:r>
              <w:rPr>
                <w:rFonts w:hint="default" w:ascii="Times New Roman" w:hAnsi="Times New Roman" w:cs="Times New Roman"/>
                <w:b/>
                <w:bCs/>
                <w:color w:val="000000"/>
                <w:sz w:val="24"/>
                <w:szCs w:val="24"/>
              </w:rPr>
              <w:t>存在安全风险隐患，需尽快采取防范措施</w:t>
            </w:r>
            <w:r>
              <w:rPr>
                <w:rFonts w:hint="default" w:ascii="Times New Roman" w:hAnsi="Times New Roman" w:cs="Times New Roman"/>
                <w:b/>
                <w:bCs/>
                <w:color w:val="000000"/>
                <w:sz w:val="24"/>
                <w:szCs w:val="24"/>
                <w:lang w:eastAsia="zh-CN"/>
              </w:rPr>
              <w:t>。</w:t>
            </w:r>
          </w:p>
        </w:tc>
      </w:tr>
      <w:tr w14:paraId="0D5F0DD5">
        <w:tblPrEx>
          <w:tblCellMar>
            <w:top w:w="0" w:type="dxa"/>
            <w:left w:w="10" w:type="dxa"/>
            <w:bottom w:w="0" w:type="dxa"/>
            <w:right w:w="10" w:type="dxa"/>
          </w:tblCellMar>
        </w:tblPrEx>
        <w:trPr>
          <w:trHeight w:val="1472" w:hRule="exact"/>
          <w:jc w:val="center"/>
        </w:trPr>
        <w:tc>
          <w:tcPr>
            <w:tcW w:w="2327" w:type="dxa"/>
            <w:tcBorders>
              <w:top w:val="single" w:color="auto" w:sz="4" w:space="0"/>
              <w:left w:val="single" w:color="auto" w:sz="4" w:space="0"/>
            </w:tcBorders>
            <w:shd w:val="clear" w:color="auto" w:fill="FFFFFF"/>
            <w:noWrap w:val="0"/>
            <w:vAlign w:val="center"/>
          </w:tcPr>
          <w:p w14:paraId="630AD7AB">
            <w:pPr>
              <w:pStyle w:val="28"/>
              <w:spacing w:line="240" w:lineRule="auto"/>
              <w:ind w:left="0" w:lef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color w:val="000000"/>
                <w:sz w:val="24"/>
                <w:szCs w:val="24"/>
              </w:rPr>
              <w:t>下周工作重点</w:t>
            </w:r>
          </w:p>
        </w:tc>
        <w:tc>
          <w:tcPr>
            <w:tcW w:w="7094" w:type="dxa"/>
            <w:tcBorders>
              <w:top w:val="single" w:color="auto" w:sz="4" w:space="0"/>
              <w:left w:val="single" w:color="auto" w:sz="4" w:space="0"/>
              <w:right w:val="single" w:color="auto" w:sz="4" w:space="0"/>
            </w:tcBorders>
            <w:shd w:val="clear" w:color="auto" w:fill="FFFFFF"/>
            <w:noWrap w:val="0"/>
            <w:vAlign w:val="top"/>
          </w:tcPr>
          <w:p w14:paraId="791F17D5">
            <w:pPr>
              <w:rPr>
                <w:rFonts w:hint="default" w:ascii="Times New Roman" w:hAnsi="Times New Roman" w:cs="Times New Roman"/>
                <w:b/>
                <w:bCs/>
                <w:sz w:val="10"/>
                <w:szCs w:val="10"/>
              </w:rPr>
            </w:pPr>
          </w:p>
        </w:tc>
      </w:tr>
      <w:tr w14:paraId="5E25B821">
        <w:tblPrEx>
          <w:tblCellMar>
            <w:top w:w="0" w:type="dxa"/>
            <w:left w:w="10" w:type="dxa"/>
            <w:bottom w:w="0" w:type="dxa"/>
            <w:right w:w="10" w:type="dxa"/>
          </w:tblCellMar>
        </w:tblPrEx>
        <w:trPr>
          <w:trHeight w:val="1921" w:hRule="exact"/>
          <w:jc w:val="center"/>
        </w:trPr>
        <w:tc>
          <w:tcPr>
            <w:tcW w:w="9421" w:type="dxa"/>
            <w:gridSpan w:val="2"/>
            <w:tcBorders>
              <w:top w:val="single" w:color="auto" w:sz="4" w:space="0"/>
              <w:left w:val="single" w:color="auto" w:sz="4" w:space="0"/>
              <w:right w:val="single" w:color="auto" w:sz="4" w:space="0"/>
            </w:tcBorders>
            <w:shd w:val="clear" w:color="auto" w:fill="FFFFFF"/>
            <w:noWrap w:val="0"/>
            <w:vAlign w:val="center"/>
          </w:tcPr>
          <w:p w14:paraId="3D77440F">
            <w:pPr>
              <w:pStyle w:val="28"/>
              <w:spacing w:after="640" w:line="240" w:lineRule="auto"/>
              <w:ind w:firstLine="220"/>
              <w:jc w:val="left"/>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lang w:eastAsia="zh-CN"/>
              </w:rPr>
              <w:t>特种设备</w:t>
            </w:r>
            <w:r>
              <w:rPr>
                <w:rFonts w:hint="default" w:ascii="Times New Roman" w:hAnsi="Times New Roman" w:cs="Times New Roman"/>
                <w:b/>
                <w:bCs/>
                <w:color w:val="000000"/>
                <w:sz w:val="24"/>
                <w:szCs w:val="24"/>
              </w:rPr>
              <w:t>安全员意见：</w:t>
            </w:r>
          </w:p>
          <w:p w14:paraId="74E8F62E">
            <w:pPr>
              <w:pStyle w:val="28"/>
              <w:keepNext w:val="0"/>
              <w:keepLines w:val="0"/>
              <w:pageBreakBefore w:val="0"/>
              <w:widowControl w:val="0"/>
              <w:kinsoku/>
              <w:wordWrap/>
              <w:overflowPunct/>
              <w:topLinePunct w:val="0"/>
              <w:autoSpaceDE/>
              <w:autoSpaceDN/>
              <w:bidi w:val="0"/>
              <w:adjustRightInd/>
              <w:snapToGrid/>
              <w:spacing w:after="20" w:line="240" w:lineRule="auto"/>
              <w:ind w:firstLine="221"/>
              <w:jc w:val="left"/>
              <w:textAlignment w:val="auto"/>
              <w:rPr>
                <w:rFonts w:hint="default" w:ascii="Times New Roman" w:hAnsi="Times New Roman" w:cs="Times New Roman"/>
                <w:b/>
                <w:bCs/>
                <w:sz w:val="24"/>
                <w:szCs w:val="24"/>
              </w:rPr>
            </w:pPr>
            <w:r>
              <w:rPr>
                <w:rFonts w:hint="default"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签名：</w:t>
            </w:r>
            <w:r>
              <w:rPr>
                <w:rFonts w:hint="default"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ab/>
            </w:r>
            <w:r>
              <w:rPr>
                <w:rFonts w:hint="default" w:ascii="Times New Roman" w:hAnsi="Times New Roman" w:cs="Times New Roman"/>
                <w:b/>
                <w:bCs/>
                <w:color w:val="000000"/>
                <w:sz w:val="24"/>
                <w:szCs w:val="24"/>
              </w:rPr>
              <w:t>年</w:t>
            </w:r>
            <w:r>
              <w:rPr>
                <w:rFonts w:hint="default"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 xml:space="preserve"> 月</w:t>
            </w:r>
            <w:r>
              <w:rPr>
                <w:rFonts w:hint="default"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 xml:space="preserve"> 日</w:t>
            </w:r>
          </w:p>
        </w:tc>
      </w:tr>
      <w:tr w14:paraId="488336AE">
        <w:tblPrEx>
          <w:tblCellMar>
            <w:top w:w="0" w:type="dxa"/>
            <w:left w:w="10" w:type="dxa"/>
            <w:bottom w:w="0" w:type="dxa"/>
            <w:right w:w="10" w:type="dxa"/>
          </w:tblCellMar>
        </w:tblPrEx>
        <w:trPr>
          <w:trHeight w:val="1976" w:hRule="exact"/>
          <w:jc w:val="center"/>
        </w:trPr>
        <w:tc>
          <w:tcPr>
            <w:tcW w:w="942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7306E307">
            <w:pPr>
              <w:pStyle w:val="28"/>
              <w:spacing w:after="960" w:line="240" w:lineRule="auto"/>
              <w:ind w:firstLine="220"/>
              <w:jc w:val="left"/>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eastAsia="zh-CN"/>
              </w:rPr>
              <w:t>特种设备</w:t>
            </w:r>
            <w:r>
              <w:rPr>
                <w:rFonts w:hint="default" w:ascii="Times New Roman" w:hAnsi="Times New Roman" w:cs="Times New Roman"/>
                <w:b/>
                <w:bCs/>
                <w:color w:val="000000"/>
                <w:sz w:val="24"/>
                <w:szCs w:val="24"/>
              </w:rPr>
              <w:t>安全总监意见：</w:t>
            </w:r>
            <w:r>
              <w:rPr>
                <w:rFonts w:hint="default" w:ascii="Times New Roman" w:hAnsi="Times New Roman" w:cs="Times New Roman"/>
                <w:b/>
                <w:bCs/>
                <w:color w:val="000000"/>
                <w:sz w:val="24"/>
                <w:szCs w:val="24"/>
                <w:lang w:val="en-US" w:eastAsia="zh-CN"/>
              </w:rPr>
              <w:t xml:space="preserve">                                       </w:t>
            </w:r>
          </w:p>
          <w:p w14:paraId="7067ACC8">
            <w:pPr>
              <w:pStyle w:val="28"/>
              <w:keepNext w:val="0"/>
              <w:keepLines w:val="0"/>
              <w:pageBreakBefore w:val="0"/>
              <w:widowControl w:val="0"/>
              <w:kinsoku/>
              <w:wordWrap/>
              <w:overflowPunct/>
              <w:topLinePunct w:val="0"/>
              <w:autoSpaceDE/>
              <w:autoSpaceDN/>
              <w:bidi w:val="0"/>
              <w:adjustRightInd/>
              <w:snapToGrid/>
              <w:spacing w:after="20" w:line="240" w:lineRule="auto"/>
              <w:ind w:firstLine="4337" w:firstLineChars="1800"/>
              <w:jc w:val="left"/>
              <w:textAlignment w:val="auto"/>
              <w:rPr>
                <w:rFonts w:hint="default" w:ascii="Times New Roman" w:hAnsi="Times New Roman" w:cs="Times New Roman"/>
                <w:b/>
                <w:bCs/>
                <w:sz w:val="24"/>
                <w:szCs w:val="24"/>
              </w:rPr>
            </w:pPr>
            <w:r>
              <w:rPr>
                <w:rFonts w:hint="default" w:ascii="Times New Roman" w:hAnsi="Times New Roman" w:cs="Times New Roman"/>
                <w:b/>
                <w:bCs/>
                <w:color w:val="000000"/>
                <w:sz w:val="24"/>
                <w:szCs w:val="24"/>
              </w:rPr>
              <w:t>签名：</w:t>
            </w:r>
            <w:r>
              <w:rPr>
                <w:rFonts w:hint="default" w:ascii="Times New Roman" w:hAnsi="Times New Roman" w:cs="Times New Roman"/>
                <w:b/>
                <w:bCs/>
                <w:color w:val="000000"/>
                <w:sz w:val="24"/>
                <w:szCs w:val="24"/>
              </w:rPr>
              <w:tab/>
            </w:r>
            <w:r>
              <w:rPr>
                <w:rFonts w:hint="default"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 xml:space="preserve">年 </w:t>
            </w:r>
            <w:r>
              <w:rPr>
                <w:rFonts w:hint="default"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月</w:t>
            </w:r>
            <w:r>
              <w:rPr>
                <w:rFonts w:hint="default" w:ascii="Times New Roman" w:hAnsi="Times New Roman" w:cs="Times New Roman"/>
                <w:b/>
                <w:bCs/>
                <w:color w:val="000000"/>
                <w:sz w:val="24"/>
                <w:szCs w:val="24"/>
                <w:lang w:val="en-US" w:eastAsia="zh-CN"/>
              </w:rPr>
              <w:t xml:space="preserve">  </w:t>
            </w:r>
            <w:r>
              <w:rPr>
                <w:rFonts w:hint="default" w:ascii="Times New Roman" w:hAnsi="Times New Roman" w:cs="Times New Roman"/>
                <w:b/>
                <w:bCs/>
                <w:color w:val="000000"/>
                <w:sz w:val="24"/>
                <w:szCs w:val="24"/>
              </w:rPr>
              <w:t xml:space="preserve"> 日</w:t>
            </w:r>
          </w:p>
        </w:tc>
      </w:tr>
    </w:tbl>
    <w:p w14:paraId="707C72B6">
      <w:pPr>
        <w:spacing w:line="1" w:lineRule="exact"/>
        <w:rPr>
          <w:rFonts w:hint="default" w:ascii="Times New Roman" w:hAnsi="Times New Roman" w:cs="Times New Roman"/>
          <w:b/>
          <w:bCs/>
          <w:sz w:val="2"/>
          <w:szCs w:val="2"/>
        </w:rPr>
      </w:pPr>
      <w:r>
        <w:rPr>
          <w:rFonts w:hint="default" w:ascii="Times New Roman" w:hAnsi="Times New Roman" w:cs="Times New Roman"/>
          <w:b/>
          <w:bCs/>
        </w:rPr>
        <w:br w:type="page"/>
      </w:r>
    </w:p>
    <w:p w14:paraId="1781BE3C">
      <w:pPr>
        <w:bidi w:val="0"/>
        <w:ind w:left="0" w:leftChars="0" w:firstLine="0" w:firstLineChars="0"/>
        <w:jc w:val="center"/>
        <w:rPr>
          <w:rFonts w:hint="default" w:ascii="Times New Roman" w:hAnsi="Times New Roman" w:eastAsia="方正公文小标宋" w:cs="Times New Roman"/>
          <w:sz w:val="44"/>
          <w:szCs w:val="44"/>
        </w:rPr>
      </w:pPr>
      <w:r>
        <w:rPr>
          <w:rFonts w:hint="default" w:ascii="Times New Roman" w:hAnsi="Times New Roman" w:eastAsia="方正公文小标宋" w:cs="Times New Roman"/>
          <w:sz w:val="44"/>
          <w:szCs w:val="44"/>
        </w:rPr>
        <w:t>特种设备每月安全调度会议纪要</w:t>
      </w:r>
      <w:r>
        <w:rPr>
          <w:rFonts w:hint="eastAsia" w:ascii="Times New Roman" w:hAnsi="Times New Roman" w:eastAsia="方正公文小标宋" w:cs="Times New Roman"/>
          <w:sz w:val="44"/>
          <w:szCs w:val="44"/>
          <w:lang w:eastAsia="zh-CN"/>
        </w:rPr>
        <w:t>（供参考）</w:t>
      </w:r>
    </w:p>
    <w:p w14:paraId="5D4D0CAC">
      <w:pPr>
        <w:pStyle w:val="26"/>
        <w:spacing w:line="580" w:lineRule="exact"/>
        <w:ind w:left="0" w:leftChars="0" w:firstLine="0" w:firstLineChars="0"/>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color w:val="000000"/>
          <w:lang w:val="en-US" w:eastAsia="zh-CN"/>
        </w:rPr>
        <w:t>2025年</w:t>
      </w:r>
      <w:r>
        <w:rPr>
          <w:rFonts w:hint="default" w:ascii="Times New Roman" w:hAnsi="Times New Roman" w:cs="Times New Roman" w:eastAsiaTheme="minorEastAsia"/>
          <w:b/>
          <w:bCs/>
          <w:color w:val="000000"/>
        </w:rPr>
        <w:t>（</w:t>
      </w:r>
      <w:r>
        <w:rPr>
          <w:rFonts w:hint="default" w:ascii="Times New Roman" w:hAnsi="Times New Roman" w:cs="Times New Roman" w:eastAsiaTheme="minorEastAsia"/>
          <w:b/>
          <w:bCs/>
          <w:color w:val="000000"/>
          <w:lang w:eastAsia="zh-CN"/>
        </w:rPr>
        <w:t xml:space="preserve"> </w:t>
      </w:r>
      <w:r>
        <w:rPr>
          <w:rFonts w:hint="default" w:ascii="Times New Roman" w:hAnsi="Times New Roman" w:cs="Times New Roman" w:eastAsiaTheme="minorEastAsia"/>
          <w:b/>
          <w:bCs/>
          <w:color w:val="000000"/>
        </w:rPr>
        <w:t xml:space="preserve">  ）月</w:t>
      </w:r>
    </w:p>
    <w:tbl>
      <w:tblPr>
        <w:tblStyle w:val="16"/>
        <w:tblW w:w="0" w:type="auto"/>
        <w:jc w:val="center"/>
        <w:tblLayout w:type="fixed"/>
        <w:tblCellMar>
          <w:top w:w="0" w:type="dxa"/>
          <w:left w:w="10" w:type="dxa"/>
          <w:bottom w:w="0" w:type="dxa"/>
          <w:right w:w="10" w:type="dxa"/>
        </w:tblCellMar>
      </w:tblPr>
      <w:tblGrid>
        <w:gridCol w:w="1651"/>
        <w:gridCol w:w="2659"/>
        <w:gridCol w:w="1646"/>
        <w:gridCol w:w="3254"/>
      </w:tblGrid>
      <w:tr w14:paraId="56FA2772">
        <w:tblPrEx>
          <w:tblCellMar>
            <w:top w:w="0" w:type="dxa"/>
            <w:left w:w="10" w:type="dxa"/>
            <w:bottom w:w="0" w:type="dxa"/>
            <w:right w:w="10" w:type="dxa"/>
          </w:tblCellMar>
        </w:tblPrEx>
        <w:trPr>
          <w:trHeight w:val="764" w:hRule="exact"/>
          <w:jc w:val="center"/>
        </w:trPr>
        <w:tc>
          <w:tcPr>
            <w:tcW w:w="1651" w:type="dxa"/>
            <w:tcBorders>
              <w:top w:val="single" w:color="auto" w:sz="4" w:space="0"/>
              <w:left w:val="single" w:color="auto" w:sz="4" w:space="0"/>
            </w:tcBorders>
            <w:shd w:val="clear" w:color="auto" w:fill="FFFFFF"/>
            <w:noWrap w:val="0"/>
            <w:vAlign w:val="center"/>
          </w:tcPr>
          <w:p w14:paraId="03E4CC55">
            <w:pPr>
              <w:pStyle w:val="28"/>
              <w:spacing w:line="240" w:lineRule="auto"/>
              <w:ind w:left="0" w:leftChars="0" w:firstLine="0" w:firstLineChars="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会议时间</w:t>
            </w:r>
          </w:p>
        </w:tc>
        <w:tc>
          <w:tcPr>
            <w:tcW w:w="2659" w:type="dxa"/>
            <w:tcBorders>
              <w:top w:val="single" w:color="auto" w:sz="4" w:space="0"/>
              <w:left w:val="single" w:color="auto" w:sz="4" w:space="0"/>
            </w:tcBorders>
            <w:shd w:val="clear" w:color="auto" w:fill="FFFFFF"/>
            <w:noWrap w:val="0"/>
            <w:vAlign w:val="center"/>
          </w:tcPr>
          <w:p w14:paraId="4B48B1ED">
            <w:pPr>
              <w:ind w:left="0" w:leftChars="0" w:firstLine="0" w:firstLineChars="0"/>
              <w:jc w:val="center"/>
              <w:rPr>
                <w:rFonts w:hint="default" w:ascii="Times New Roman" w:hAnsi="Times New Roman" w:cs="Times New Roman" w:eastAsiaTheme="minorEastAsia"/>
                <w:b/>
                <w:bCs/>
                <w:sz w:val="24"/>
                <w:szCs w:val="24"/>
                <w:lang w:val="en-US" w:eastAsia="zh-CN"/>
              </w:rPr>
            </w:pPr>
          </w:p>
        </w:tc>
        <w:tc>
          <w:tcPr>
            <w:tcW w:w="1646" w:type="dxa"/>
            <w:tcBorders>
              <w:top w:val="single" w:color="auto" w:sz="4" w:space="0"/>
              <w:left w:val="single" w:color="auto" w:sz="4" w:space="0"/>
            </w:tcBorders>
            <w:shd w:val="clear" w:color="auto" w:fill="FFFFFF"/>
            <w:noWrap w:val="0"/>
            <w:vAlign w:val="center"/>
          </w:tcPr>
          <w:p w14:paraId="2EBCD49B">
            <w:pPr>
              <w:pStyle w:val="28"/>
              <w:spacing w:line="240" w:lineRule="auto"/>
              <w:ind w:left="0" w:leftChars="0" w:firstLine="0" w:firstLineChars="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会议地点</w:t>
            </w:r>
          </w:p>
        </w:tc>
        <w:tc>
          <w:tcPr>
            <w:tcW w:w="3254" w:type="dxa"/>
            <w:tcBorders>
              <w:top w:val="single" w:color="auto" w:sz="4" w:space="0"/>
              <w:left w:val="single" w:color="auto" w:sz="4" w:space="0"/>
              <w:right w:val="single" w:color="auto" w:sz="4" w:space="0"/>
            </w:tcBorders>
            <w:shd w:val="clear" w:color="auto" w:fill="FFFFFF"/>
            <w:noWrap w:val="0"/>
            <w:vAlign w:val="center"/>
          </w:tcPr>
          <w:p w14:paraId="7D7EA702">
            <w:pPr>
              <w:ind w:left="0" w:leftChars="0" w:firstLine="0" w:firstLineChars="0"/>
              <w:jc w:val="center"/>
              <w:rPr>
                <w:rFonts w:hint="default" w:ascii="Times New Roman" w:hAnsi="Times New Roman" w:cs="Times New Roman" w:eastAsiaTheme="minorEastAsia"/>
                <w:b/>
                <w:bCs/>
                <w:sz w:val="24"/>
                <w:szCs w:val="24"/>
              </w:rPr>
            </w:pPr>
          </w:p>
        </w:tc>
      </w:tr>
      <w:tr w14:paraId="62DEA744">
        <w:tblPrEx>
          <w:tblCellMar>
            <w:top w:w="0" w:type="dxa"/>
            <w:left w:w="10" w:type="dxa"/>
            <w:bottom w:w="0" w:type="dxa"/>
            <w:right w:w="10" w:type="dxa"/>
          </w:tblCellMar>
        </w:tblPrEx>
        <w:trPr>
          <w:trHeight w:val="783" w:hRule="exact"/>
          <w:jc w:val="center"/>
        </w:trPr>
        <w:tc>
          <w:tcPr>
            <w:tcW w:w="1651" w:type="dxa"/>
            <w:tcBorders>
              <w:top w:val="single" w:color="auto" w:sz="4" w:space="0"/>
              <w:left w:val="single" w:color="auto" w:sz="4" w:space="0"/>
            </w:tcBorders>
            <w:shd w:val="clear" w:color="auto" w:fill="FFFFFF"/>
            <w:noWrap w:val="0"/>
            <w:vAlign w:val="center"/>
          </w:tcPr>
          <w:p w14:paraId="333C9B79">
            <w:pPr>
              <w:pStyle w:val="28"/>
              <w:spacing w:line="240" w:lineRule="auto"/>
              <w:ind w:left="0" w:leftChars="0" w:firstLine="0" w:firstLineChars="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会议主持人</w:t>
            </w:r>
          </w:p>
        </w:tc>
        <w:tc>
          <w:tcPr>
            <w:tcW w:w="2659" w:type="dxa"/>
            <w:tcBorders>
              <w:top w:val="single" w:color="auto" w:sz="4" w:space="0"/>
              <w:left w:val="single" w:color="auto" w:sz="4" w:space="0"/>
            </w:tcBorders>
            <w:shd w:val="clear" w:color="auto" w:fill="FFFFFF"/>
            <w:noWrap w:val="0"/>
            <w:vAlign w:val="center"/>
          </w:tcPr>
          <w:p w14:paraId="422F11C6">
            <w:pPr>
              <w:ind w:left="0" w:leftChars="0" w:firstLine="0" w:firstLineChars="0"/>
              <w:jc w:val="center"/>
              <w:rPr>
                <w:rFonts w:hint="default" w:ascii="Times New Roman" w:hAnsi="Times New Roman" w:cs="Times New Roman" w:eastAsiaTheme="minorEastAsia"/>
                <w:b/>
                <w:bCs/>
                <w:sz w:val="24"/>
                <w:szCs w:val="24"/>
              </w:rPr>
            </w:pPr>
          </w:p>
        </w:tc>
        <w:tc>
          <w:tcPr>
            <w:tcW w:w="1646" w:type="dxa"/>
            <w:tcBorders>
              <w:top w:val="single" w:color="auto" w:sz="4" w:space="0"/>
              <w:left w:val="single" w:color="auto" w:sz="4" w:space="0"/>
            </w:tcBorders>
            <w:shd w:val="clear" w:color="auto" w:fill="FFFFFF"/>
            <w:noWrap w:val="0"/>
            <w:vAlign w:val="center"/>
          </w:tcPr>
          <w:p w14:paraId="27FFA996">
            <w:pPr>
              <w:pStyle w:val="28"/>
              <w:spacing w:line="240" w:lineRule="auto"/>
              <w:ind w:left="0" w:leftChars="0" w:firstLine="0" w:firstLineChars="0"/>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会议记录人</w:t>
            </w:r>
          </w:p>
        </w:tc>
        <w:tc>
          <w:tcPr>
            <w:tcW w:w="3254" w:type="dxa"/>
            <w:tcBorders>
              <w:top w:val="single" w:color="auto" w:sz="4" w:space="0"/>
              <w:left w:val="single" w:color="auto" w:sz="4" w:space="0"/>
              <w:right w:val="single" w:color="auto" w:sz="4" w:space="0"/>
            </w:tcBorders>
            <w:shd w:val="clear" w:color="auto" w:fill="FFFFFF"/>
            <w:noWrap w:val="0"/>
            <w:vAlign w:val="center"/>
          </w:tcPr>
          <w:p w14:paraId="5CC7BF2C">
            <w:pPr>
              <w:ind w:left="0" w:leftChars="0" w:firstLine="0" w:firstLineChars="0"/>
              <w:jc w:val="center"/>
              <w:rPr>
                <w:rFonts w:hint="default" w:ascii="Times New Roman" w:hAnsi="Times New Roman" w:cs="Times New Roman" w:eastAsiaTheme="minorEastAsia"/>
                <w:b/>
                <w:bCs/>
                <w:sz w:val="24"/>
                <w:szCs w:val="24"/>
              </w:rPr>
            </w:pPr>
          </w:p>
        </w:tc>
      </w:tr>
      <w:tr w14:paraId="2B434FEB">
        <w:tblPrEx>
          <w:tblCellMar>
            <w:top w:w="0" w:type="dxa"/>
            <w:left w:w="10" w:type="dxa"/>
            <w:bottom w:w="0" w:type="dxa"/>
            <w:right w:w="10" w:type="dxa"/>
          </w:tblCellMar>
        </w:tblPrEx>
        <w:trPr>
          <w:trHeight w:val="1887" w:hRule="exact"/>
          <w:jc w:val="center"/>
        </w:trPr>
        <w:tc>
          <w:tcPr>
            <w:tcW w:w="9210" w:type="dxa"/>
            <w:gridSpan w:val="4"/>
            <w:tcBorders>
              <w:top w:val="single" w:color="auto" w:sz="4" w:space="0"/>
              <w:left w:val="single" w:color="auto" w:sz="4" w:space="0"/>
              <w:right w:val="single" w:color="auto" w:sz="4" w:space="0"/>
            </w:tcBorders>
            <w:shd w:val="clear" w:color="auto" w:fill="FFFFFF"/>
            <w:noWrap w:val="0"/>
            <w:vAlign w:val="top"/>
          </w:tcPr>
          <w:p w14:paraId="79C161CF">
            <w:pPr>
              <w:pStyle w:val="28"/>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color w:val="000000"/>
                <w:sz w:val="24"/>
                <w:szCs w:val="24"/>
              </w:rPr>
              <w:t>参会人员：</w:t>
            </w:r>
            <w:r>
              <w:rPr>
                <w:rFonts w:hint="default" w:ascii="Times New Roman" w:hAnsi="Times New Roman" w:cs="Times New Roman" w:eastAsiaTheme="minorEastAsia"/>
                <w:b/>
                <w:bCs/>
                <w:color w:val="000000"/>
                <w:sz w:val="24"/>
                <w:szCs w:val="24"/>
                <w:lang w:eastAsia="zh-CN"/>
              </w:rPr>
              <w:t>（</w:t>
            </w:r>
            <w:r>
              <w:rPr>
                <w:rFonts w:hint="default" w:ascii="Times New Roman" w:hAnsi="Times New Roman" w:cs="Times New Roman" w:eastAsiaTheme="minorEastAsia"/>
                <w:b/>
                <w:bCs/>
                <w:color w:val="FF0000"/>
                <w:sz w:val="24"/>
                <w:szCs w:val="24"/>
                <w:lang w:eastAsia="zh-CN"/>
              </w:rPr>
              <w:t>需要企业主要负责人、特种设备安全总监、特种设备安全员以及本单位安全生产相关部门负责人签字</w:t>
            </w:r>
            <w:r>
              <w:rPr>
                <w:rFonts w:hint="default" w:ascii="Times New Roman" w:hAnsi="Times New Roman" w:cs="Times New Roman" w:eastAsiaTheme="minorEastAsia"/>
                <w:b/>
                <w:bCs/>
                <w:color w:val="000000"/>
                <w:sz w:val="24"/>
                <w:szCs w:val="24"/>
                <w:lang w:eastAsia="zh-CN"/>
              </w:rPr>
              <w:t>）</w:t>
            </w:r>
          </w:p>
        </w:tc>
      </w:tr>
      <w:tr w14:paraId="3A32CE72">
        <w:tblPrEx>
          <w:tblCellMar>
            <w:top w:w="0" w:type="dxa"/>
            <w:left w:w="10" w:type="dxa"/>
            <w:bottom w:w="0" w:type="dxa"/>
            <w:right w:w="10" w:type="dxa"/>
          </w:tblCellMar>
        </w:tblPrEx>
        <w:trPr>
          <w:trHeight w:val="7247" w:hRule="exact"/>
          <w:jc w:val="center"/>
        </w:trPr>
        <w:tc>
          <w:tcPr>
            <w:tcW w:w="9210" w:type="dxa"/>
            <w:gridSpan w:val="4"/>
            <w:tcBorders>
              <w:top w:val="single" w:color="auto" w:sz="4" w:space="0"/>
              <w:left w:val="single" w:color="auto" w:sz="4" w:space="0"/>
              <w:right w:val="single" w:color="auto" w:sz="4" w:space="0"/>
            </w:tcBorders>
            <w:shd w:val="clear" w:color="auto" w:fill="FFFFFF"/>
            <w:noWrap w:val="0"/>
            <w:vAlign w:val="top"/>
          </w:tcPr>
          <w:p w14:paraId="65D4398A">
            <w:pPr>
              <w:pStyle w:val="28"/>
              <w:spacing w:before="140" w:after="40" w:line="240" w:lineRule="auto"/>
              <w:jc w:val="left"/>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会议内容：</w:t>
            </w:r>
          </w:p>
          <w:p w14:paraId="57D7E774">
            <w:pPr>
              <w:pStyle w:val="28"/>
              <w:tabs>
                <w:tab w:val="left" w:pos="221"/>
              </w:tabs>
              <w:spacing w:after="900" w:line="240" w:lineRule="auto"/>
              <w:jc w:val="left"/>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lang w:val="en-US" w:eastAsia="zh-CN"/>
              </w:rPr>
              <w:t>1.</w:t>
            </w:r>
            <w:r>
              <w:rPr>
                <w:rFonts w:hint="default" w:ascii="Times New Roman" w:hAnsi="Times New Roman" w:cs="Times New Roman" w:eastAsiaTheme="minorEastAsia"/>
                <w:b/>
                <w:bCs/>
                <w:color w:val="000000"/>
                <w:sz w:val="24"/>
                <w:szCs w:val="24"/>
              </w:rPr>
              <w:t>本月巡査主要问题：</w:t>
            </w:r>
          </w:p>
          <w:p w14:paraId="5D8B7A49">
            <w:pPr>
              <w:pStyle w:val="28"/>
              <w:tabs>
                <w:tab w:val="left" w:pos="235"/>
              </w:tabs>
              <w:spacing w:after="900" w:line="240" w:lineRule="auto"/>
              <w:jc w:val="left"/>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lang w:val="en-US" w:eastAsia="zh-CN"/>
              </w:rPr>
              <w:t>2.</w:t>
            </w:r>
            <w:r>
              <w:rPr>
                <w:rFonts w:hint="default" w:ascii="Times New Roman" w:hAnsi="Times New Roman" w:cs="Times New Roman" w:eastAsiaTheme="minorEastAsia"/>
                <w:b/>
                <w:bCs/>
                <w:color w:val="000000"/>
                <w:sz w:val="24"/>
                <w:szCs w:val="24"/>
              </w:rPr>
              <w:t>本月整改方案落实情况：</w:t>
            </w:r>
          </w:p>
          <w:p w14:paraId="242AC9BF">
            <w:pPr>
              <w:pStyle w:val="28"/>
              <w:tabs>
                <w:tab w:val="left" w:pos="355"/>
              </w:tabs>
              <w:spacing w:after="900" w:line="240" w:lineRule="auto"/>
              <w:jc w:val="left"/>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lang w:val="en-US" w:eastAsia="zh-CN"/>
              </w:rPr>
              <w:t>3.</w:t>
            </w:r>
            <w:r>
              <w:rPr>
                <w:rFonts w:hint="default" w:ascii="Times New Roman" w:hAnsi="Times New Roman" w:cs="Times New Roman" w:eastAsiaTheme="minorEastAsia"/>
                <w:b/>
                <w:bCs/>
                <w:color w:val="000000"/>
                <w:sz w:val="24"/>
                <w:szCs w:val="24"/>
              </w:rPr>
              <w:t>本月还未解决的问题：</w:t>
            </w:r>
          </w:p>
          <w:p w14:paraId="6C220D00">
            <w:pPr>
              <w:pStyle w:val="28"/>
              <w:spacing w:after="660" w:line="240" w:lineRule="auto"/>
              <w:jc w:val="left"/>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lang w:val="en-US" w:eastAsia="zh-CN"/>
              </w:rPr>
              <w:t>4.</w:t>
            </w:r>
            <w:r>
              <w:rPr>
                <w:rFonts w:hint="default" w:ascii="Times New Roman" w:hAnsi="Times New Roman" w:cs="Times New Roman" w:eastAsiaTheme="minorEastAsia"/>
                <w:b/>
                <w:bCs/>
                <w:color w:val="000000"/>
                <w:sz w:val="24"/>
                <w:szCs w:val="24"/>
              </w:rPr>
              <w:t>月调度相关内容（如制度修订、人员岗位职责变化等）：</w:t>
            </w:r>
          </w:p>
          <w:p w14:paraId="7F8C25C7">
            <w:pPr>
              <w:pStyle w:val="28"/>
              <w:tabs>
                <w:tab w:val="left" w:pos="235"/>
              </w:tabs>
              <w:spacing w:after="660" w:line="240" w:lineRule="auto"/>
              <w:jc w:val="left"/>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lang w:val="en-US" w:eastAsia="zh-CN"/>
              </w:rPr>
              <w:t>5.</w:t>
            </w:r>
            <w:r>
              <w:rPr>
                <w:rFonts w:hint="default" w:ascii="Times New Roman" w:hAnsi="Times New Roman" w:cs="Times New Roman" w:eastAsiaTheme="minorEastAsia"/>
                <w:b/>
                <w:bCs/>
                <w:color w:val="000000"/>
                <w:sz w:val="24"/>
                <w:szCs w:val="24"/>
              </w:rPr>
              <w:t>其他安全事项：</w:t>
            </w:r>
          </w:p>
          <w:p w14:paraId="02C58E24">
            <w:pPr>
              <w:pStyle w:val="28"/>
              <w:tabs>
                <w:tab w:val="left" w:pos="360"/>
              </w:tabs>
              <w:spacing w:line="240" w:lineRule="auto"/>
              <w:jc w:val="left"/>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sz w:val="24"/>
                <w:szCs w:val="24"/>
              </w:rPr>
              <w:t>6</w:t>
            </w:r>
            <w:r>
              <w:rPr>
                <w:rFonts w:hint="default" w:ascii="Times New Roman" w:hAnsi="Times New Roman" w:cs="Times New Roman" w:eastAsiaTheme="minorEastAsia"/>
                <w:b/>
                <w:bCs/>
                <w:color w:val="000000"/>
                <w:sz w:val="24"/>
                <w:szCs w:val="24"/>
                <w:lang w:val="en-US" w:eastAsia="zh-CN"/>
              </w:rPr>
              <w:t>.</w:t>
            </w:r>
            <w:r>
              <w:rPr>
                <w:rFonts w:hint="default" w:ascii="Times New Roman" w:hAnsi="Times New Roman" w:cs="Times New Roman" w:eastAsiaTheme="minorEastAsia"/>
                <w:b/>
                <w:bCs/>
                <w:color w:val="000000"/>
                <w:sz w:val="24"/>
                <w:szCs w:val="24"/>
              </w:rPr>
              <w:t>会议研究釆取的措施：</w:t>
            </w:r>
          </w:p>
        </w:tc>
      </w:tr>
      <w:tr w14:paraId="15D5C697">
        <w:tblPrEx>
          <w:tblCellMar>
            <w:top w:w="0" w:type="dxa"/>
            <w:left w:w="10" w:type="dxa"/>
            <w:bottom w:w="0" w:type="dxa"/>
            <w:right w:w="10" w:type="dxa"/>
          </w:tblCellMar>
        </w:tblPrEx>
        <w:trPr>
          <w:trHeight w:val="1311" w:hRule="exact"/>
          <w:jc w:val="center"/>
        </w:trPr>
        <w:tc>
          <w:tcPr>
            <w:tcW w:w="9210"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EFA6C5">
            <w:pPr>
              <w:pStyle w:val="28"/>
              <w:spacing w:line="240" w:lineRule="auto"/>
              <w:jc w:val="left"/>
              <w:rPr>
                <w:rFonts w:hint="default" w:ascii="Times New Roman" w:hAnsi="Times New Roman" w:cs="Times New Roman" w:eastAsiaTheme="minorEastAsia"/>
                <w:b/>
                <w:bCs/>
                <w:sz w:val="24"/>
                <w:szCs w:val="24"/>
                <w:lang w:eastAsia="zh-CN"/>
              </w:rPr>
            </w:pPr>
            <w:r>
              <w:rPr>
                <w:rFonts w:hint="default" w:ascii="Times New Roman" w:hAnsi="Times New Roman" w:cs="Times New Roman" w:eastAsiaTheme="minorEastAsia"/>
                <w:b/>
                <w:bCs/>
                <w:color w:val="000000"/>
                <w:sz w:val="24"/>
                <w:szCs w:val="24"/>
              </w:rPr>
              <w:t>备注</w:t>
            </w:r>
            <w:r>
              <w:rPr>
                <w:rFonts w:hint="default" w:ascii="Times New Roman" w:hAnsi="Times New Roman" w:cs="Times New Roman" w:eastAsiaTheme="minorEastAsia"/>
                <w:b/>
                <w:bCs/>
                <w:color w:val="000000"/>
                <w:sz w:val="24"/>
                <w:szCs w:val="24"/>
                <w:lang w:eastAsia="zh-CN"/>
              </w:rPr>
              <w:t>：</w:t>
            </w:r>
          </w:p>
        </w:tc>
      </w:tr>
    </w:tbl>
    <w:p w14:paraId="41920607">
      <w:pPr>
        <w:bidi w:val="0"/>
        <w:ind w:left="0" w:leftChars="0" w:firstLine="0" w:firstLineChars="0"/>
        <w:rPr>
          <w:rFonts w:hint="default" w:ascii="Times New Roman" w:hAnsi="Times New Roman" w:cs="Times New Roman"/>
        </w:rPr>
        <w:sectPr>
          <w:pgSz w:w="11906" w:h="16838"/>
          <w:pgMar w:top="1440" w:right="1800" w:bottom="1440" w:left="1800" w:header="851" w:footer="992" w:gutter="0"/>
          <w:pgNumType w:fmt="decimal" w:start="1"/>
          <w:cols w:space="425" w:num="1"/>
          <w:docGrid w:type="lines" w:linePitch="312" w:charSpace="0"/>
        </w:sectPr>
      </w:pPr>
    </w:p>
    <w:p w14:paraId="362329A1">
      <w:pPr>
        <w:pStyle w:val="2"/>
        <w:bidi w:val="0"/>
        <w:ind w:left="0" w:leftChars="0" w:firstLine="0" w:firstLineChars="0"/>
        <w:rPr>
          <w:rFonts w:hint="default"/>
          <w:b/>
          <w:bCs/>
          <w:lang w:val="en-US" w:eastAsia="zh-CN"/>
        </w:rPr>
      </w:pPr>
      <w:bookmarkStart w:id="65" w:name="_Toc19805"/>
      <w:r>
        <w:rPr>
          <w:rFonts w:hint="default"/>
          <w:b/>
          <w:bCs/>
          <w:lang w:val="en-US" w:eastAsia="zh-CN"/>
        </w:rPr>
        <w:t>附件</w:t>
      </w:r>
      <w:r>
        <w:rPr>
          <w:rFonts w:hint="eastAsia"/>
          <w:b/>
          <w:bCs/>
          <w:lang w:val="en-US" w:eastAsia="zh-CN"/>
        </w:rPr>
        <w:t>4</w:t>
      </w:r>
      <w:r>
        <w:rPr>
          <w:rFonts w:hint="default"/>
          <w:b/>
          <w:bCs/>
          <w:lang w:eastAsia="zh-CN"/>
        </w:rPr>
        <w:t>特种设备</w:t>
      </w:r>
      <w:r>
        <w:rPr>
          <w:rFonts w:hint="eastAsia"/>
          <w:b/>
          <w:bCs/>
          <w:lang w:eastAsia="zh-CN"/>
        </w:rPr>
        <w:t>安全风险管控清单</w:t>
      </w:r>
      <w:r>
        <w:rPr>
          <w:rFonts w:hint="default"/>
          <w:b/>
          <w:bCs/>
          <w:lang w:val="en-US" w:eastAsia="zh-CN"/>
        </w:rPr>
        <w:t>参考模板</w:t>
      </w:r>
      <w:bookmarkEnd w:id="65"/>
    </w:p>
    <w:p w14:paraId="663499CE">
      <w:pPr>
        <w:bidi w:val="0"/>
        <w:jc w:val="center"/>
        <w:rPr>
          <w:rFonts w:hint="eastAsia" w:asciiTheme="minorEastAsia" w:hAnsiTheme="minorEastAsia" w:eastAsiaTheme="minorEastAsia" w:cstheme="minorEastAsia"/>
          <w:sz w:val="36"/>
          <w:szCs w:val="36"/>
          <w:lang w:eastAsia="zh-CN"/>
        </w:rPr>
      </w:pPr>
      <w:r>
        <w:rPr>
          <w:rFonts w:hint="eastAsia" w:asciiTheme="minorEastAsia" w:hAnsiTheme="minorEastAsia" w:eastAsiaTheme="minorEastAsia" w:cstheme="minorEastAsia"/>
          <w:sz w:val="36"/>
          <w:szCs w:val="36"/>
        </w:rPr>
        <w:t>锅炉安全风险管控清单</w:t>
      </w:r>
      <w:r>
        <w:rPr>
          <w:rFonts w:hint="eastAsia" w:asciiTheme="minorEastAsia" w:hAnsiTheme="minorEastAsia" w:eastAsiaTheme="minorEastAsia" w:cstheme="minorEastAsia"/>
          <w:sz w:val="36"/>
          <w:szCs w:val="36"/>
          <w:lang w:eastAsia="zh-CN"/>
        </w:rPr>
        <w:t>（供参考）</w:t>
      </w:r>
    </w:p>
    <w:tbl>
      <w:tblPr>
        <w:tblStyle w:val="16"/>
        <w:tblW w:w="142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4"/>
        <w:gridCol w:w="1444"/>
        <w:gridCol w:w="3180"/>
        <w:gridCol w:w="5250"/>
        <w:gridCol w:w="1260"/>
        <w:gridCol w:w="1286"/>
        <w:gridCol w:w="1011"/>
      </w:tblGrid>
      <w:tr w14:paraId="7B9EE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794" w:type="dxa"/>
            <w:shd w:val="clear" w:color="auto" w:fill="BEBEBE"/>
            <w:vAlign w:val="center"/>
          </w:tcPr>
          <w:p w14:paraId="2B95CA52">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序号</w:t>
            </w:r>
          </w:p>
        </w:tc>
        <w:tc>
          <w:tcPr>
            <w:tcW w:w="1444" w:type="dxa"/>
            <w:shd w:val="clear" w:color="auto" w:fill="BEBEBE"/>
            <w:vAlign w:val="center"/>
          </w:tcPr>
          <w:p w14:paraId="3804FFFF">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风险类别</w:t>
            </w:r>
          </w:p>
        </w:tc>
        <w:tc>
          <w:tcPr>
            <w:tcW w:w="3180" w:type="dxa"/>
            <w:shd w:val="clear" w:color="auto" w:fill="BEBEBE"/>
            <w:vAlign w:val="center"/>
          </w:tcPr>
          <w:p w14:paraId="0D16E641">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风险指标</w:t>
            </w:r>
          </w:p>
        </w:tc>
        <w:tc>
          <w:tcPr>
            <w:tcW w:w="5250" w:type="dxa"/>
            <w:shd w:val="clear" w:color="auto" w:fill="BEBEBE"/>
            <w:vAlign w:val="center"/>
          </w:tcPr>
          <w:p w14:paraId="043B1D84">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风险管控</w:t>
            </w:r>
            <w:r>
              <w:rPr>
                <w:rFonts w:ascii="宋体" w:hAnsi="宋体" w:eastAsia="宋体" w:cs="Times New Roman"/>
                <w:b/>
                <w:sz w:val="28"/>
                <w:szCs w:val="28"/>
              </w:rPr>
              <w:t>措施</w:t>
            </w:r>
          </w:p>
        </w:tc>
        <w:tc>
          <w:tcPr>
            <w:tcW w:w="1260" w:type="dxa"/>
            <w:shd w:val="clear" w:color="auto" w:fill="BEBEBE"/>
            <w:vAlign w:val="center"/>
          </w:tcPr>
          <w:p w14:paraId="68B23145">
            <w:pPr>
              <w:spacing w:line="240" w:lineRule="auto"/>
              <w:ind w:left="0" w:leftChars="0" w:firstLine="0" w:firstLineChars="0"/>
              <w:jc w:val="center"/>
              <w:rPr>
                <w:rFonts w:ascii="宋体" w:hAnsi="宋体" w:eastAsia="宋体" w:cs="Times New Roman"/>
                <w:b/>
                <w:sz w:val="24"/>
                <w:szCs w:val="24"/>
              </w:rPr>
            </w:pPr>
            <w:r>
              <w:rPr>
                <w:rFonts w:hint="eastAsia" w:ascii="宋体" w:hAnsi="宋体" w:eastAsia="宋体" w:cs="Times New Roman"/>
                <w:b/>
                <w:sz w:val="24"/>
                <w:szCs w:val="24"/>
              </w:rPr>
              <w:t>管控形式</w:t>
            </w:r>
          </w:p>
        </w:tc>
        <w:tc>
          <w:tcPr>
            <w:tcW w:w="1286" w:type="dxa"/>
            <w:shd w:val="clear" w:color="auto" w:fill="BEBEBE"/>
            <w:vAlign w:val="center"/>
          </w:tcPr>
          <w:p w14:paraId="515CFAEC">
            <w:pPr>
              <w:spacing w:line="240" w:lineRule="auto"/>
              <w:ind w:left="0" w:leftChars="0" w:firstLine="0" w:firstLineChars="0"/>
              <w:jc w:val="center"/>
              <w:rPr>
                <w:rFonts w:ascii="宋体" w:hAnsi="宋体" w:eastAsia="宋体" w:cs="Times New Roman"/>
                <w:b/>
                <w:sz w:val="24"/>
                <w:szCs w:val="24"/>
              </w:rPr>
            </w:pPr>
            <w:r>
              <w:rPr>
                <w:rFonts w:hint="eastAsia" w:ascii="宋体" w:hAnsi="宋体" w:eastAsia="宋体" w:cs="Times New Roman"/>
                <w:b/>
                <w:sz w:val="24"/>
                <w:szCs w:val="24"/>
              </w:rPr>
              <w:t>责任人</w:t>
            </w:r>
          </w:p>
        </w:tc>
        <w:tc>
          <w:tcPr>
            <w:tcW w:w="1011" w:type="dxa"/>
            <w:shd w:val="clear" w:color="auto" w:fill="BEBEBE"/>
          </w:tcPr>
          <w:p w14:paraId="012AB5DB">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备注</w:t>
            </w:r>
          </w:p>
        </w:tc>
      </w:tr>
      <w:tr w14:paraId="0269B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794" w:type="dxa"/>
            <w:vAlign w:val="center"/>
          </w:tcPr>
          <w:p w14:paraId="32202E83">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w:t>
            </w:r>
          </w:p>
        </w:tc>
        <w:tc>
          <w:tcPr>
            <w:tcW w:w="1444" w:type="dxa"/>
            <w:vMerge w:val="restart"/>
            <w:vAlign w:val="center"/>
          </w:tcPr>
          <w:p w14:paraId="1E28B424">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人员</w:t>
            </w:r>
          </w:p>
        </w:tc>
        <w:tc>
          <w:tcPr>
            <w:tcW w:w="3180" w:type="dxa"/>
            <w:vAlign w:val="center"/>
          </w:tcPr>
          <w:p w14:paraId="5BFB57CE">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未按规定配备安全管理人员和作业人员</w:t>
            </w:r>
          </w:p>
        </w:tc>
        <w:tc>
          <w:tcPr>
            <w:tcW w:w="5250" w:type="dxa"/>
            <w:vAlign w:val="center"/>
          </w:tcPr>
          <w:p w14:paraId="59D1C85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1.建立特种设备安全管理人员与作业人员管理制度；</w:t>
            </w:r>
          </w:p>
          <w:p w14:paraId="785A7310">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2.按规定配备相关人员。</w:t>
            </w:r>
          </w:p>
        </w:tc>
        <w:tc>
          <w:tcPr>
            <w:tcW w:w="1260" w:type="dxa"/>
            <w:vAlign w:val="center"/>
          </w:tcPr>
          <w:p w14:paraId="205CF2A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286" w:type="dxa"/>
            <w:vAlign w:val="center"/>
          </w:tcPr>
          <w:p w14:paraId="22ADFE1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11" w:type="dxa"/>
          </w:tcPr>
          <w:p w14:paraId="4066B317">
            <w:pPr>
              <w:spacing w:line="240" w:lineRule="auto"/>
              <w:ind w:left="0" w:leftChars="0" w:firstLine="0" w:firstLineChars="0"/>
              <w:jc w:val="both"/>
              <w:rPr>
                <w:rFonts w:ascii="宋体" w:hAnsi="宋体" w:eastAsia="宋体" w:cs="Times New Roman"/>
                <w:b w:val="0"/>
                <w:sz w:val="21"/>
                <w:szCs w:val="21"/>
              </w:rPr>
            </w:pPr>
          </w:p>
        </w:tc>
      </w:tr>
      <w:tr w14:paraId="03DA0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794" w:type="dxa"/>
            <w:vAlign w:val="center"/>
          </w:tcPr>
          <w:p w14:paraId="511A1C59">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w:t>
            </w:r>
          </w:p>
        </w:tc>
        <w:tc>
          <w:tcPr>
            <w:tcW w:w="1444" w:type="dxa"/>
            <w:vMerge w:val="continue"/>
            <w:vAlign w:val="center"/>
          </w:tcPr>
          <w:p w14:paraId="6596B3A2">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5B83828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作业人员未持有相应资格证件</w:t>
            </w:r>
          </w:p>
        </w:tc>
        <w:tc>
          <w:tcPr>
            <w:tcW w:w="5250" w:type="dxa"/>
            <w:vAlign w:val="center"/>
          </w:tcPr>
          <w:p w14:paraId="375D2D9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配备具有相应职责资质的作业人员，加强资格证的换证管理</w:t>
            </w:r>
          </w:p>
        </w:tc>
        <w:tc>
          <w:tcPr>
            <w:tcW w:w="1260" w:type="dxa"/>
            <w:vAlign w:val="center"/>
          </w:tcPr>
          <w:p w14:paraId="68C24E7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22B1097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1F304C66">
            <w:pPr>
              <w:spacing w:line="240" w:lineRule="auto"/>
              <w:ind w:left="0" w:leftChars="0" w:firstLine="0" w:firstLineChars="0"/>
              <w:jc w:val="both"/>
              <w:rPr>
                <w:rFonts w:ascii="宋体" w:hAnsi="宋体" w:eastAsia="宋体" w:cs="Times New Roman"/>
                <w:b w:val="0"/>
                <w:sz w:val="21"/>
                <w:szCs w:val="21"/>
              </w:rPr>
            </w:pPr>
          </w:p>
        </w:tc>
      </w:tr>
      <w:tr w14:paraId="15C49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794" w:type="dxa"/>
            <w:vAlign w:val="center"/>
          </w:tcPr>
          <w:p w14:paraId="0702BA37">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3</w:t>
            </w:r>
          </w:p>
        </w:tc>
        <w:tc>
          <w:tcPr>
            <w:tcW w:w="1444" w:type="dxa"/>
            <w:vMerge w:val="continue"/>
            <w:vAlign w:val="center"/>
          </w:tcPr>
          <w:p w14:paraId="0D179E29">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17D3688D">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未按规定对安全管理人员和作业人员开展安全教育培训</w:t>
            </w:r>
          </w:p>
        </w:tc>
        <w:tc>
          <w:tcPr>
            <w:tcW w:w="5250" w:type="dxa"/>
            <w:vAlign w:val="center"/>
          </w:tcPr>
          <w:p w14:paraId="177EF9C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按规定开展安全培训教育</w:t>
            </w:r>
          </w:p>
        </w:tc>
        <w:tc>
          <w:tcPr>
            <w:tcW w:w="1260" w:type="dxa"/>
            <w:vAlign w:val="center"/>
          </w:tcPr>
          <w:p w14:paraId="282A97E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3A77EA0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2BA96DD5">
            <w:pPr>
              <w:spacing w:line="240" w:lineRule="auto"/>
              <w:ind w:left="0" w:leftChars="0" w:firstLine="0" w:firstLineChars="0"/>
              <w:jc w:val="both"/>
              <w:rPr>
                <w:rFonts w:ascii="宋体" w:hAnsi="宋体" w:eastAsia="宋体" w:cs="Times New Roman"/>
                <w:b w:val="0"/>
                <w:sz w:val="21"/>
                <w:szCs w:val="21"/>
              </w:rPr>
            </w:pPr>
          </w:p>
        </w:tc>
      </w:tr>
      <w:tr w14:paraId="40346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794" w:type="dxa"/>
            <w:vAlign w:val="center"/>
          </w:tcPr>
          <w:p w14:paraId="19221DC3">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4</w:t>
            </w:r>
          </w:p>
        </w:tc>
        <w:tc>
          <w:tcPr>
            <w:tcW w:w="1444" w:type="dxa"/>
            <w:vMerge w:val="continue"/>
            <w:vAlign w:val="center"/>
          </w:tcPr>
          <w:p w14:paraId="5EB5DD18">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47B05A3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作业人员违章作业或到岗值守情况不符合要求</w:t>
            </w:r>
          </w:p>
        </w:tc>
        <w:tc>
          <w:tcPr>
            <w:tcW w:w="5250" w:type="dxa"/>
            <w:vAlign w:val="center"/>
          </w:tcPr>
          <w:p w14:paraId="5436B090">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检查锅炉作业人员到岗值守情况，纠正和制止违章作业行为</w:t>
            </w:r>
          </w:p>
        </w:tc>
        <w:tc>
          <w:tcPr>
            <w:tcW w:w="1260" w:type="dxa"/>
            <w:vAlign w:val="center"/>
          </w:tcPr>
          <w:p w14:paraId="6C25F3F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286" w:type="dxa"/>
            <w:vAlign w:val="center"/>
          </w:tcPr>
          <w:p w14:paraId="5546C9C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775BC2B8">
            <w:pPr>
              <w:spacing w:line="240" w:lineRule="auto"/>
              <w:ind w:left="0" w:leftChars="0" w:firstLine="0" w:firstLineChars="0"/>
              <w:jc w:val="both"/>
              <w:rPr>
                <w:rFonts w:ascii="宋体" w:hAnsi="宋体" w:eastAsia="宋体" w:cs="Times New Roman"/>
                <w:b w:val="0"/>
                <w:sz w:val="21"/>
                <w:szCs w:val="21"/>
              </w:rPr>
            </w:pPr>
          </w:p>
        </w:tc>
      </w:tr>
      <w:tr w14:paraId="5A832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794" w:type="dxa"/>
            <w:vAlign w:val="center"/>
          </w:tcPr>
          <w:p w14:paraId="58324931">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5</w:t>
            </w:r>
          </w:p>
        </w:tc>
        <w:tc>
          <w:tcPr>
            <w:tcW w:w="1444" w:type="dxa"/>
            <w:vMerge w:val="restart"/>
            <w:vAlign w:val="center"/>
          </w:tcPr>
          <w:p w14:paraId="6C1DC3A6">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kern w:val="0"/>
                <w:sz w:val="24"/>
                <w:szCs w:val="22"/>
              </w:rPr>
              <w:t>管理</w:t>
            </w:r>
          </w:p>
        </w:tc>
        <w:tc>
          <w:tcPr>
            <w:tcW w:w="3180" w:type="dxa"/>
            <w:vAlign w:val="center"/>
          </w:tcPr>
          <w:p w14:paraId="4B65625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未按规定设置安全管理机构</w:t>
            </w:r>
          </w:p>
        </w:tc>
        <w:tc>
          <w:tcPr>
            <w:tcW w:w="5250" w:type="dxa"/>
            <w:vAlign w:val="center"/>
          </w:tcPr>
          <w:p w14:paraId="4DC1BFD4">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根据使用的特种设备种类和数量，设置专门的安全管理机构。</w:t>
            </w:r>
          </w:p>
        </w:tc>
        <w:tc>
          <w:tcPr>
            <w:tcW w:w="1260" w:type="dxa"/>
            <w:vAlign w:val="center"/>
          </w:tcPr>
          <w:p w14:paraId="71235B5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286" w:type="dxa"/>
            <w:vAlign w:val="center"/>
          </w:tcPr>
          <w:p w14:paraId="4441E22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11" w:type="dxa"/>
          </w:tcPr>
          <w:p w14:paraId="62062FE1">
            <w:pPr>
              <w:spacing w:line="240" w:lineRule="auto"/>
              <w:ind w:left="0" w:leftChars="0" w:firstLine="0" w:firstLineChars="0"/>
              <w:jc w:val="both"/>
              <w:rPr>
                <w:rFonts w:ascii="宋体" w:hAnsi="宋体" w:eastAsia="宋体" w:cs="Times New Roman"/>
                <w:b w:val="0"/>
                <w:sz w:val="21"/>
                <w:szCs w:val="21"/>
              </w:rPr>
            </w:pPr>
          </w:p>
        </w:tc>
      </w:tr>
      <w:tr w14:paraId="7CD99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794" w:type="dxa"/>
            <w:vAlign w:val="center"/>
          </w:tcPr>
          <w:p w14:paraId="378AE5F3">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6</w:t>
            </w:r>
          </w:p>
        </w:tc>
        <w:tc>
          <w:tcPr>
            <w:tcW w:w="1444" w:type="dxa"/>
            <w:vMerge w:val="continue"/>
            <w:vAlign w:val="center"/>
          </w:tcPr>
          <w:p w14:paraId="05C22C4E">
            <w:pPr>
              <w:spacing w:line="240" w:lineRule="auto"/>
              <w:ind w:left="0" w:leftChars="0" w:firstLine="0" w:firstLineChars="0"/>
              <w:jc w:val="center"/>
              <w:rPr>
                <w:rFonts w:ascii="宋体" w:hAnsi="宋体" w:eastAsia="宋体" w:cs="Times New Roman"/>
                <w:b w:val="0"/>
                <w:kern w:val="0"/>
                <w:sz w:val="24"/>
                <w:szCs w:val="22"/>
              </w:rPr>
            </w:pPr>
          </w:p>
        </w:tc>
        <w:tc>
          <w:tcPr>
            <w:tcW w:w="3180" w:type="dxa"/>
            <w:vAlign w:val="center"/>
          </w:tcPr>
          <w:p w14:paraId="36E3DA8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kern w:val="0"/>
                <w:sz w:val="24"/>
                <w:szCs w:val="22"/>
              </w:rPr>
              <w:t>未建立锅炉</w:t>
            </w:r>
            <w:r>
              <w:rPr>
                <w:rFonts w:ascii="宋体" w:hAnsi="宋体" w:eastAsia="宋体" w:cs="Times New Roman"/>
                <w:b w:val="0"/>
                <w:sz w:val="24"/>
                <w:szCs w:val="22"/>
              </w:rPr>
              <w:t>使用安全节能管理制度</w:t>
            </w:r>
          </w:p>
        </w:tc>
        <w:tc>
          <w:tcPr>
            <w:tcW w:w="5250" w:type="dxa"/>
            <w:vAlign w:val="center"/>
          </w:tcPr>
          <w:p w14:paraId="11F73AB9">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制定锅炉安全管理机构和相关人员岗位职责；</w:t>
            </w:r>
          </w:p>
          <w:p w14:paraId="0C91A498">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制定《锅炉安全总监职责》《锅炉安全员守则》《锅炉安全日管控、周排查、月调度管理制度》；</w:t>
            </w:r>
          </w:p>
          <w:p w14:paraId="48B4ACF5">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3.按《特种设备使用管理规则》建立锅炉使用安全和节能管理制度 。</w:t>
            </w:r>
          </w:p>
        </w:tc>
        <w:tc>
          <w:tcPr>
            <w:tcW w:w="1260" w:type="dxa"/>
            <w:vAlign w:val="center"/>
          </w:tcPr>
          <w:p w14:paraId="5657B80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48F2BC5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506D8A90">
            <w:pPr>
              <w:spacing w:line="240" w:lineRule="auto"/>
              <w:ind w:left="0" w:leftChars="0" w:firstLine="0" w:firstLineChars="0"/>
              <w:jc w:val="both"/>
              <w:rPr>
                <w:rFonts w:ascii="宋体" w:hAnsi="宋体" w:eastAsia="宋体" w:cs="Times New Roman"/>
                <w:b w:val="0"/>
                <w:sz w:val="21"/>
                <w:szCs w:val="21"/>
              </w:rPr>
            </w:pPr>
          </w:p>
        </w:tc>
      </w:tr>
      <w:tr w14:paraId="01E31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794" w:type="dxa"/>
            <w:vAlign w:val="center"/>
          </w:tcPr>
          <w:p w14:paraId="33222734">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7</w:t>
            </w:r>
          </w:p>
        </w:tc>
        <w:tc>
          <w:tcPr>
            <w:tcW w:w="1444" w:type="dxa"/>
            <w:vMerge w:val="continue"/>
            <w:vAlign w:val="center"/>
          </w:tcPr>
          <w:p w14:paraId="7CFC6E5D">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1BE128E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未建立安全技术档案</w:t>
            </w:r>
          </w:p>
        </w:tc>
        <w:tc>
          <w:tcPr>
            <w:tcW w:w="5250" w:type="dxa"/>
            <w:vAlign w:val="center"/>
          </w:tcPr>
          <w:p w14:paraId="1B92D187">
            <w:pPr>
              <w:numPr>
                <w:ilvl w:val="255"/>
                <w:numId w:val="0"/>
              </w:num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1.建立锅炉安全技术档案管理制度，明确档案内容及管理要求；</w:t>
            </w:r>
          </w:p>
          <w:p w14:paraId="7097EFA3">
            <w:pPr>
              <w:numPr>
                <w:ilvl w:val="255"/>
                <w:numId w:val="0"/>
              </w:num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 xml:space="preserve">2.按规定逐台建立安全技术档案并及时更新安全技术档案。 </w:t>
            </w:r>
          </w:p>
        </w:tc>
        <w:tc>
          <w:tcPr>
            <w:tcW w:w="1260" w:type="dxa"/>
            <w:vAlign w:val="center"/>
          </w:tcPr>
          <w:p w14:paraId="16EB7853">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3DECF23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388C023C">
            <w:pPr>
              <w:spacing w:line="240" w:lineRule="auto"/>
              <w:ind w:left="0" w:leftChars="0" w:firstLine="0" w:firstLineChars="0"/>
              <w:jc w:val="both"/>
              <w:rPr>
                <w:rFonts w:ascii="宋体" w:hAnsi="宋体" w:eastAsia="宋体" w:cs="Times New Roman"/>
                <w:b w:val="0"/>
                <w:sz w:val="21"/>
                <w:szCs w:val="21"/>
              </w:rPr>
            </w:pPr>
          </w:p>
        </w:tc>
      </w:tr>
      <w:tr w14:paraId="4F1B3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794" w:type="dxa"/>
            <w:vAlign w:val="center"/>
          </w:tcPr>
          <w:p w14:paraId="301F64E2">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8</w:t>
            </w:r>
          </w:p>
        </w:tc>
        <w:tc>
          <w:tcPr>
            <w:tcW w:w="1444" w:type="dxa"/>
            <w:vMerge w:val="continue"/>
            <w:vAlign w:val="center"/>
          </w:tcPr>
          <w:p w14:paraId="12E2979E">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0D55294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未按规定办理使用登记、变更登记及停用、报废等手续</w:t>
            </w:r>
          </w:p>
        </w:tc>
        <w:tc>
          <w:tcPr>
            <w:tcW w:w="5250" w:type="dxa"/>
            <w:vAlign w:val="center"/>
          </w:tcPr>
          <w:p w14:paraId="53483F4B">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1.建立使用管理制度和规程，明确相关内容及安全管理要求；</w:t>
            </w:r>
          </w:p>
          <w:p w14:paraId="20D03300">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 按规定办理使用登记、变更登记及停用、报废手续。</w:t>
            </w:r>
          </w:p>
        </w:tc>
        <w:tc>
          <w:tcPr>
            <w:tcW w:w="1260" w:type="dxa"/>
            <w:vAlign w:val="center"/>
          </w:tcPr>
          <w:p w14:paraId="05DBA66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6E8FA4A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66280B90">
            <w:pPr>
              <w:spacing w:line="240" w:lineRule="auto"/>
              <w:ind w:left="0" w:leftChars="0" w:firstLine="0" w:firstLineChars="0"/>
              <w:jc w:val="both"/>
              <w:rPr>
                <w:rFonts w:ascii="宋体" w:hAnsi="宋体" w:eastAsia="宋体" w:cs="Times New Roman"/>
                <w:b w:val="0"/>
                <w:sz w:val="21"/>
                <w:szCs w:val="21"/>
              </w:rPr>
            </w:pPr>
          </w:p>
        </w:tc>
      </w:tr>
      <w:tr w14:paraId="550A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794" w:type="dxa"/>
            <w:vAlign w:val="center"/>
          </w:tcPr>
          <w:p w14:paraId="610A9BB8">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9</w:t>
            </w:r>
          </w:p>
        </w:tc>
        <w:tc>
          <w:tcPr>
            <w:tcW w:w="1444" w:type="dxa"/>
            <w:vMerge w:val="continue"/>
            <w:vAlign w:val="center"/>
          </w:tcPr>
          <w:p w14:paraId="440B3BD1">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5D155CFD">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未按规定制定锅炉事故应急专项预案并定期演练</w:t>
            </w:r>
          </w:p>
        </w:tc>
        <w:tc>
          <w:tcPr>
            <w:tcW w:w="5250" w:type="dxa"/>
            <w:vAlign w:val="center"/>
          </w:tcPr>
          <w:p w14:paraId="1E87774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制定锅炉事故应急专项预案并每年至少开展1次演练</w:t>
            </w:r>
          </w:p>
        </w:tc>
        <w:tc>
          <w:tcPr>
            <w:tcW w:w="1260" w:type="dxa"/>
            <w:vAlign w:val="center"/>
          </w:tcPr>
          <w:p w14:paraId="1B078E2A">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286" w:type="dxa"/>
            <w:vAlign w:val="center"/>
          </w:tcPr>
          <w:p w14:paraId="6805423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11" w:type="dxa"/>
          </w:tcPr>
          <w:p w14:paraId="0FEE8B98">
            <w:pPr>
              <w:spacing w:line="240" w:lineRule="auto"/>
              <w:ind w:left="0" w:leftChars="0" w:firstLine="0" w:firstLineChars="0"/>
              <w:jc w:val="both"/>
              <w:rPr>
                <w:rFonts w:ascii="宋体" w:hAnsi="宋体" w:eastAsia="宋体" w:cs="Times New Roman"/>
                <w:b w:val="0"/>
                <w:sz w:val="21"/>
                <w:szCs w:val="21"/>
              </w:rPr>
            </w:pPr>
          </w:p>
        </w:tc>
      </w:tr>
      <w:tr w14:paraId="00F53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794" w:type="dxa"/>
            <w:vAlign w:val="center"/>
          </w:tcPr>
          <w:p w14:paraId="6797CDBE">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10</w:t>
            </w:r>
          </w:p>
        </w:tc>
        <w:tc>
          <w:tcPr>
            <w:tcW w:w="1444" w:type="dxa"/>
            <w:vMerge w:val="continue"/>
            <w:vAlign w:val="center"/>
          </w:tcPr>
          <w:p w14:paraId="6CB2ABA3">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6F8C7BF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锅炉停炉期间未按规定对锅炉及水处理设备进行停炉保养</w:t>
            </w:r>
          </w:p>
        </w:tc>
        <w:tc>
          <w:tcPr>
            <w:tcW w:w="5250" w:type="dxa"/>
            <w:vAlign w:val="center"/>
          </w:tcPr>
          <w:p w14:paraId="7CC7382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1.制定并落实锅炉停炉期间的锅炉、水处理设备保养措施；</w:t>
            </w:r>
          </w:p>
          <w:p w14:paraId="21B27EE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2.加强锅炉管理人员、操作人员、维护保养人员的相关专业培训。</w:t>
            </w:r>
          </w:p>
        </w:tc>
        <w:tc>
          <w:tcPr>
            <w:tcW w:w="1260" w:type="dxa"/>
            <w:vAlign w:val="center"/>
          </w:tcPr>
          <w:p w14:paraId="6571434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0A8F75E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2F51DC15">
            <w:pPr>
              <w:spacing w:line="240" w:lineRule="auto"/>
              <w:ind w:left="0" w:leftChars="0" w:firstLine="0" w:firstLineChars="0"/>
              <w:jc w:val="both"/>
              <w:rPr>
                <w:rFonts w:ascii="宋体" w:hAnsi="宋体" w:eastAsia="宋体" w:cs="Times New Roman"/>
                <w:b w:val="0"/>
                <w:sz w:val="21"/>
                <w:szCs w:val="21"/>
              </w:rPr>
            </w:pPr>
          </w:p>
        </w:tc>
      </w:tr>
      <w:tr w14:paraId="61E8C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794" w:type="dxa"/>
            <w:vAlign w:val="center"/>
          </w:tcPr>
          <w:p w14:paraId="5FBD0DDB">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11</w:t>
            </w:r>
          </w:p>
        </w:tc>
        <w:tc>
          <w:tcPr>
            <w:tcW w:w="1444" w:type="dxa"/>
            <w:vMerge w:val="restart"/>
            <w:vAlign w:val="center"/>
          </w:tcPr>
          <w:p w14:paraId="6E5E72BE">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锅炉本体</w:t>
            </w:r>
          </w:p>
          <w:p w14:paraId="42CD588C">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及锅炉范围内管道</w:t>
            </w:r>
          </w:p>
        </w:tc>
        <w:tc>
          <w:tcPr>
            <w:tcW w:w="3180" w:type="dxa"/>
            <w:vAlign w:val="center"/>
          </w:tcPr>
          <w:p w14:paraId="53D34DD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选用国家明令禁止或淘汰的锅炉产品</w:t>
            </w:r>
          </w:p>
        </w:tc>
        <w:tc>
          <w:tcPr>
            <w:tcW w:w="5250" w:type="dxa"/>
            <w:vAlign w:val="center"/>
          </w:tcPr>
          <w:p w14:paraId="52DB63C8">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建立采购管理制度，明确采购、验收要求</w:t>
            </w:r>
          </w:p>
        </w:tc>
        <w:tc>
          <w:tcPr>
            <w:tcW w:w="1260" w:type="dxa"/>
            <w:vAlign w:val="center"/>
          </w:tcPr>
          <w:p w14:paraId="7982286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286" w:type="dxa"/>
            <w:vAlign w:val="center"/>
          </w:tcPr>
          <w:p w14:paraId="68E2148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11" w:type="dxa"/>
          </w:tcPr>
          <w:p w14:paraId="4045607E">
            <w:pPr>
              <w:spacing w:line="240" w:lineRule="auto"/>
              <w:ind w:left="0" w:leftChars="0" w:firstLine="0" w:firstLineChars="0"/>
              <w:jc w:val="both"/>
              <w:rPr>
                <w:rFonts w:ascii="宋体" w:hAnsi="宋体" w:eastAsia="宋体" w:cs="Times New Roman"/>
                <w:b w:val="0"/>
                <w:sz w:val="21"/>
                <w:szCs w:val="21"/>
              </w:rPr>
            </w:pPr>
          </w:p>
        </w:tc>
      </w:tr>
      <w:tr w14:paraId="56D5E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jc w:val="center"/>
        </w:trPr>
        <w:tc>
          <w:tcPr>
            <w:tcW w:w="794" w:type="dxa"/>
            <w:vAlign w:val="center"/>
          </w:tcPr>
          <w:p w14:paraId="150DD250">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12</w:t>
            </w:r>
          </w:p>
        </w:tc>
        <w:tc>
          <w:tcPr>
            <w:tcW w:w="1444" w:type="dxa"/>
            <w:vMerge w:val="continue"/>
            <w:vAlign w:val="center"/>
          </w:tcPr>
          <w:p w14:paraId="7E07DBF0">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1DB196D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未按规定调试、检查和启动锅炉</w:t>
            </w:r>
          </w:p>
        </w:tc>
        <w:tc>
          <w:tcPr>
            <w:tcW w:w="5250" w:type="dxa"/>
            <w:vAlign w:val="center"/>
          </w:tcPr>
          <w:p w14:paraId="6A03EEE9">
            <w:pPr>
              <w:numPr>
                <w:ilvl w:val="0"/>
                <w:numId w:val="31"/>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制定调试方案，调试过程中的技术、安全保障措施，规定进行调试并记录；</w:t>
            </w:r>
          </w:p>
          <w:p w14:paraId="10A3F094">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2.按操作规程进行启动前检查和启动程序。</w:t>
            </w:r>
          </w:p>
        </w:tc>
        <w:tc>
          <w:tcPr>
            <w:tcW w:w="1260" w:type="dxa"/>
            <w:vAlign w:val="center"/>
          </w:tcPr>
          <w:p w14:paraId="442CF2E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44D3534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10077B80">
            <w:pPr>
              <w:spacing w:line="240" w:lineRule="auto"/>
              <w:ind w:left="0" w:leftChars="0" w:firstLine="0" w:firstLineChars="0"/>
              <w:jc w:val="both"/>
              <w:rPr>
                <w:rFonts w:ascii="宋体" w:hAnsi="宋体" w:eastAsia="宋体" w:cs="Times New Roman"/>
                <w:b w:val="0"/>
                <w:sz w:val="21"/>
                <w:szCs w:val="21"/>
              </w:rPr>
            </w:pPr>
          </w:p>
        </w:tc>
      </w:tr>
      <w:tr w14:paraId="1FC8F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jc w:val="center"/>
        </w:trPr>
        <w:tc>
          <w:tcPr>
            <w:tcW w:w="794" w:type="dxa"/>
            <w:vAlign w:val="center"/>
          </w:tcPr>
          <w:p w14:paraId="1D767528">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13</w:t>
            </w:r>
          </w:p>
        </w:tc>
        <w:tc>
          <w:tcPr>
            <w:tcW w:w="1444" w:type="dxa"/>
            <w:vMerge w:val="continue"/>
            <w:vAlign w:val="center"/>
          </w:tcPr>
          <w:p w14:paraId="7F7440AD">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76958E7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锅炉膨胀异常</w:t>
            </w:r>
          </w:p>
        </w:tc>
        <w:tc>
          <w:tcPr>
            <w:tcW w:w="5250" w:type="dxa"/>
            <w:vAlign w:val="center"/>
          </w:tcPr>
          <w:p w14:paraId="0532015A">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膨胀示值有异常时，分析原因并采取相应的处置措施</w:t>
            </w:r>
          </w:p>
        </w:tc>
        <w:tc>
          <w:tcPr>
            <w:tcW w:w="1260" w:type="dxa"/>
            <w:vAlign w:val="center"/>
          </w:tcPr>
          <w:p w14:paraId="39CD532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286" w:type="dxa"/>
            <w:vAlign w:val="center"/>
          </w:tcPr>
          <w:p w14:paraId="7536457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39687A99">
            <w:pPr>
              <w:spacing w:line="240" w:lineRule="auto"/>
              <w:ind w:left="0" w:leftChars="0" w:firstLine="0" w:firstLineChars="0"/>
              <w:jc w:val="both"/>
              <w:rPr>
                <w:rFonts w:ascii="宋体" w:hAnsi="宋体" w:eastAsia="宋体" w:cs="Times New Roman"/>
                <w:b w:val="0"/>
                <w:sz w:val="21"/>
                <w:szCs w:val="21"/>
              </w:rPr>
            </w:pPr>
          </w:p>
        </w:tc>
      </w:tr>
      <w:tr w14:paraId="62F10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794" w:type="dxa"/>
            <w:vAlign w:val="center"/>
          </w:tcPr>
          <w:p w14:paraId="2B5A717B">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14</w:t>
            </w:r>
          </w:p>
        </w:tc>
        <w:tc>
          <w:tcPr>
            <w:tcW w:w="1444" w:type="dxa"/>
            <w:vMerge w:val="continue"/>
            <w:vAlign w:val="center"/>
          </w:tcPr>
          <w:p w14:paraId="0DF9C08A">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0C3A069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受压部件及管接头等部位出现变形、泄漏、腐蚀等异常情况</w:t>
            </w:r>
          </w:p>
        </w:tc>
        <w:tc>
          <w:tcPr>
            <w:tcW w:w="5250" w:type="dxa"/>
            <w:vAlign w:val="center"/>
          </w:tcPr>
          <w:p w14:paraId="264CC435">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开展巡回检查，发现异常，按规定进行报告和处理</w:t>
            </w:r>
          </w:p>
        </w:tc>
        <w:tc>
          <w:tcPr>
            <w:tcW w:w="1260" w:type="dxa"/>
            <w:vAlign w:val="center"/>
          </w:tcPr>
          <w:p w14:paraId="4419142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286" w:type="dxa"/>
            <w:vAlign w:val="center"/>
          </w:tcPr>
          <w:p w14:paraId="42E875D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6646EFE3">
            <w:pPr>
              <w:spacing w:line="240" w:lineRule="auto"/>
              <w:ind w:left="0" w:leftChars="0" w:firstLine="0" w:firstLineChars="0"/>
              <w:jc w:val="both"/>
              <w:rPr>
                <w:rFonts w:ascii="宋体" w:hAnsi="宋体" w:eastAsia="宋体" w:cs="Times New Roman"/>
                <w:b w:val="0"/>
                <w:sz w:val="21"/>
                <w:szCs w:val="21"/>
              </w:rPr>
            </w:pPr>
          </w:p>
        </w:tc>
      </w:tr>
      <w:tr w14:paraId="0B4C6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794" w:type="dxa"/>
            <w:vAlign w:val="center"/>
          </w:tcPr>
          <w:p w14:paraId="7230F0DF">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15</w:t>
            </w:r>
          </w:p>
        </w:tc>
        <w:tc>
          <w:tcPr>
            <w:tcW w:w="1444" w:type="dxa"/>
            <w:vMerge w:val="continue"/>
            <w:vAlign w:val="center"/>
          </w:tcPr>
          <w:p w14:paraId="269EC31A">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15A410C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管道、阀门、分汽（水、油）缸存在振动</w:t>
            </w:r>
            <w:r>
              <w:rPr>
                <w:rFonts w:ascii="宋体" w:hAnsi="宋体" w:eastAsia="宋体" w:cs="Times New Roman"/>
                <w:b w:val="0"/>
                <w:sz w:val="24"/>
                <w:szCs w:val="22"/>
              </w:rPr>
              <w:t xml:space="preserve"> </w:t>
            </w:r>
            <w:r>
              <w:rPr>
                <w:rFonts w:hint="eastAsia" w:ascii="宋体" w:hAnsi="宋体" w:eastAsia="宋体" w:cs="Times New Roman"/>
                <w:b w:val="0"/>
                <w:sz w:val="24"/>
                <w:szCs w:val="22"/>
              </w:rPr>
              <w:t>、变形、泄漏</w:t>
            </w:r>
          </w:p>
        </w:tc>
        <w:tc>
          <w:tcPr>
            <w:tcW w:w="5250" w:type="dxa"/>
            <w:vAlign w:val="center"/>
          </w:tcPr>
          <w:p w14:paraId="5C46476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开展巡回检查，发现异常，按规定进行报告和处理</w:t>
            </w:r>
          </w:p>
        </w:tc>
        <w:tc>
          <w:tcPr>
            <w:tcW w:w="1260" w:type="dxa"/>
            <w:vAlign w:val="center"/>
          </w:tcPr>
          <w:p w14:paraId="26C1DF8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286" w:type="dxa"/>
            <w:vAlign w:val="center"/>
          </w:tcPr>
          <w:p w14:paraId="30A9D6E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4F372F57">
            <w:pPr>
              <w:spacing w:line="240" w:lineRule="auto"/>
              <w:ind w:left="0" w:leftChars="0" w:firstLine="0" w:firstLineChars="0"/>
              <w:jc w:val="both"/>
              <w:rPr>
                <w:rFonts w:ascii="宋体" w:hAnsi="宋体" w:eastAsia="宋体" w:cs="Times New Roman"/>
                <w:b w:val="0"/>
                <w:sz w:val="21"/>
                <w:szCs w:val="21"/>
              </w:rPr>
            </w:pPr>
          </w:p>
        </w:tc>
      </w:tr>
      <w:tr w14:paraId="7B246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794" w:type="dxa"/>
            <w:vAlign w:val="center"/>
          </w:tcPr>
          <w:p w14:paraId="55E935DA">
            <w:pPr>
              <w:spacing w:line="240" w:lineRule="exact"/>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16</w:t>
            </w:r>
          </w:p>
        </w:tc>
        <w:tc>
          <w:tcPr>
            <w:tcW w:w="1444" w:type="dxa"/>
            <w:vMerge w:val="continue"/>
            <w:vAlign w:val="center"/>
          </w:tcPr>
          <w:p w14:paraId="3419B952">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3501A73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未按规定进行维护保养和自行检查</w:t>
            </w:r>
          </w:p>
        </w:tc>
        <w:tc>
          <w:tcPr>
            <w:tcW w:w="5250" w:type="dxa"/>
            <w:vAlign w:val="center"/>
          </w:tcPr>
          <w:p w14:paraId="61AB2F2E">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按规定制定维护保养制度和定期自行检查制度，组织开展维护保养和定期自行检查并做好相应记录</w:t>
            </w:r>
          </w:p>
        </w:tc>
        <w:tc>
          <w:tcPr>
            <w:tcW w:w="1260" w:type="dxa"/>
            <w:vAlign w:val="center"/>
          </w:tcPr>
          <w:p w14:paraId="752DC0A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286" w:type="dxa"/>
            <w:vAlign w:val="center"/>
          </w:tcPr>
          <w:p w14:paraId="0051DDF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10355052">
            <w:pPr>
              <w:spacing w:line="240" w:lineRule="auto"/>
              <w:ind w:left="0" w:leftChars="0" w:firstLine="0" w:firstLineChars="0"/>
              <w:jc w:val="both"/>
              <w:rPr>
                <w:rFonts w:ascii="宋体" w:hAnsi="宋体" w:eastAsia="宋体" w:cs="Times New Roman"/>
                <w:b w:val="0"/>
                <w:sz w:val="21"/>
                <w:szCs w:val="21"/>
              </w:rPr>
            </w:pPr>
          </w:p>
        </w:tc>
      </w:tr>
      <w:tr w14:paraId="325BB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794" w:type="dxa"/>
            <w:vAlign w:val="center"/>
          </w:tcPr>
          <w:p w14:paraId="4B2D7201">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17</w:t>
            </w:r>
          </w:p>
        </w:tc>
        <w:tc>
          <w:tcPr>
            <w:tcW w:w="1444" w:type="dxa"/>
            <w:vMerge w:val="continue"/>
            <w:vAlign w:val="center"/>
          </w:tcPr>
          <w:p w14:paraId="21DE20A8">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24E9D1DD">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 xml:space="preserve">未按规定进行定期检验、监督检验 </w:t>
            </w:r>
          </w:p>
        </w:tc>
        <w:tc>
          <w:tcPr>
            <w:tcW w:w="5250" w:type="dxa"/>
            <w:vAlign w:val="center"/>
          </w:tcPr>
          <w:p w14:paraId="52CD12EA">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 制定定期检验、监督检验计划并组织实施，落实定期检验、监督检验的后续整改工作；</w:t>
            </w:r>
          </w:p>
          <w:p w14:paraId="21DAA7D0">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 成套装置中的锅炉和A级高压以上电站锅炉因检修原因不能按期进行内部检验时，督促落实相关监控措施。</w:t>
            </w:r>
          </w:p>
        </w:tc>
        <w:tc>
          <w:tcPr>
            <w:tcW w:w="1260" w:type="dxa"/>
            <w:vAlign w:val="center"/>
          </w:tcPr>
          <w:p w14:paraId="63BB8C9B">
            <w:pPr>
              <w:spacing w:line="240" w:lineRule="auto"/>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w:t>
            </w:r>
            <w:r>
              <w:rPr>
                <w:rFonts w:ascii="宋体" w:hAnsi="宋体" w:eastAsia="宋体" w:cs="Times New Roman"/>
                <w:b w:val="0"/>
                <w:sz w:val="24"/>
                <w:szCs w:val="24"/>
              </w:rPr>
              <w:t>调度</w:t>
            </w:r>
          </w:p>
        </w:tc>
        <w:tc>
          <w:tcPr>
            <w:tcW w:w="1286" w:type="dxa"/>
            <w:vAlign w:val="center"/>
          </w:tcPr>
          <w:p w14:paraId="4594DF53">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11" w:type="dxa"/>
          </w:tcPr>
          <w:p w14:paraId="0D6C1441">
            <w:pPr>
              <w:spacing w:line="240" w:lineRule="auto"/>
              <w:ind w:left="0" w:leftChars="0" w:firstLine="0" w:firstLineChars="0"/>
              <w:jc w:val="both"/>
              <w:rPr>
                <w:rFonts w:ascii="宋体" w:hAnsi="宋体" w:eastAsia="宋体" w:cs="Times New Roman"/>
                <w:b w:val="0"/>
                <w:sz w:val="21"/>
                <w:szCs w:val="21"/>
              </w:rPr>
            </w:pPr>
          </w:p>
        </w:tc>
      </w:tr>
      <w:tr w14:paraId="290A0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794" w:type="dxa"/>
            <w:vAlign w:val="center"/>
          </w:tcPr>
          <w:p w14:paraId="2947637B">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18</w:t>
            </w:r>
          </w:p>
        </w:tc>
        <w:tc>
          <w:tcPr>
            <w:tcW w:w="1444" w:type="dxa"/>
            <w:vMerge w:val="restart"/>
            <w:vAlign w:val="center"/>
          </w:tcPr>
          <w:p w14:paraId="23C9D9AF">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安全附件和安全保护装置</w:t>
            </w:r>
          </w:p>
        </w:tc>
        <w:tc>
          <w:tcPr>
            <w:tcW w:w="3180" w:type="dxa"/>
            <w:vAlign w:val="center"/>
          </w:tcPr>
          <w:p w14:paraId="29182715">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控制式安全阀控制系统未定期试验、安全阀未定期校验、安全阀未进行定期排放试验</w:t>
            </w:r>
          </w:p>
        </w:tc>
        <w:tc>
          <w:tcPr>
            <w:tcW w:w="5250" w:type="dxa"/>
            <w:vAlign w:val="center"/>
          </w:tcPr>
          <w:p w14:paraId="121AFC7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1.制定安全附件定期试验、校验、维护保养管理制度，并严格执行；</w:t>
            </w:r>
          </w:p>
          <w:p w14:paraId="094D18C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2.落实专人定期开展校验或试验。</w:t>
            </w:r>
          </w:p>
        </w:tc>
        <w:tc>
          <w:tcPr>
            <w:tcW w:w="1260" w:type="dxa"/>
            <w:vAlign w:val="center"/>
          </w:tcPr>
          <w:p w14:paraId="28DCF8B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69A04A4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1E4DFB62">
            <w:pPr>
              <w:spacing w:line="240" w:lineRule="auto"/>
              <w:ind w:left="0" w:leftChars="0" w:firstLine="0" w:firstLineChars="0"/>
              <w:jc w:val="both"/>
              <w:rPr>
                <w:rFonts w:ascii="宋体" w:hAnsi="宋体" w:eastAsia="宋体" w:cs="Times New Roman"/>
                <w:b w:val="0"/>
                <w:sz w:val="21"/>
                <w:szCs w:val="21"/>
              </w:rPr>
            </w:pPr>
          </w:p>
        </w:tc>
      </w:tr>
      <w:tr w14:paraId="32BB7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794" w:type="dxa"/>
            <w:vAlign w:val="center"/>
          </w:tcPr>
          <w:p w14:paraId="460CFE7D">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19</w:t>
            </w:r>
          </w:p>
        </w:tc>
        <w:tc>
          <w:tcPr>
            <w:tcW w:w="1444" w:type="dxa"/>
            <w:vMerge w:val="continue"/>
            <w:vAlign w:val="center"/>
          </w:tcPr>
          <w:p w14:paraId="163D3C59">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357D8AD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压力表未按规定进行检定或者校准</w:t>
            </w:r>
          </w:p>
        </w:tc>
        <w:tc>
          <w:tcPr>
            <w:tcW w:w="5250" w:type="dxa"/>
            <w:vAlign w:val="center"/>
          </w:tcPr>
          <w:p w14:paraId="5013891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1.制定安全附件定期试验、校验、维护保养管理制度，并严格执行；</w:t>
            </w:r>
          </w:p>
          <w:p w14:paraId="2C80D96A">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2.落实专人定期开展送检或检查。</w:t>
            </w:r>
          </w:p>
        </w:tc>
        <w:tc>
          <w:tcPr>
            <w:tcW w:w="1260" w:type="dxa"/>
            <w:vAlign w:val="center"/>
          </w:tcPr>
          <w:p w14:paraId="1FDACFC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527FDBD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790F341B">
            <w:pPr>
              <w:spacing w:line="240" w:lineRule="auto"/>
              <w:ind w:left="0" w:leftChars="0" w:firstLine="0" w:firstLineChars="0"/>
              <w:jc w:val="both"/>
              <w:rPr>
                <w:rFonts w:ascii="宋体" w:hAnsi="宋体" w:eastAsia="宋体" w:cs="Times New Roman"/>
                <w:b w:val="0"/>
                <w:sz w:val="24"/>
                <w:szCs w:val="22"/>
              </w:rPr>
            </w:pPr>
          </w:p>
        </w:tc>
      </w:tr>
      <w:tr w14:paraId="2FFAB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794" w:type="dxa"/>
            <w:vAlign w:val="center"/>
          </w:tcPr>
          <w:p w14:paraId="524E4992">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20</w:t>
            </w:r>
          </w:p>
        </w:tc>
        <w:tc>
          <w:tcPr>
            <w:tcW w:w="1444" w:type="dxa"/>
            <w:vMerge w:val="continue"/>
            <w:vAlign w:val="center"/>
          </w:tcPr>
          <w:p w14:paraId="071AAE52">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6028A36B">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同一系统内相同位置的各压力表示值存在误差</w:t>
            </w:r>
          </w:p>
        </w:tc>
        <w:tc>
          <w:tcPr>
            <w:tcW w:w="5250" w:type="dxa"/>
            <w:vAlign w:val="center"/>
          </w:tcPr>
          <w:p w14:paraId="688A074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开展巡回检查，发现异常，按规定进行报告和处理</w:t>
            </w:r>
          </w:p>
        </w:tc>
        <w:tc>
          <w:tcPr>
            <w:tcW w:w="1260" w:type="dxa"/>
            <w:vAlign w:val="center"/>
          </w:tcPr>
          <w:p w14:paraId="27BE1A9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286" w:type="dxa"/>
            <w:vAlign w:val="center"/>
          </w:tcPr>
          <w:p w14:paraId="666B331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1D586635">
            <w:pPr>
              <w:spacing w:line="240" w:lineRule="auto"/>
              <w:ind w:left="0" w:leftChars="0" w:firstLine="0" w:firstLineChars="0"/>
              <w:jc w:val="both"/>
              <w:rPr>
                <w:rFonts w:ascii="宋体" w:hAnsi="宋体" w:eastAsia="宋体" w:cs="Times New Roman"/>
                <w:b w:val="0"/>
                <w:sz w:val="24"/>
                <w:szCs w:val="22"/>
              </w:rPr>
            </w:pPr>
          </w:p>
        </w:tc>
      </w:tr>
      <w:tr w14:paraId="762A7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794" w:type="dxa"/>
            <w:vAlign w:val="center"/>
          </w:tcPr>
          <w:p w14:paraId="72317D0C">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21</w:t>
            </w:r>
          </w:p>
        </w:tc>
        <w:tc>
          <w:tcPr>
            <w:tcW w:w="1444" w:type="dxa"/>
            <w:vMerge w:val="continue"/>
            <w:vAlign w:val="center"/>
          </w:tcPr>
          <w:p w14:paraId="22586D13">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169C40D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水（液）位表的水（液）位显示不清晰</w:t>
            </w:r>
          </w:p>
        </w:tc>
        <w:tc>
          <w:tcPr>
            <w:tcW w:w="5250" w:type="dxa"/>
            <w:vMerge w:val="restart"/>
            <w:vAlign w:val="center"/>
          </w:tcPr>
          <w:p w14:paraId="3DCAE90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1.明确远程水位测量装置、只读式水位表检修、验收、维护保养、水位计冲洗等要求；</w:t>
            </w:r>
          </w:p>
          <w:p w14:paraId="2F674B9E">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2.定期对水位计进行维护保养、更换、冲洗、校对等。</w:t>
            </w:r>
          </w:p>
        </w:tc>
        <w:tc>
          <w:tcPr>
            <w:tcW w:w="1260" w:type="dxa"/>
            <w:vAlign w:val="center"/>
          </w:tcPr>
          <w:p w14:paraId="3D776C9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286" w:type="dxa"/>
            <w:vAlign w:val="center"/>
          </w:tcPr>
          <w:p w14:paraId="604A5FC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4A1D4084">
            <w:pPr>
              <w:spacing w:line="240" w:lineRule="auto"/>
              <w:ind w:left="0" w:leftChars="0" w:firstLine="0" w:firstLineChars="0"/>
              <w:jc w:val="both"/>
              <w:rPr>
                <w:rFonts w:ascii="宋体" w:hAnsi="宋体" w:eastAsia="宋体" w:cs="Times New Roman"/>
                <w:b w:val="0"/>
                <w:sz w:val="24"/>
                <w:szCs w:val="22"/>
              </w:rPr>
            </w:pPr>
          </w:p>
        </w:tc>
      </w:tr>
      <w:tr w14:paraId="41EDF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794" w:type="dxa"/>
            <w:vAlign w:val="center"/>
          </w:tcPr>
          <w:p w14:paraId="07A8509F">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22</w:t>
            </w:r>
          </w:p>
        </w:tc>
        <w:tc>
          <w:tcPr>
            <w:tcW w:w="1444" w:type="dxa"/>
            <w:vMerge w:val="continue"/>
            <w:vAlign w:val="center"/>
          </w:tcPr>
          <w:p w14:paraId="0F4859A2">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7D0C19F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远程水（液）位测量装置与就地水（液）位表未校对</w:t>
            </w:r>
          </w:p>
        </w:tc>
        <w:tc>
          <w:tcPr>
            <w:tcW w:w="5250" w:type="dxa"/>
            <w:vMerge w:val="continue"/>
            <w:vAlign w:val="center"/>
          </w:tcPr>
          <w:p w14:paraId="74F6588B">
            <w:pPr>
              <w:spacing w:line="240" w:lineRule="auto"/>
              <w:ind w:left="0" w:leftChars="0" w:firstLine="0" w:firstLineChars="0"/>
              <w:jc w:val="both"/>
              <w:rPr>
                <w:rFonts w:ascii="宋体" w:hAnsi="宋体" w:eastAsia="宋体" w:cs="Times New Roman"/>
                <w:b w:val="0"/>
                <w:sz w:val="24"/>
                <w:szCs w:val="22"/>
              </w:rPr>
            </w:pPr>
          </w:p>
        </w:tc>
        <w:tc>
          <w:tcPr>
            <w:tcW w:w="1260" w:type="dxa"/>
            <w:vAlign w:val="center"/>
          </w:tcPr>
          <w:p w14:paraId="539B3A63">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08202F4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772BBB7E">
            <w:pPr>
              <w:spacing w:line="240" w:lineRule="auto"/>
              <w:ind w:left="0" w:leftChars="0" w:firstLine="0" w:firstLineChars="0"/>
              <w:jc w:val="both"/>
              <w:rPr>
                <w:rFonts w:ascii="宋体" w:hAnsi="宋体" w:eastAsia="宋体" w:cs="Times New Roman"/>
                <w:b w:val="0"/>
                <w:sz w:val="24"/>
                <w:szCs w:val="22"/>
              </w:rPr>
            </w:pPr>
          </w:p>
        </w:tc>
      </w:tr>
      <w:tr w14:paraId="20703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794" w:type="dxa"/>
            <w:vAlign w:val="center"/>
          </w:tcPr>
          <w:p w14:paraId="221C89CA">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23</w:t>
            </w:r>
          </w:p>
        </w:tc>
        <w:tc>
          <w:tcPr>
            <w:tcW w:w="1444" w:type="dxa"/>
            <w:vMerge w:val="continue"/>
            <w:vAlign w:val="center"/>
          </w:tcPr>
          <w:p w14:paraId="0C9C566E">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060E45C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4"/>
              </w:rPr>
              <w:t>温度测量装置未按规定校验或者校准</w:t>
            </w:r>
          </w:p>
        </w:tc>
        <w:tc>
          <w:tcPr>
            <w:tcW w:w="5250" w:type="dxa"/>
            <w:vMerge w:val="restart"/>
            <w:vAlign w:val="center"/>
          </w:tcPr>
          <w:p w14:paraId="48371C8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落实专人定期开展送检或检查</w:t>
            </w:r>
          </w:p>
        </w:tc>
        <w:tc>
          <w:tcPr>
            <w:tcW w:w="1260" w:type="dxa"/>
            <w:vAlign w:val="center"/>
          </w:tcPr>
          <w:p w14:paraId="4E7B1B8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24EFEBF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5BAB7955">
            <w:pPr>
              <w:spacing w:line="240" w:lineRule="auto"/>
              <w:ind w:left="0" w:leftChars="0" w:firstLine="0" w:firstLineChars="0"/>
              <w:jc w:val="both"/>
              <w:rPr>
                <w:rFonts w:ascii="宋体" w:hAnsi="宋体" w:eastAsia="宋体" w:cs="Times New Roman"/>
                <w:b w:val="0"/>
                <w:sz w:val="24"/>
                <w:szCs w:val="22"/>
              </w:rPr>
            </w:pPr>
          </w:p>
        </w:tc>
      </w:tr>
      <w:tr w14:paraId="0619D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794" w:type="dxa"/>
            <w:vAlign w:val="center"/>
          </w:tcPr>
          <w:p w14:paraId="52484095">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24</w:t>
            </w:r>
          </w:p>
        </w:tc>
        <w:tc>
          <w:tcPr>
            <w:tcW w:w="1444" w:type="dxa"/>
            <w:vMerge w:val="continue"/>
            <w:vAlign w:val="center"/>
          </w:tcPr>
          <w:p w14:paraId="37367A6A">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22665D2E">
            <w:pPr>
              <w:spacing w:line="240" w:lineRule="auto"/>
              <w:ind w:left="0" w:leftChars="0" w:firstLine="0" w:firstLineChars="0"/>
              <w:jc w:val="both"/>
              <w:rPr>
                <w:rFonts w:ascii="宋体" w:hAnsi="宋体" w:eastAsia="宋体" w:cs="Times New Roman"/>
                <w:b w:val="0"/>
                <w:sz w:val="24"/>
                <w:szCs w:val="24"/>
              </w:rPr>
            </w:pPr>
            <w:r>
              <w:rPr>
                <w:rFonts w:hint="eastAsia" w:ascii="宋体" w:hAnsi="宋体" w:eastAsia="宋体" w:cs="Times New Roman"/>
                <w:b w:val="0"/>
                <w:sz w:val="24"/>
                <w:szCs w:val="24"/>
              </w:rPr>
              <w:t>温度测量装置示值误差不正常</w:t>
            </w:r>
          </w:p>
        </w:tc>
        <w:tc>
          <w:tcPr>
            <w:tcW w:w="5250" w:type="dxa"/>
            <w:vMerge w:val="continue"/>
            <w:vAlign w:val="center"/>
          </w:tcPr>
          <w:p w14:paraId="4E86E572">
            <w:pPr>
              <w:spacing w:line="240" w:lineRule="auto"/>
              <w:ind w:left="0" w:leftChars="0" w:firstLine="0" w:firstLineChars="0"/>
              <w:jc w:val="both"/>
              <w:rPr>
                <w:rFonts w:ascii="宋体" w:hAnsi="宋体" w:eastAsia="宋体" w:cs="Times New Roman"/>
                <w:b w:val="0"/>
                <w:sz w:val="24"/>
                <w:szCs w:val="22"/>
              </w:rPr>
            </w:pPr>
          </w:p>
        </w:tc>
        <w:tc>
          <w:tcPr>
            <w:tcW w:w="1260" w:type="dxa"/>
            <w:vAlign w:val="center"/>
          </w:tcPr>
          <w:p w14:paraId="794DAD6A">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286" w:type="dxa"/>
            <w:vAlign w:val="center"/>
          </w:tcPr>
          <w:p w14:paraId="1BF96A0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2870F4FB">
            <w:pPr>
              <w:spacing w:line="240" w:lineRule="auto"/>
              <w:ind w:left="0" w:leftChars="0" w:firstLine="0" w:firstLineChars="0"/>
              <w:jc w:val="both"/>
              <w:rPr>
                <w:rFonts w:ascii="宋体" w:hAnsi="宋体" w:eastAsia="宋体" w:cs="Times New Roman"/>
                <w:b w:val="0"/>
                <w:sz w:val="24"/>
                <w:szCs w:val="22"/>
              </w:rPr>
            </w:pPr>
          </w:p>
        </w:tc>
      </w:tr>
      <w:tr w14:paraId="29641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9" w:hRule="atLeast"/>
          <w:jc w:val="center"/>
        </w:trPr>
        <w:tc>
          <w:tcPr>
            <w:tcW w:w="794" w:type="dxa"/>
            <w:vAlign w:val="center"/>
          </w:tcPr>
          <w:p w14:paraId="7EB403EF">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25</w:t>
            </w:r>
          </w:p>
        </w:tc>
        <w:tc>
          <w:tcPr>
            <w:tcW w:w="1444" w:type="dxa"/>
            <w:vMerge w:val="continue"/>
            <w:vAlign w:val="center"/>
          </w:tcPr>
          <w:p w14:paraId="09914AFB">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29E83814">
            <w:pPr>
              <w:spacing w:line="240" w:lineRule="auto"/>
              <w:ind w:left="0" w:leftChars="0" w:firstLine="0" w:firstLineChars="0"/>
              <w:jc w:val="both"/>
              <w:rPr>
                <w:rFonts w:ascii="宋体" w:hAnsi="宋体" w:eastAsia="宋体" w:cs="Times New Roman"/>
                <w:b w:val="0"/>
                <w:sz w:val="24"/>
                <w:szCs w:val="24"/>
              </w:rPr>
            </w:pPr>
            <w:r>
              <w:rPr>
                <w:rFonts w:hint="eastAsia" w:ascii="宋体" w:hAnsi="宋体" w:eastAsia="宋体" w:cs="Times New Roman"/>
                <w:b w:val="0"/>
                <w:sz w:val="24"/>
                <w:szCs w:val="24"/>
              </w:rPr>
              <w:t>水位、压力、温度、点火程序控制、熄火保护等联锁保护装置的设置不符合要求</w:t>
            </w:r>
          </w:p>
        </w:tc>
        <w:tc>
          <w:tcPr>
            <w:tcW w:w="5250" w:type="dxa"/>
            <w:vAlign w:val="center"/>
          </w:tcPr>
          <w:p w14:paraId="252A5204">
            <w:pPr>
              <w:spacing w:line="240" w:lineRule="auto"/>
              <w:ind w:left="0" w:leftChars="0" w:firstLine="0" w:firstLineChars="0"/>
              <w:jc w:val="both"/>
              <w:rPr>
                <w:rFonts w:ascii="宋体" w:hAnsi="宋体" w:eastAsia="宋体" w:cs="Times New Roman"/>
                <w:b w:val="0"/>
                <w:sz w:val="24"/>
                <w:szCs w:val="24"/>
              </w:rPr>
            </w:pPr>
            <w:r>
              <w:rPr>
                <w:rFonts w:hint="eastAsia" w:ascii="宋体" w:hAnsi="宋体" w:eastAsia="宋体" w:cs="Times New Roman"/>
                <w:b w:val="0"/>
                <w:sz w:val="24"/>
                <w:szCs w:val="24"/>
              </w:rPr>
              <w:t>1.对安全保护装置进行调试、验收；</w:t>
            </w:r>
          </w:p>
          <w:p w14:paraId="22C2C7E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4"/>
              </w:rPr>
              <w:t>2、对安全保护装置定期进行维护保养和试验并作出记录。</w:t>
            </w:r>
          </w:p>
        </w:tc>
        <w:tc>
          <w:tcPr>
            <w:tcW w:w="1260" w:type="dxa"/>
            <w:vAlign w:val="center"/>
          </w:tcPr>
          <w:p w14:paraId="6D561AB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2495A66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7FFE827A">
            <w:pPr>
              <w:spacing w:line="240" w:lineRule="auto"/>
              <w:ind w:left="0" w:leftChars="0" w:firstLine="0" w:firstLineChars="0"/>
              <w:jc w:val="both"/>
              <w:rPr>
                <w:rFonts w:ascii="宋体" w:hAnsi="宋体" w:eastAsia="宋体" w:cs="Times New Roman"/>
                <w:b w:val="0"/>
                <w:sz w:val="24"/>
                <w:szCs w:val="22"/>
              </w:rPr>
            </w:pPr>
          </w:p>
        </w:tc>
      </w:tr>
      <w:tr w14:paraId="771B6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94" w:type="dxa"/>
            <w:vAlign w:val="center"/>
          </w:tcPr>
          <w:p w14:paraId="63BA1632">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Times New Roman"/>
                <w:b w:val="0"/>
                <w:kern w:val="0"/>
                <w:sz w:val="24"/>
                <w:szCs w:val="22"/>
              </w:rPr>
              <w:t>26</w:t>
            </w:r>
          </w:p>
        </w:tc>
        <w:tc>
          <w:tcPr>
            <w:tcW w:w="1444" w:type="dxa"/>
            <w:vAlign w:val="center"/>
          </w:tcPr>
          <w:p w14:paraId="1905DF58">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环境因素</w:t>
            </w:r>
          </w:p>
        </w:tc>
        <w:tc>
          <w:tcPr>
            <w:tcW w:w="3180" w:type="dxa"/>
            <w:vAlign w:val="center"/>
          </w:tcPr>
          <w:p w14:paraId="303ABCE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4"/>
              </w:rPr>
              <w:t>锅炉周围的安全通道、照明、防火、防雷、防风、防雨、防冻、防腐设施以及警示标志的设置不符合要求</w:t>
            </w:r>
          </w:p>
        </w:tc>
        <w:tc>
          <w:tcPr>
            <w:tcW w:w="5250" w:type="dxa"/>
            <w:vAlign w:val="center"/>
          </w:tcPr>
          <w:p w14:paraId="0D39E03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1.制定锅炉房安全管理制度，明确锅炉房管理的要求；</w:t>
            </w:r>
          </w:p>
          <w:p w14:paraId="19874D7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2.锅炉房维修、改造时应满足GB 50041《锅炉房设计标准》、GB 50016《建筑设计防火规范》等规定，并形成验收记录；</w:t>
            </w:r>
          </w:p>
          <w:p w14:paraId="30AE1E3D">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3.按规定设置警示标志，禁止非锅炉作业人员随意进入锅炉房。</w:t>
            </w:r>
          </w:p>
        </w:tc>
        <w:tc>
          <w:tcPr>
            <w:tcW w:w="1260" w:type="dxa"/>
            <w:vAlign w:val="center"/>
          </w:tcPr>
          <w:p w14:paraId="077D1CC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3F9EBE5A">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6EA42BA2">
            <w:pPr>
              <w:spacing w:line="240" w:lineRule="auto"/>
              <w:ind w:left="0" w:leftChars="0" w:firstLine="0" w:firstLineChars="0"/>
              <w:jc w:val="both"/>
              <w:rPr>
                <w:rFonts w:ascii="宋体" w:hAnsi="宋体" w:eastAsia="宋体" w:cs="Times New Roman"/>
                <w:b w:val="0"/>
                <w:sz w:val="21"/>
                <w:szCs w:val="21"/>
              </w:rPr>
            </w:pPr>
          </w:p>
        </w:tc>
      </w:tr>
      <w:tr w14:paraId="55791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94" w:type="dxa"/>
            <w:vAlign w:val="center"/>
          </w:tcPr>
          <w:p w14:paraId="1907EF49">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27</w:t>
            </w:r>
          </w:p>
        </w:tc>
        <w:tc>
          <w:tcPr>
            <w:tcW w:w="1444" w:type="dxa"/>
            <w:vMerge w:val="restart"/>
            <w:vAlign w:val="center"/>
          </w:tcPr>
          <w:p w14:paraId="39293357">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热水锅炉</w:t>
            </w:r>
          </w:p>
          <w:p w14:paraId="2AACE71F">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专项</w:t>
            </w:r>
          </w:p>
        </w:tc>
        <w:tc>
          <w:tcPr>
            <w:tcW w:w="3180" w:type="dxa"/>
            <w:vAlign w:val="center"/>
          </w:tcPr>
          <w:p w14:paraId="6CCDEC1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自动补给水装置不符合要求</w:t>
            </w:r>
          </w:p>
        </w:tc>
        <w:tc>
          <w:tcPr>
            <w:tcW w:w="5250" w:type="dxa"/>
            <w:vAlign w:val="center"/>
          </w:tcPr>
          <w:p w14:paraId="23EB064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按规定进行维护保养、检查和试验，发现异常，按规定进行报告和处理</w:t>
            </w:r>
          </w:p>
        </w:tc>
        <w:tc>
          <w:tcPr>
            <w:tcW w:w="1260" w:type="dxa"/>
            <w:vAlign w:val="center"/>
          </w:tcPr>
          <w:p w14:paraId="4D9E51CA">
            <w:pPr>
              <w:widowControl/>
              <w:spacing w:line="240" w:lineRule="auto"/>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sz w:val="24"/>
                <w:szCs w:val="24"/>
              </w:rPr>
              <w:t>周排查</w:t>
            </w:r>
          </w:p>
        </w:tc>
        <w:tc>
          <w:tcPr>
            <w:tcW w:w="1286" w:type="dxa"/>
            <w:vAlign w:val="center"/>
          </w:tcPr>
          <w:p w14:paraId="2D4AEBE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1C1DC6A5">
            <w:pPr>
              <w:spacing w:line="240" w:lineRule="auto"/>
              <w:ind w:left="0" w:leftChars="0" w:firstLine="0" w:firstLineChars="0"/>
              <w:jc w:val="both"/>
              <w:rPr>
                <w:rFonts w:ascii="宋体" w:hAnsi="宋体" w:eastAsia="宋体" w:cs="Times New Roman"/>
                <w:b w:val="0"/>
                <w:sz w:val="21"/>
                <w:szCs w:val="21"/>
              </w:rPr>
            </w:pPr>
          </w:p>
        </w:tc>
      </w:tr>
      <w:tr w14:paraId="687B2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794" w:type="dxa"/>
            <w:vAlign w:val="center"/>
          </w:tcPr>
          <w:p w14:paraId="464F59F5">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28</w:t>
            </w:r>
          </w:p>
        </w:tc>
        <w:tc>
          <w:tcPr>
            <w:tcW w:w="1444" w:type="dxa"/>
            <w:vMerge w:val="continue"/>
            <w:vAlign w:val="center"/>
          </w:tcPr>
          <w:p w14:paraId="451D9E53">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237E3D3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循环泵停泵联锁装置不符合要求</w:t>
            </w:r>
          </w:p>
        </w:tc>
        <w:tc>
          <w:tcPr>
            <w:tcW w:w="5250" w:type="dxa"/>
            <w:vAlign w:val="center"/>
          </w:tcPr>
          <w:p w14:paraId="35FEA0E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按规定进行维护保养、检查和试验，发现异常，按规定进行报告和处理</w:t>
            </w:r>
          </w:p>
        </w:tc>
        <w:tc>
          <w:tcPr>
            <w:tcW w:w="1260" w:type="dxa"/>
            <w:vAlign w:val="center"/>
          </w:tcPr>
          <w:p w14:paraId="30E40EDD">
            <w:pPr>
              <w:widowControl/>
              <w:spacing w:line="240" w:lineRule="auto"/>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sz w:val="24"/>
                <w:szCs w:val="24"/>
              </w:rPr>
              <w:t>日管控</w:t>
            </w:r>
          </w:p>
        </w:tc>
        <w:tc>
          <w:tcPr>
            <w:tcW w:w="1286" w:type="dxa"/>
            <w:vAlign w:val="center"/>
          </w:tcPr>
          <w:p w14:paraId="196EFD0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62AC1C53">
            <w:pPr>
              <w:spacing w:line="240" w:lineRule="auto"/>
              <w:ind w:left="0" w:leftChars="0" w:firstLine="0" w:firstLineChars="0"/>
              <w:jc w:val="both"/>
              <w:rPr>
                <w:rFonts w:ascii="宋体" w:hAnsi="宋体" w:eastAsia="宋体" w:cs="Times New Roman"/>
                <w:b w:val="0"/>
                <w:sz w:val="21"/>
                <w:szCs w:val="21"/>
              </w:rPr>
            </w:pPr>
          </w:p>
        </w:tc>
      </w:tr>
      <w:tr w14:paraId="0114D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794" w:type="dxa"/>
            <w:vAlign w:val="center"/>
          </w:tcPr>
          <w:p w14:paraId="1CC25ADA">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29</w:t>
            </w:r>
          </w:p>
        </w:tc>
        <w:tc>
          <w:tcPr>
            <w:tcW w:w="1444" w:type="dxa"/>
            <w:vMerge w:val="restart"/>
            <w:vAlign w:val="center"/>
          </w:tcPr>
          <w:p w14:paraId="01A9D7F7">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有机热载体锅炉专项</w:t>
            </w:r>
          </w:p>
        </w:tc>
        <w:tc>
          <w:tcPr>
            <w:tcW w:w="3180" w:type="dxa"/>
            <w:vAlign w:val="center"/>
          </w:tcPr>
          <w:p w14:paraId="7B93C3D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有机热载体未按规定进行检验或检验不符合要求</w:t>
            </w:r>
          </w:p>
        </w:tc>
        <w:tc>
          <w:tcPr>
            <w:tcW w:w="5250" w:type="dxa"/>
            <w:vAlign w:val="center"/>
          </w:tcPr>
          <w:p w14:paraId="702A31A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定期对有机热载体按规定取样检验</w:t>
            </w:r>
          </w:p>
        </w:tc>
        <w:tc>
          <w:tcPr>
            <w:tcW w:w="1260" w:type="dxa"/>
            <w:vAlign w:val="center"/>
          </w:tcPr>
          <w:p w14:paraId="05F611FB">
            <w:pPr>
              <w:widowControl/>
              <w:spacing w:line="240" w:lineRule="auto"/>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sz w:val="24"/>
                <w:szCs w:val="24"/>
              </w:rPr>
              <w:t>周排查</w:t>
            </w:r>
          </w:p>
        </w:tc>
        <w:tc>
          <w:tcPr>
            <w:tcW w:w="1286" w:type="dxa"/>
            <w:vAlign w:val="center"/>
          </w:tcPr>
          <w:p w14:paraId="7911F3C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284AFD42">
            <w:pPr>
              <w:spacing w:line="240" w:lineRule="auto"/>
              <w:ind w:left="0" w:leftChars="0" w:firstLine="0" w:firstLineChars="0"/>
              <w:jc w:val="both"/>
              <w:rPr>
                <w:rFonts w:ascii="宋体" w:hAnsi="宋体" w:eastAsia="宋体" w:cs="Times New Roman"/>
                <w:b w:val="0"/>
                <w:sz w:val="21"/>
                <w:szCs w:val="21"/>
              </w:rPr>
            </w:pPr>
          </w:p>
        </w:tc>
      </w:tr>
      <w:tr w14:paraId="4A4EF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794" w:type="dxa"/>
            <w:vAlign w:val="center"/>
          </w:tcPr>
          <w:p w14:paraId="4C2450B5">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30</w:t>
            </w:r>
          </w:p>
        </w:tc>
        <w:tc>
          <w:tcPr>
            <w:tcW w:w="1444" w:type="dxa"/>
            <w:vMerge w:val="continue"/>
            <w:vAlign w:val="center"/>
          </w:tcPr>
          <w:p w14:paraId="7219B3D5">
            <w:pPr>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1BAB12B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膨胀罐、闪蒸罐、冷凝液罐不符合要求</w:t>
            </w:r>
          </w:p>
        </w:tc>
        <w:tc>
          <w:tcPr>
            <w:tcW w:w="5250" w:type="dxa"/>
            <w:vAlign w:val="center"/>
          </w:tcPr>
          <w:p w14:paraId="4DD1955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按规定进行维护保养、检查和试验，发现异常，按规定进行报告和处理</w:t>
            </w:r>
          </w:p>
        </w:tc>
        <w:tc>
          <w:tcPr>
            <w:tcW w:w="1260" w:type="dxa"/>
            <w:vAlign w:val="center"/>
          </w:tcPr>
          <w:p w14:paraId="1345CE23">
            <w:pPr>
              <w:widowControl/>
              <w:spacing w:line="240" w:lineRule="auto"/>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sz w:val="24"/>
                <w:szCs w:val="24"/>
              </w:rPr>
              <w:t>日管控</w:t>
            </w:r>
          </w:p>
        </w:tc>
        <w:tc>
          <w:tcPr>
            <w:tcW w:w="1286" w:type="dxa"/>
            <w:vAlign w:val="center"/>
          </w:tcPr>
          <w:p w14:paraId="0D5FAB6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11" w:type="dxa"/>
          </w:tcPr>
          <w:p w14:paraId="23BEDD62">
            <w:pPr>
              <w:spacing w:line="240" w:lineRule="auto"/>
              <w:ind w:left="0" w:leftChars="0" w:firstLine="0" w:firstLineChars="0"/>
              <w:jc w:val="both"/>
              <w:rPr>
                <w:rFonts w:ascii="宋体" w:hAnsi="宋体" w:eastAsia="宋体" w:cs="Times New Roman"/>
                <w:b w:val="0"/>
                <w:sz w:val="21"/>
                <w:szCs w:val="21"/>
              </w:rPr>
            </w:pPr>
          </w:p>
        </w:tc>
      </w:tr>
      <w:tr w14:paraId="1B9CC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 w:type="dxa"/>
            <w:vAlign w:val="center"/>
          </w:tcPr>
          <w:p w14:paraId="642A1354">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31</w:t>
            </w:r>
          </w:p>
        </w:tc>
        <w:tc>
          <w:tcPr>
            <w:tcW w:w="1444" w:type="dxa"/>
            <w:vMerge w:val="restart"/>
            <w:vAlign w:val="center"/>
          </w:tcPr>
          <w:p w14:paraId="1B95015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sz w:val="24"/>
                <w:szCs w:val="22"/>
              </w:rPr>
              <w:t>D级锅炉专项</w:t>
            </w:r>
          </w:p>
        </w:tc>
        <w:tc>
          <w:tcPr>
            <w:tcW w:w="3180" w:type="dxa"/>
            <w:vAlign w:val="center"/>
          </w:tcPr>
          <w:p w14:paraId="6F92D72C">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未对作业人员进行培训</w:t>
            </w:r>
          </w:p>
        </w:tc>
        <w:tc>
          <w:tcPr>
            <w:tcW w:w="5250" w:type="dxa"/>
            <w:vAlign w:val="center"/>
          </w:tcPr>
          <w:p w14:paraId="0EE3AAEF">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定期对锅炉操作人员进行安全操作、安全管理和应急处置等进行培训</w:t>
            </w:r>
          </w:p>
        </w:tc>
        <w:tc>
          <w:tcPr>
            <w:tcW w:w="1260" w:type="dxa"/>
            <w:vAlign w:val="center"/>
          </w:tcPr>
          <w:p w14:paraId="555BA64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7AEF97C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3908D717">
            <w:pPr>
              <w:spacing w:line="240" w:lineRule="auto"/>
              <w:ind w:left="0" w:leftChars="0" w:firstLine="0" w:firstLineChars="0"/>
              <w:jc w:val="both"/>
              <w:rPr>
                <w:rFonts w:ascii="宋体" w:hAnsi="宋体" w:eastAsia="宋体" w:cs="Times New Roman"/>
                <w:b w:val="0"/>
                <w:sz w:val="21"/>
                <w:szCs w:val="21"/>
              </w:rPr>
            </w:pPr>
          </w:p>
        </w:tc>
      </w:tr>
      <w:tr w14:paraId="41D37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 w:type="dxa"/>
            <w:vAlign w:val="center"/>
          </w:tcPr>
          <w:p w14:paraId="7FAA0A07">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32</w:t>
            </w:r>
          </w:p>
        </w:tc>
        <w:tc>
          <w:tcPr>
            <w:tcW w:w="1444" w:type="dxa"/>
            <w:vMerge w:val="continue"/>
            <w:vAlign w:val="center"/>
          </w:tcPr>
          <w:p w14:paraId="7FC7074F">
            <w:pPr>
              <w:widowControl/>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2756BC64">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未开展定期自行检查，未对安全附件定期维护</w:t>
            </w:r>
          </w:p>
        </w:tc>
        <w:tc>
          <w:tcPr>
            <w:tcW w:w="5250" w:type="dxa"/>
            <w:vAlign w:val="center"/>
          </w:tcPr>
          <w:p w14:paraId="1D23A588">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按规定进行维护保养和定期自行检查</w:t>
            </w:r>
          </w:p>
        </w:tc>
        <w:tc>
          <w:tcPr>
            <w:tcW w:w="1260" w:type="dxa"/>
            <w:vAlign w:val="center"/>
          </w:tcPr>
          <w:p w14:paraId="3334B67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12B9F3F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56B51FD6">
            <w:pPr>
              <w:spacing w:line="240" w:lineRule="auto"/>
              <w:ind w:left="0" w:leftChars="0" w:firstLine="0" w:firstLineChars="0"/>
              <w:jc w:val="both"/>
              <w:rPr>
                <w:rFonts w:ascii="宋体" w:hAnsi="宋体" w:eastAsia="宋体" w:cs="Times New Roman"/>
                <w:b w:val="0"/>
                <w:sz w:val="21"/>
                <w:szCs w:val="21"/>
              </w:rPr>
            </w:pPr>
          </w:p>
        </w:tc>
      </w:tr>
      <w:tr w14:paraId="50701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 w:type="dxa"/>
            <w:vAlign w:val="center"/>
          </w:tcPr>
          <w:p w14:paraId="039D5620">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33</w:t>
            </w:r>
          </w:p>
        </w:tc>
        <w:tc>
          <w:tcPr>
            <w:tcW w:w="1444" w:type="dxa"/>
            <w:vMerge w:val="continue"/>
            <w:vAlign w:val="center"/>
          </w:tcPr>
          <w:p w14:paraId="0E8D4C6F">
            <w:pPr>
              <w:widowControl/>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05B337F8">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擅自对锅炉进行改造</w:t>
            </w:r>
          </w:p>
        </w:tc>
        <w:tc>
          <w:tcPr>
            <w:tcW w:w="5250" w:type="dxa"/>
            <w:vAlign w:val="center"/>
          </w:tcPr>
          <w:p w14:paraId="5CCEFC05">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发现擅自改造立即停止运行，做进一步处理</w:t>
            </w:r>
          </w:p>
        </w:tc>
        <w:tc>
          <w:tcPr>
            <w:tcW w:w="1260" w:type="dxa"/>
            <w:vAlign w:val="center"/>
          </w:tcPr>
          <w:p w14:paraId="71014FE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286" w:type="dxa"/>
            <w:vAlign w:val="center"/>
          </w:tcPr>
          <w:p w14:paraId="29A8C6B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11" w:type="dxa"/>
          </w:tcPr>
          <w:p w14:paraId="703A9AA4">
            <w:pPr>
              <w:spacing w:line="240" w:lineRule="auto"/>
              <w:ind w:left="0" w:leftChars="0" w:firstLine="0" w:firstLineChars="0"/>
              <w:jc w:val="both"/>
              <w:rPr>
                <w:rFonts w:ascii="宋体" w:hAnsi="宋体" w:eastAsia="宋体" w:cs="Times New Roman"/>
                <w:b w:val="0"/>
                <w:sz w:val="21"/>
                <w:szCs w:val="21"/>
              </w:rPr>
            </w:pPr>
          </w:p>
        </w:tc>
      </w:tr>
      <w:tr w14:paraId="7327D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794" w:type="dxa"/>
            <w:vAlign w:val="center"/>
          </w:tcPr>
          <w:p w14:paraId="7B6C9640">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34</w:t>
            </w:r>
          </w:p>
        </w:tc>
        <w:tc>
          <w:tcPr>
            <w:tcW w:w="1444" w:type="dxa"/>
            <w:vMerge w:val="continue"/>
            <w:vAlign w:val="center"/>
          </w:tcPr>
          <w:p w14:paraId="342476D1">
            <w:pPr>
              <w:widowControl/>
              <w:spacing w:line="240" w:lineRule="auto"/>
              <w:ind w:left="0" w:leftChars="0" w:firstLine="0" w:firstLineChars="0"/>
              <w:jc w:val="center"/>
              <w:rPr>
                <w:rFonts w:ascii="宋体" w:hAnsi="宋体" w:eastAsia="宋体" w:cs="Times New Roman"/>
                <w:b w:val="0"/>
                <w:sz w:val="24"/>
                <w:szCs w:val="22"/>
              </w:rPr>
            </w:pPr>
          </w:p>
        </w:tc>
        <w:tc>
          <w:tcPr>
            <w:tcW w:w="3180" w:type="dxa"/>
            <w:vAlign w:val="center"/>
          </w:tcPr>
          <w:p w14:paraId="22293B81">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超设计寿命使用</w:t>
            </w:r>
          </w:p>
        </w:tc>
        <w:tc>
          <w:tcPr>
            <w:tcW w:w="5250" w:type="dxa"/>
            <w:vAlign w:val="center"/>
          </w:tcPr>
          <w:p w14:paraId="014F7F6F">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使用年限不得超过8年</w:t>
            </w:r>
          </w:p>
        </w:tc>
        <w:tc>
          <w:tcPr>
            <w:tcW w:w="1260" w:type="dxa"/>
            <w:vAlign w:val="center"/>
          </w:tcPr>
          <w:p w14:paraId="13DA3EB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286" w:type="dxa"/>
            <w:vAlign w:val="center"/>
          </w:tcPr>
          <w:p w14:paraId="53EA7EF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11" w:type="dxa"/>
          </w:tcPr>
          <w:p w14:paraId="07F99A38">
            <w:pPr>
              <w:spacing w:line="240" w:lineRule="auto"/>
              <w:ind w:left="0" w:leftChars="0" w:firstLine="0" w:firstLineChars="0"/>
              <w:jc w:val="both"/>
              <w:rPr>
                <w:rFonts w:ascii="宋体" w:hAnsi="宋体" w:eastAsia="宋体" w:cs="Times New Roman"/>
                <w:b w:val="0"/>
                <w:sz w:val="21"/>
                <w:szCs w:val="21"/>
              </w:rPr>
            </w:pPr>
          </w:p>
        </w:tc>
      </w:tr>
      <w:tr w14:paraId="783BB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794" w:type="dxa"/>
            <w:vAlign w:val="center"/>
          </w:tcPr>
          <w:p w14:paraId="763B89BA">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35</w:t>
            </w:r>
          </w:p>
        </w:tc>
        <w:tc>
          <w:tcPr>
            <w:tcW w:w="1444" w:type="dxa"/>
            <w:vAlign w:val="center"/>
          </w:tcPr>
          <w:p w14:paraId="24D96793">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sz w:val="24"/>
                <w:szCs w:val="22"/>
              </w:rPr>
              <w:t>政府监督、通报、预警</w:t>
            </w:r>
          </w:p>
        </w:tc>
        <w:tc>
          <w:tcPr>
            <w:tcW w:w="3180" w:type="dxa"/>
            <w:vAlign w:val="center"/>
          </w:tcPr>
          <w:p w14:paraId="70628D3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250" w:type="dxa"/>
            <w:vAlign w:val="center"/>
          </w:tcPr>
          <w:p w14:paraId="1412093F">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w:t>
            </w:r>
            <w:r>
              <w:rPr>
                <w:rFonts w:hint="eastAsia" w:ascii="宋体" w:hAnsi="宋体" w:eastAsia="宋体" w:cs="Times New Roman"/>
                <w:b w:val="0"/>
                <w:sz w:val="24"/>
                <w:szCs w:val="22"/>
              </w:rPr>
              <w:t>。</w:t>
            </w:r>
          </w:p>
        </w:tc>
        <w:tc>
          <w:tcPr>
            <w:tcW w:w="1260" w:type="dxa"/>
            <w:vAlign w:val="center"/>
          </w:tcPr>
          <w:p w14:paraId="30F2E96B">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周排查</w:t>
            </w:r>
          </w:p>
        </w:tc>
        <w:tc>
          <w:tcPr>
            <w:tcW w:w="1286" w:type="dxa"/>
            <w:vAlign w:val="center"/>
          </w:tcPr>
          <w:p w14:paraId="1F731555">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安全总监</w:t>
            </w:r>
          </w:p>
        </w:tc>
        <w:tc>
          <w:tcPr>
            <w:tcW w:w="1011" w:type="dxa"/>
          </w:tcPr>
          <w:p w14:paraId="50D0D389">
            <w:pPr>
              <w:spacing w:line="240" w:lineRule="auto"/>
              <w:ind w:left="0" w:leftChars="0" w:firstLine="0" w:firstLineChars="0"/>
              <w:jc w:val="both"/>
              <w:rPr>
                <w:rFonts w:ascii="宋体" w:hAnsi="宋体" w:eastAsia="宋体" w:cs="Times New Roman"/>
                <w:b w:val="0"/>
                <w:sz w:val="21"/>
                <w:szCs w:val="21"/>
              </w:rPr>
            </w:pPr>
          </w:p>
        </w:tc>
      </w:tr>
      <w:tr w14:paraId="5A10F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794" w:type="dxa"/>
            <w:vAlign w:val="center"/>
          </w:tcPr>
          <w:p w14:paraId="221D6B17">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36</w:t>
            </w:r>
          </w:p>
        </w:tc>
        <w:tc>
          <w:tcPr>
            <w:tcW w:w="1444" w:type="dxa"/>
            <w:vAlign w:val="center"/>
          </w:tcPr>
          <w:p w14:paraId="5708A88A">
            <w:pPr>
              <w:widowControl/>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投诉举报</w:t>
            </w:r>
          </w:p>
        </w:tc>
        <w:tc>
          <w:tcPr>
            <w:tcW w:w="3180" w:type="dxa"/>
            <w:vAlign w:val="center"/>
          </w:tcPr>
          <w:p w14:paraId="78323A9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250" w:type="dxa"/>
            <w:vAlign w:val="center"/>
          </w:tcPr>
          <w:p w14:paraId="34009806">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记录，整改，消除安全隐患</w:t>
            </w:r>
            <w:r>
              <w:rPr>
                <w:rFonts w:hint="eastAsia" w:ascii="宋体" w:hAnsi="宋体" w:eastAsia="宋体" w:cs="Times New Roman"/>
                <w:b w:val="0"/>
                <w:sz w:val="24"/>
                <w:szCs w:val="22"/>
              </w:rPr>
              <w:t>。</w:t>
            </w:r>
          </w:p>
        </w:tc>
        <w:tc>
          <w:tcPr>
            <w:tcW w:w="1260" w:type="dxa"/>
            <w:vAlign w:val="center"/>
          </w:tcPr>
          <w:p w14:paraId="36FD6590">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日管控</w:t>
            </w:r>
          </w:p>
        </w:tc>
        <w:tc>
          <w:tcPr>
            <w:tcW w:w="1286" w:type="dxa"/>
            <w:vAlign w:val="center"/>
          </w:tcPr>
          <w:p w14:paraId="2B4D081F">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安全员</w:t>
            </w:r>
          </w:p>
        </w:tc>
        <w:tc>
          <w:tcPr>
            <w:tcW w:w="1011" w:type="dxa"/>
          </w:tcPr>
          <w:p w14:paraId="09CFD24B">
            <w:pPr>
              <w:spacing w:line="240" w:lineRule="auto"/>
              <w:ind w:left="0" w:leftChars="0" w:firstLine="0" w:firstLineChars="0"/>
              <w:jc w:val="both"/>
              <w:rPr>
                <w:rFonts w:ascii="宋体" w:hAnsi="宋体" w:eastAsia="宋体" w:cs="Times New Roman"/>
                <w:b w:val="0"/>
                <w:sz w:val="21"/>
                <w:szCs w:val="21"/>
              </w:rPr>
            </w:pPr>
          </w:p>
        </w:tc>
      </w:tr>
      <w:tr w14:paraId="459F1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794" w:type="dxa"/>
            <w:vAlign w:val="center"/>
          </w:tcPr>
          <w:p w14:paraId="1C3D8F81">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37</w:t>
            </w:r>
          </w:p>
        </w:tc>
        <w:tc>
          <w:tcPr>
            <w:tcW w:w="1444" w:type="dxa"/>
            <w:vAlign w:val="center"/>
          </w:tcPr>
          <w:p w14:paraId="6DB3F566">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舆情信息</w:t>
            </w:r>
          </w:p>
        </w:tc>
        <w:tc>
          <w:tcPr>
            <w:tcW w:w="3180" w:type="dxa"/>
            <w:vAlign w:val="center"/>
          </w:tcPr>
          <w:p w14:paraId="0E9FDFA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250" w:type="dxa"/>
            <w:vAlign w:val="center"/>
          </w:tcPr>
          <w:p w14:paraId="38A05A75">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w:t>
            </w:r>
          </w:p>
        </w:tc>
        <w:tc>
          <w:tcPr>
            <w:tcW w:w="1260" w:type="dxa"/>
            <w:vAlign w:val="center"/>
          </w:tcPr>
          <w:p w14:paraId="2BA62C35">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日管控</w:t>
            </w:r>
          </w:p>
        </w:tc>
        <w:tc>
          <w:tcPr>
            <w:tcW w:w="1286" w:type="dxa"/>
            <w:vAlign w:val="center"/>
          </w:tcPr>
          <w:p w14:paraId="0206A093">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安全员</w:t>
            </w:r>
          </w:p>
        </w:tc>
        <w:tc>
          <w:tcPr>
            <w:tcW w:w="1011" w:type="dxa"/>
          </w:tcPr>
          <w:p w14:paraId="0EAE4F18">
            <w:pPr>
              <w:spacing w:line="240" w:lineRule="auto"/>
              <w:ind w:left="0" w:leftChars="0" w:firstLine="0" w:firstLineChars="0"/>
              <w:jc w:val="both"/>
              <w:rPr>
                <w:rFonts w:ascii="宋体" w:hAnsi="宋体" w:eastAsia="宋体" w:cs="Times New Roman"/>
                <w:b w:val="0"/>
                <w:sz w:val="21"/>
                <w:szCs w:val="21"/>
              </w:rPr>
            </w:pPr>
          </w:p>
        </w:tc>
      </w:tr>
    </w:tbl>
    <w:p w14:paraId="6DFD6DC8">
      <w:pPr>
        <w:widowControl/>
        <w:spacing w:line="240" w:lineRule="auto"/>
        <w:ind w:left="0" w:leftChars="0" w:firstLine="482" w:firstLineChars="200"/>
        <w:jc w:val="both"/>
        <w:rPr>
          <w:rFonts w:ascii="宋体" w:hAnsi="宋体" w:eastAsia="宋体" w:cs="宋体"/>
          <w:b/>
          <w:sz w:val="24"/>
          <w:szCs w:val="24"/>
        </w:rPr>
      </w:pPr>
      <w:r>
        <w:rPr>
          <w:rFonts w:ascii="宋体" w:hAnsi="宋体" w:eastAsia="宋体" w:cs="宋体"/>
          <w:b/>
          <w:sz w:val="24"/>
          <w:szCs w:val="24"/>
        </w:rPr>
        <w:t>注</w:t>
      </w:r>
      <w:r>
        <w:rPr>
          <w:rFonts w:hint="eastAsia" w:ascii="宋体" w:hAnsi="宋体" w:eastAsia="宋体" w:cs="Times New Roman"/>
          <w:b/>
          <w:bCs/>
          <w:kern w:val="0"/>
          <w:sz w:val="24"/>
          <w:szCs w:val="22"/>
        </w:rPr>
        <w:t>：</w:t>
      </w:r>
      <w:r>
        <w:rPr>
          <w:rFonts w:ascii="宋体" w:hAnsi="宋体" w:eastAsia="宋体" w:cs="宋体"/>
          <w:b/>
          <w:sz w:val="24"/>
          <w:szCs w:val="24"/>
        </w:rPr>
        <w:t>本清单为推荐性格式，仅规定了应当进行日管控、周排查、月调度的基本项目，</w:t>
      </w:r>
      <w:r>
        <w:rPr>
          <w:rFonts w:hint="eastAsia" w:ascii="宋体" w:hAnsi="宋体" w:eastAsia="宋体" w:cs="宋体"/>
          <w:b/>
          <w:sz w:val="24"/>
          <w:szCs w:val="24"/>
        </w:rPr>
        <w:t>锅炉使用</w:t>
      </w:r>
      <w:r>
        <w:rPr>
          <w:rFonts w:ascii="宋体" w:hAnsi="宋体" w:eastAsia="宋体" w:cs="宋体"/>
          <w:b/>
          <w:sz w:val="24"/>
          <w:szCs w:val="24"/>
        </w:rPr>
        <w:t>单位应当结合本单位实际情况和具体要求，细化风险管控清单</w:t>
      </w:r>
      <w:r>
        <w:rPr>
          <w:rFonts w:hint="eastAsia" w:ascii="宋体" w:hAnsi="宋体" w:eastAsia="宋体" w:cs="宋体"/>
          <w:b/>
          <w:sz w:val="24"/>
          <w:szCs w:val="24"/>
        </w:rPr>
        <w:t>，</w:t>
      </w:r>
      <w:r>
        <w:rPr>
          <w:rFonts w:ascii="宋体" w:hAnsi="宋体" w:eastAsia="宋体" w:cs="宋体"/>
          <w:b/>
          <w:sz w:val="24"/>
          <w:szCs w:val="24"/>
        </w:rPr>
        <w:t>合理调整管控形式。</w:t>
      </w:r>
    </w:p>
    <w:p w14:paraId="31A6B98D">
      <w:pPr>
        <w:rPr>
          <w:rFonts w:hint="eastAsia" w:ascii="宋体" w:hAnsi="宋体" w:eastAsia="宋体" w:cs="宋体"/>
          <w:b/>
          <w:sz w:val="36"/>
          <w:szCs w:val="36"/>
        </w:rPr>
      </w:pPr>
      <w:r>
        <w:rPr>
          <w:rFonts w:hint="eastAsia" w:ascii="宋体" w:hAnsi="宋体" w:eastAsia="宋体" w:cs="宋体"/>
          <w:b/>
          <w:sz w:val="36"/>
          <w:szCs w:val="36"/>
        </w:rPr>
        <w:br w:type="page"/>
      </w:r>
    </w:p>
    <w:p w14:paraId="4685DEE3">
      <w:pPr>
        <w:spacing w:line="240" w:lineRule="auto"/>
        <w:ind w:left="0" w:leftChars="0" w:firstLine="0" w:firstLineChars="0"/>
        <w:jc w:val="center"/>
        <w:rPr>
          <w:rFonts w:ascii="仿宋_GB2312" w:hAnsi="Calibri" w:eastAsia="仿宋_GB2312" w:cs="Times New Roman"/>
          <w:b/>
          <w:sz w:val="44"/>
          <w:szCs w:val="44"/>
        </w:rPr>
      </w:pPr>
      <w:r>
        <w:rPr>
          <w:rFonts w:hint="eastAsia" w:ascii="宋体" w:hAnsi="宋体" w:eastAsia="宋体" w:cs="宋体"/>
          <w:b/>
          <w:sz w:val="36"/>
          <w:szCs w:val="36"/>
        </w:rPr>
        <w:t>压力容器安全风险管控清单</w:t>
      </w:r>
      <w:r>
        <w:rPr>
          <w:rFonts w:hint="eastAsia" w:ascii="Calibri" w:hAnsi="Calibri" w:eastAsia="宋体" w:cs="Times New Roman"/>
          <w:b/>
          <w:sz w:val="36"/>
          <w:szCs w:val="36"/>
          <w:lang w:eastAsia="zh-CN"/>
        </w:rPr>
        <w:t>（供参考）</w:t>
      </w:r>
    </w:p>
    <w:tbl>
      <w:tblPr>
        <w:tblStyle w:val="16"/>
        <w:tblW w:w="141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1"/>
        <w:gridCol w:w="1418"/>
        <w:gridCol w:w="3661"/>
        <w:gridCol w:w="4649"/>
        <w:gridCol w:w="1425"/>
        <w:gridCol w:w="1290"/>
        <w:gridCol w:w="934"/>
      </w:tblGrid>
      <w:tr w14:paraId="0EA67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791" w:type="dxa"/>
            <w:shd w:val="clear" w:color="auto" w:fill="BEBEBE"/>
            <w:vAlign w:val="center"/>
          </w:tcPr>
          <w:p w14:paraId="55DF83DA">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序号</w:t>
            </w:r>
          </w:p>
        </w:tc>
        <w:tc>
          <w:tcPr>
            <w:tcW w:w="1418" w:type="dxa"/>
            <w:shd w:val="clear" w:color="auto" w:fill="BEBEBE"/>
            <w:vAlign w:val="center"/>
          </w:tcPr>
          <w:p w14:paraId="76343BEE">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风险类别</w:t>
            </w:r>
          </w:p>
        </w:tc>
        <w:tc>
          <w:tcPr>
            <w:tcW w:w="3661" w:type="dxa"/>
            <w:shd w:val="clear" w:color="auto" w:fill="BEBEBE"/>
            <w:vAlign w:val="center"/>
          </w:tcPr>
          <w:p w14:paraId="38AD7C0D">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bCs/>
                <w:kern w:val="0"/>
                <w:sz w:val="28"/>
                <w:szCs w:val="28"/>
              </w:rPr>
              <w:t>风险指标</w:t>
            </w:r>
          </w:p>
        </w:tc>
        <w:tc>
          <w:tcPr>
            <w:tcW w:w="4649" w:type="dxa"/>
            <w:shd w:val="clear" w:color="auto" w:fill="BEBEBE"/>
            <w:vAlign w:val="center"/>
          </w:tcPr>
          <w:p w14:paraId="472D0071">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风险管控</w:t>
            </w:r>
            <w:r>
              <w:rPr>
                <w:rFonts w:ascii="宋体" w:hAnsi="宋体" w:eastAsia="宋体" w:cs="Times New Roman"/>
                <w:b/>
                <w:sz w:val="28"/>
                <w:szCs w:val="28"/>
              </w:rPr>
              <w:t>措施</w:t>
            </w:r>
          </w:p>
        </w:tc>
        <w:tc>
          <w:tcPr>
            <w:tcW w:w="1425" w:type="dxa"/>
            <w:shd w:val="clear" w:color="auto" w:fill="BEBEBE"/>
            <w:vAlign w:val="center"/>
          </w:tcPr>
          <w:p w14:paraId="212FB652">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管控形式</w:t>
            </w:r>
          </w:p>
        </w:tc>
        <w:tc>
          <w:tcPr>
            <w:tcW w:w="1290" w:type="dxa"/>
            <w:shd w:val="clear" w:color="auto" w:fill="BEBEBE"/>
            <w:vAlign w:val="center"/>
          </w:tcPr>
          <w:p w14:paraId="38D2D779">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责任人</w:t>
            </w:r>
          </w:p>
        </w:tc>
        <w:tc>
          <w:tcPr>
            <w:tcW w:w="934" w:type="dxa"/>
            <w:shd w:val="clear" w:color="auto" w:fill="BEBEBE"/>
            <w:vAlign w:val="center"/>
          </w:tcPr>
          <w:p w14:paraId="797F7DAD">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备注</w:t>
            </w:r>
          </w:p>
        </w:tc>
      </w:tr>
      <w:tr w14:paraId="12593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1E3C56A2">
            <w:pPr>
              <w:widowControl/>
              <w:spacing w:line="320" w:lineRule="exact"/>
              <w:ind w:left="0" w:leftChars="0" w:firstLine="240" w:firstLineChars="100"/>
              <w:jc w:val="both"/>
              <w:rPr>
                <w:rFonts w:ascii="宋体" w:hAnsi="宋体" w:eastAsia="宋体" w:cs="Times New Roman"/>
                <w:b w:val="0"/>
                <w:kern w:val="0"/>
                <w:sz w:val="24"/>
                <w:szCs w:val="24"/>
              </w:rPr>
            </w:pPr>
            <w:r>
              <w:rPr>
                <w:rFonts w:ascii="宋体" w:hAnsi="宋体" w:eastAsia="宋体" w:cs="Times New Roman"/>
                <w:b w:val="0"/>
                <w:kern w:val="0"/>
                <w:sz w:val="24"/>
                <w:szCs w:val="24"/>
              </w:rPr>
              <w:t>1</w:t>
            </w:r>
          </w:p>
        </w:tc>
        <w:tc>
          <w:tcPr>
            <w:tcW w:w="1418" w:type="dxa"/>
            <w:vMerge w:val="restart"/>
            <w:vAlign w:val="center"/>
          </w:tcPr>
          <w:p w14:paraId="7D7F1818">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人员</w:t>
            </w:r>
          </w:p>
        </w:tc>
        <w:tc>
          <w:tcPr>
            <w:tcW w:w="3661" w:type="dxa"/>
            <w:vAlign w:val="center"/>
          </w:tcPr>
          <w:p w14:paraId="3562C29D">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未按规定配置安全管理人员、作业人员</w:t>
            </w:r>
          </w:p>
        </w:tc>
        <w:tc>
          <w:tcPr>
            <w:tcW w:w="4649" w:type="dxa"/>
            <w:vAlign w:val="center"/>
          </w:tcPr>
          <w:p w14:paraId="45C8B02A">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1、建立特种设备安全管理人员与作业人员管理制度；</w:t>
            </w:r>
          </w:p>
          <w:p w14:paraId="15F20BBC">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2、定期检查作业人员证件；</w:t>
            </w:r>
          </w:p>
          <w:p w14:paraId="4D56BC90">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3、现场检查作业人员持证情况</w:t>
            </w:r>
          </w:p>
        </w:tc>
        <w:tc>
          <w:tcPr>
            <w:tcW w:w="1425" w:type="dxa"/>
            <w:vAlign w:val="center"/>
          </w:tcPr>
          <w:p w14:paraId="2C49AC81">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vAlign w:val="center"/>
          </w:tcPr>
          <w:p w14:paraId="7DEC58EF">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451714FF">
            <w:pPr>
              <w:spacing w:line="320" w:lineRule="exact"/>
              <w:ind w:left="0" w:leftChars="0" w:firstLine="0" w:firstLineChars="0"/>
              <w:jc w:val="left"/>
              <w:rPr>
                <w:rFonts w:ascii="微软雅黑" w:hAnsi="微软雅黑" w:eastAsia="微软雅黑" w:cs="Times New Roman"/>
                <w:b w:val="0"/>
                <w:sz w:val="18"/>
                <w:szCs w:val="18"/>
              </w:rPr>
            </w:pPr>
          </w:p>
        </w:tc>
      </w:tr>
      <w:tr w14:paraId="6F38F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11457CED">
            <w:pPr>
              <w:widowControl/>
              <w:spacing w:line="320" w:lineRule="exact"/>
              <w:ind w:left="0" w:leftChars="0" w:firstLine="240" w:firstLineChars="100"/>
              <w:jc w:val="both"/>
              <w:rPr>
                <w:rFonts w:ascii="宋体" w:hAnsi="宋体" w:eastAsia="宋体" w:cs="Times New Roman"/>
                <w:b w:val="0"/>
                <w:kern w:val="0"/>
                <w:sz w:val="24"/>
                <w:szCs w:val="24"/>
              </w:rPr>
            </w:pPr>
            <w:r>
              <w:rPr>
                <w:rFonts w:ascii="宋体" w:hAnsi="宋体" w:eastAsia="宋体" w:cs="Times New Roman"/>
                <w:b w:val="0"/>
                <w:kern w:val="0"/>
                <w:sz w:val="24"/>
                <w:szCs w:val="24"/>
              </w:rPr>
              <w:t>2</w:t>
            </w:r>
          </w:p>
        </w:tc>
        <w:tc>
          <w:tcPr>
            <w:tcW w:w="1418" w:type="dxa"/>
            <w:vMerge w:val="continue"/>
            <w:vAlign w:val="center"/>
          </w:tcPr>
          <w:p w14:paraId="4868B64C">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6ECEC938">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未按规定定期开展安全培训，培训未覆盖相关人员</w:t>
            </w:r>
          </w:p>
        </w:tc>
        <w:tc>
          <w:tcPr>
            <w:tcW w:w="4649" w:type="dxa"/>
            <w:vAlign w:val="center"/>
          </w:tcPr>
          <w:p w14:paraId="2AD57611">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1、建立人员安全培训制度；</w:t>
            </w:r>
          </w:p>
          <w:p w14:paraId="5319B9B8">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2、定期对相关人员进行培训教育</w:t>
            </w:r>
            <w:r>
              <w:rPr>
                <w:rFonts w:hint="eastAsia" w:ascii="宋体" w:hAnsi="宋体" w:eastAsia="宋体" w:cs="Times New Roman"/>
                <w:b w:val="0"/>
                <w:kern w:val="0"/>
                <w:sz w:val="24"/>
                <w:szCs w:val="24"/>
              </w:rPr>
              <w:t>和考核</w:t>
            </w:r>
          </w:p>
        </w:tc>
        <w:tc>
          <w:tcPr>
            <w:tcW w:w="1425" w:type="dxa"/>
            <w:vAlign w:val="center"/>
          </w:tcPr>
          <w:p w14:paraId="075126E9">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周排查</w:t>
            </w:r>
          </w:p>
        </w:tc>
        <w:tc>
          <w:tcPr>
            <w:tcW w:w="1290" w:type="dxa"/>
            <w:vAlign w:val="center"/>
          </w:tcPr>
          <w:p w14:paraId="72E21872">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安全总监</w:t>
            </w:r>
          </w:p>
        </w:tc>
        <w:tc>
          <w:tcPr>
            <w:tcW w:w="934" w:type="dxa"/>
            <w:vAlign w:val="center"/>
          </w:tcPr>
          <w:p w14:paraId="0C18FA7E">
            <w:pPr>
              <w:spacing w:line="320" w:lineRule="exact"/>
              <w:ind w:left="0" w:leftChars="0" w:firstLine="0" w:firstLineChars="0"/>
              <w:jc w:val="left"/>
              <w:rPr>
                <w:rFonts w:ascii="微软雅黑" w:hAnsi="微软雅黑" w:eastAsia="微软雅黑" w:cs="Times New Roman"/>
                <w:b w:val="0"/>
                <w:sz w:val="18"/>
                <w:szCs w:val="18"/>
              </w:rPr>
            </w:pPr>
          </w:p>
        </w:tc>
      </w:tr>
      <w:tr w14:paraId="78EA2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exact"/>
          <w:jc w:val="center"/>
        </w:trPr>
        <w:tc>
          <w:tcPr>
            <w:tcW w:w="791" w:type="dxa"/>
            <w:vAlign w:val="center"/>
          </w:tcPr>
          <w:p w14:paraId="78658B6A">
            <w:pPr>
              <w:widowControl/>
              <w:spacing w:line="320" w:lineRule="exact"/>
              <w:ind w:left="0" w:leftChars="0" w:firstLine="240" w:firstLineChars="100"/>
              <w:jc w:val="both"/>
              <w:rPr>
                <w:rFonts w:ascii="宋体" w:hAnsi="宋体" w:eastAsia="宋体" w:cs="Times New Roman"/>
                <w:b w:val="0"/>
                <w:kern w:val="0"/>
                <w:sz w:val="24"/>
                <w:szCs w:val="24"/>
              </w:rPr>
            </w:pPr>
            <w:r>
              <w:rPr>
                <w:rFonts w:hint="eastAsia" w:ascii="宋体" w:hAnsi="宋体" w:eastAsia="宋体" w:cs="Times New Roman"/>
                <w:b w:val="0"/>
                <w:kern w:val="0"/>
                <w:sz w:val="24"/>
                <w:szCs w:val="24"/>
              </w:rPr>
              <w:t>3</w:t>
            </w:r>
          </w:p>
        </w:tc>
        <w:tc>
          <w:tcPr>
            <w:tcW w:w="1418" w:type="dxa"/>
            <w:vMerge w:val="continue"/>
            <w:vAlign w:val="center"/>
          </w:tcPr>
          <w:p w14:paraId="244B2B0C">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10B810E8">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未按规定配备安全总监、安全员、作业人员</w:t>
            </w:r>
          </w:p>
        </w:tc>
        <w:tc>
          <w:tcPr>
            <w:tcW w:w="4649" w:type="dxa"/>
            <w:vAlign w:val="center"/>
          </w:tcPr>
          <w:p w14:paraId="1E8B50E3">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按规定配备相关人员</w:t>
            </w:r>
          </w:p>
        </w:tc>
        <w:tc>
          <w:tcPr>
            <w:tcW w:w="1425" w:type="dxa"/>
            <w:vMerge w:val="restart"/>
            <w:vAlign w:val="center"/>
          </w:tcPr>
          <w:p w14:paraId="37A6211A">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月调度</w:t>
            </w:r>
          </w:p>
        </w:tc>
        <w:tc>
          <w:tcPr>
            <w:tcW w:w="1290" w:type="dxa"/>
            <w:vMerge w:val="restart"/>
            <w:vAlign w:val="center"/>
          </w:tcPr>
          <w:p w14:paraId="27AFFFC9">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主要负责人</w:t>
            </w:r>
          </w:p>
        </w:tc>
        <w:tc>
          <w:tcPr>
            <w:tcW w:w="934" w:type="dxa"/>
            <w:vAlign w:val="center"/>
          </w:tcPr>
          <w:p w14:paraId="4AA31E79">
            <w:pPr>
              <w:spacing w:line="320" w:lineRule="exact"/>
              <w:ind w:left="0" w:leftChars="0" w:firstLine="0" w:firstLineChars="0"/>
              <w:jc w:val="left"/>
              <w:rPr>
                <w:rFonts w:ascii="微软雅黑" w:hAnsi="微软雅黑" w:eastAsia="微软雅黑" w:cs="Times New Roman"/>
                <w:b w:val="0"/>
                <w:sz w:val="18"/>
                <w:szCs w:val="18"/>
              </w:rPr>
            </w:pPr>
          </w:p>
        </w:tc>
      </w:tr>
      <w:tr w14:paraId="34904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372A6FAE">
            <w:pPr>
              <w:widowControl/>
              <w:spacing w:line="320" w:lineRule="exact"/>
              <w:ind w:left="0" w:leftChars="0" w:firstLine="240" w:firstLineChars="100"/>
              <w:jc w:val="both"/>
              <w:rPr>
                <w:rFonts w:ascii="宋体" w:hAnsi="宋体" w:eastAsia="宋体" w:cs="Times New Roman"/>
                <w:b w:val="0"/>
                <w:kern w:val="0"/>
                <w:sz w:val="24"/>
                <w:szCs w:val="24"/>
              </w:rPr>
            </w:pPr>
            <w:r>
              <w:rPr>
                <w:rFonts w:hint="eastAsia" w:ascii="宋体" w:hAnsi="宋体" w:eastAsia="宋体" w:cs="Times New Roman"/>
                <w:b w:val="0"/>
                <w:kern w:val="0"/>
                <w:sz w:val="24"/>
                <w:szCs w:val="24"/>
              </w:rPr>
              <w:t>4</w:t>
            </w:r>
          </w:p>
        </w:tc>
        <w:tc>
          <w:tcPr>
            <w:tcW w:w="1418" w:type="dxa"/>
            <w:vMerge w:val="continue"/>
            <w:vAlign w:val="center"/>
          </w:tcPr>
          <w:p w14:paraId="27DB9900">
            <w:pPr>
              <w:widowControl/>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5F6821B7">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使用单位压力容器安全总监、安全员安全管理能力不足</w:t>
            </w:r>
          </w:p>
        </w:tc>
        <w:tc>
          <w:tcPr>
            <w:tcW w:w="4649" w:type="dxa"/>
            <w:vAlign w:val="center"/>
          </w:tcPr>
          <w:p w14:paraId="25CA830E">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1、定期组织宣贯压力容器有关法律法规、安全技术规范及相关标准培训；</w:t>
            </w:r>
            <w:r>
              <w:rPr>
                <w:rFonts w:ascii="宋体" w:hAnsi="宋体" w:eastAsia="宋体" w:cs="宋体"/>
                <w:b w:val="0"/>
                <w:sz w:val="24"/>
                <w:szCs w:val="24"/>
              </w:rPr>
              <w:br w:type="textWrapping"/>
            </w:r>
            <w:r>
              <w:rPr>
                <w:rFonts w:hint="eastAsia" w:ascii="宋体" w:hAnsi="宋体" w:eastAsia="宋体" w:cs="宋体"/>
                <w:b w:val="0"/>
                <w:sz w:val="24"/>
                <w:szCs w:val="24"/>
              </w:rPr>
              <w:t>2、加强人员能力考核</w:t>
            </w:r>
            <w:r>
              <w:rPr>
                <w:rFonts w:hint="eastAsia" w:ascii="宋体" w:hAnsi="宋体" w:eastAsia="宋体" w:cs="Times New Roman"/>
                <w:b w:val="0"/>
                <w:kern w:val="0"/>
                <w:sz w:val="24"/>
                <w:szCs w:val="24"/>
              </w:rPr>
              <w:t>和建立人员激励约束机制</w:t>
            </w:r>
          </w:p>
        </w:tc>
        <w:tc>
          <w:tcPr>
            <w:tcW w:w="1425" w:type="dxa"/>
            <w:vMerge w:val="continue"/>
            <w:vAlign w:val="center"/>
          </w:tcPr>
          <w:p w14:paraId="297D3950">
            <w:pPr>
              <w:spacing w:line="320" w:lineRule="exact"/>
              <w:ind w:left="0" w:leftChars="0" w:firstLine="0" w:firstLineChars="0"/>
              <w:jc w:val="center"/>
              <w:rPr>
                <w:rFonts w:ascii="宋体" w:hAnsi="宋体" w:eastAsia="宋体" w:cs="Times New Roman"/>
                <w:b w:val="0"/>
                <w:sz w:val="24"/>
                <w:szCs w:val="24"/>
              </w:rPr>
            </w:pPr>
          </w:p>
        </w:tc>
        <w:tc>
          <w:tcPr>
            <w:tcW w:w="1290" w:type="dxa"/>
            <w:vMerge w:val="continue"/>
            <w:vAlign w:val="center"/>
          </w:tcPr>
          <w:p w14:paraId="4162E2C0">
            <w:pPr>
              <w:spacing w:line="320" w:lineRule="exact"/>
              <w:ind w:left="0" w:leftChars="0" w:firstLine="0" w:firstLineChars="0"/>
              <w:jc w:val="center"/>
              <w:rPr>
                <w:rFonts w:ascii="宋体" w:hAnsi="宋体" w:eastAsia="宋体" w:cs="Times New Roman"/>
                <w:b w:val="0"/>
                <w:sz w:val="24"/>
                <w:szCs w:val="24"/>
              </w:rPr>
            </w:pPr>
          </w:p>
        </w:tc>
        <w:tc>
          <w:tcPr>
            <w:tcW w:w="934" w:type="dxa"/>
            <w:vAlign w:val="center"/>
          </w:tcPr>
          <w:p w14:paraId="4B55465F">
            <w:pPr>
              <w:spacing w:line="320" w:lineRule="exact"/>
              <w:ind w:left="0" w:leftChars="0" w:firstLine="0" w:firstLineChars="0"/>
              <w:jc w:val="left"/>
              <w:rPr>
                <w:rFonts w:ascii="微软雅黑" w:hAnsi="微软雅黑" w:eastAsia="微软雅黑" w:cs="Times New Roman"/>
                <w:b w:val="0"/>
                <w:sz w:val="18"/>
                <w:szCs w:val="18"/>
              </w:rPr>
            </w:pPr>
          </w:p>
        </w:tc>
      </w:tr>
      <w:tr w14:paraId="4742E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exact"/>
          <w:jc w:val="center"/>
        </w:trPr>
        <w:tc>
          <w:tcPr>
            <w:tcW w:w="791" w:type="dxa"/>
            <w:vAlign w:val="center"/>
          </w:tcPr>
          <w:p w14:paraId="4D300868">
            <w:pPr>
              <w:widowControl/>
              <w:spacing w:line="320" w:lineRule="exact"/>
              <w:ind w:left="0" w:leftChars="0" w:firstLine="240" w:firstLineChars="100"/>
              <w:jc w:val="both"/>
              <w:rPr>
                <w:rFonts w:ascii="宋体" w:hAnsi="宋体" w:eastAsia="宋体" w:cs="Times New Roman"/>
                <w:b w:val="0"/>
                <w:color w:val="FF0000"/>
                <w:kern w:val="0"/>
                <w:sz w:val="24"/>
                <w:szCs w:val="24"/>
              </w:rPr>
            </w:pPr>
            <w:r>
              <w:rPr>
                <w:rFonts w:hint="eastAsia" w:ascii="宋体" w:hAnsi="宋体" w:eastAsia="宋体" w:cs="Times New Roman"/>
                <w:b w:val="0"/>
                <w:color w:val="000000"/>
                <w:kern w:val="0"/>
                <w:sz w:val="24"/>
                <w:szCs w:val="24"/>
              </w:rPr>
              <w:t>5</w:t>
            </w:r>
          </w:p>
        </w:tc>
        <w:tc>
          <w:tcPr>
            <w:tcW w:w="1418" w:type="dxa"/>
            <w:vMerge w:val="restart"/>
            <w:vAlign w:val="center"/>
          </w:tcPr>
          <w:p w14:paraId="5B3FF457">
            <w:pPr>
              <w:spacing w:line="320" w:lineRule="exact"/>
              <w:ind w:left="0" w:leftChars="0" w:firstLine="0" w:firstLineChars="0"/>
              <w:jc w:val="center"/>
              <w:rPr>
                <w:rFonts w:ascii="宋体" w:hAnsi="宋体" w:eastAsia="宋体" w:cs="Times New Roman"/>
                <w:b w:val="0"/>
                <w:color w:val="000000"/>
                <w:kern w:val="0"/>
                <w:sz w:val="24"/>
                <w:szCs w:val="24"/>
              </w:rPr>
            </w:pPr>
            <w:r>
              <w:rPr>
                <w:rFonts w:hint="eastAsia" w:ascii="宋体" w:hAnsi="宋体" w:eastAsia="宋体" w:cs="Times New Roman"/>
                <w:b w:val="0"/>
                <w:color w:val="000000"/>
                <w:kern w:val="0"/>
                <w:sz w:val="24"/>
                <w:szCs w:val="24"/>
              </w:rPr>
              <w:t>管理</w:t>
            </w:r>
          </w:p>
        </w:tc>
        <w:tc>
          <w:tcPr>
            <w:tcW w:w="3661" w:type="dxa"/>
            <w:vAlign w:val="center"/>
          </w:tcPr>
          <w:p w14:paraId="64A5D976">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未按规定办理使用登记和按时申报检验</w:t>
            </w:r>
          </w:p>
        </w:tc>
        <w:tc>
          <w:tcPr>
            <w:tcW w:w="4649" w:type="dxa"/>
            <w:vAlign w:val="center"/>
          </w:tcPr>
          <w:p w14:paraId="0C33480D">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建立并严格执行使用登记、定期检验管理制度</w:t>
            </w:r>
          </w:p>
        </w:tc>
        <w:tc>
          <w:tcPr>
            <w:tcW w:w="1425" w:type="dxa"/>
            <w:vMerge w:val="restart"/>
            <w:vAlign w:val="center"/>
          </w:tcPr>
          <w:p w14:paraId="418663C8">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周排查</w:t>
            </w:r>
          </w:p>
        </w:tc>
        <w:tc>
          <w:tcPr>
            <w:tcW w:w="1290" w:type="dxa"/>
            <w:vMerge w:val="restart"/>
            <w:vAlign w:val="center"/>
          </w:tcPr>
          <w:p w14:paraId="1DF2F5C5">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安全总监</w:t>
            </w:r>
          </w:p>
        </w:tc>
        <w:tc>
          <w:tcPr>
            <w:tcW w:w="934" w:type="dxa"/>
            <w:vAlign w:val="center"/>
          </w:tcPr>
          <w:p w14:paraId="31208499">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7E0A5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71609B1">
            <w:pPr>
              <w:widowControl/>
              <w:spacing w:line="320" w:lineRule="exact"/>
              <w:ind w:left="0" w:leftChars="0" w:firstLine="240" w:firstLineChars="100"/>
              <w:jc w:val="both"/>
              <w:rPr>
                <w:rFonts w:ascii="宋体" w:hAnsi="宋体" w:eastAsia="宋体" w:cs="Times New Roman"/>
                <w:b w:val="0"/>
                <w:color w:val="000000"/>
                <w:kern w:val="0"/>
                <w:sz w:val="24"/>
                <w:szCs w:val="24"/>
              </w:rPr>
            </w:pPr>
            <w:r>
              <w:rPr>
                <w:rFonts w:hint="eastAsia" w:ascii="宋体" w:hAnsi="宋体" w:eastAsia="宋体" w:cs="Times New Roman"/>
                <w:b w:val="0"/>
                <w:color w:val="000000"/>
                <w:kern w:val="0"/>
                <w:sz w:val="24"/>
                <w:szCs w:val="24"/>
              </w:rPr>
              <w:t>6</w:t>
            </w:r>
          </w:p>
        </w:tc>
        <w:tc>
          <w:tcPr>
            <w:tcW w:w="1418" w:type="dxa"/>
            <w:vMerge w:val="continue"/>
            <w:vAlign w:val="center"/>
          </w:tcPr>
          <w:p w14:paraId="174D0940">
            <w:pPr>
              <w:spacing w:line="320" w:lineRule="exact"/>
              <w:ind w:left="0" w:leftChars="0" w:firstLine="0" w:firstLineChars="0"/>
              <w:jc w:val="left"/>
              <w:rPr>
                <w:rFonts w:ascii="宋体" w:hAnsi="宋体" w:eastAsia="宋体" w:cs="Times New Roman"/>
                <w:b w:val="0"/>
                <w:color w:val="000000"/>
                <w:kern w:val="0"/>
                <w:sz w:val="24"/>
                <w:szCs w:val="24"/>
              </w:rPr>
            </w:pPr>
          </w:p>
        </w:tc>
        <w:tc>
          <w:tcPr>
            <w:tcW w:w="3661" w:type="dxa"/>
            <w:vAlign w:val="center"/>
          </w:tcPr>
          <w:p w14:paraId="50FA59A9">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未按一机一档建立安全技术档案；</w:t>
            </w:r>
          </w:p>
          <w:p w14:paraId="379D4BD5">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档案文件内容和保存期限不满足相关规定</w:t>
            </w:r>
          </w:p>
        </w:tc>
        <w:tc>
          <w:tcPr>
            <w:tcW w:w="4649" w:type="dxa"/>
            <w:vAlign w:val="center"/>
          </w:tcPr>
          <w:p w14:paraId="1946DDEC">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健全安全管理技术档案管理</w:t>
            </w:r>
          </w:p>
        </w:tc>
        <w:tc>
          <w:tcPr>
            <w:tcW w:w="1425" w:type="dxa"/>
            <w:vMerge w:val="continue"/>
            <w:vAlign w:val="center"/>
          </w:tcPr>
          <w:p w14:paraId="133EB853">
            <w:pPr>
              <w:spacing w:line="320" w:lineRule="exact"/>
              <w:ind w:left="0" w:leftChars="0" w:firstLine="0" w:firstLineChars="0"/>
              <w:jc w:val="left"/>
              <w:rPr>
                <w:rFonts w:ascii="宋体" w:hAnsi="宋体" w:eastAsia="宋体" w:cs="Times New Roman"/>
                <w:b w:val="0"/>
                <w:color w:val="FF0000"/>
                <w:sz w:val="24"/>
                <w:szCs w:val="24"/>
              </w:rPr>
            </w:pPr>
          </w:p>
        </w:tc>
        <w:tc>
          <w:tcPr>
            <w:tcW w:w="1290" w:type="dxa"/>
            <w:vMerge w:val="continue"/>
            <w:vAlign w:val="center"/>
          </w:tcPr>
          <w:p w14:paraId="3BB51B03">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71270A88">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266AA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43428265">
            <w:pPr>
              <w:widowControl/>
              <w:spacing w:line="320" w:lineRule="exact"/>
              <w:ind w:left="0" w:leftChars="0" w:firstLine="240" w:firstLineChars="100"/>
              <w:jc w:val="both"/>
              <w:rPr>
                <w:rFonts w:ascii="宋体" w:hAnsi="宋体" w:eastAsia="宋体" w:cs="Times New Roman"/>
                <w:b w:val="0"/>
                <w:color w:val="FF0000"/>
                <w:kern w:val="0"/>
                <w:sz w:val="24"/>
                <w:szCs w:val="24"/>
              </w:rPr>
            </w:pPr>
            <w:r>
              <w:rPr>
                <w:rFonts w:hint="eastAsia" w:ascii="宋体" w:hAnsi="宋体" w:eastAsia="宋体" w:cs="Times New Roman"/>
                <w:b w:val="0"/>
                <w:kern w:val="0"/>
                <w:sz w:val="24"/>
                <w:szCs w:val="24"/>
              </w:rPr>
              <w:t>7</w:t>
            </w:r>
          </w:p>
        </w:tc>
        <w:tc>
          <w:tcPr>
            <w:tcW w:w="1418" w:type="dxa"/>
            <w:vMerge w:val="restart"/>
            <w:vAlign w:val="center"/>
          </w:tcPr>
          <w:p w14:paraId="79074511">
            <w:pPr>
              <w:spacing w:line="320" w:lineRule="exact"/>
              <w:ind w:left="0" w:leftChars="0" w:firstLine="0" w:firstLineChars="0"/>
              <w:jc w:val="center"/>
              <w:rPr>
                <w:rFonts w:ascii="宋体" w:hAnsi="宋体" w:eastAsia="宋体" w:cs="Times New Roman"/>
                <w:b w:val="0"/>
                <w:color w:val="FF0000"/>
                <w:kern w:val="0"/>
                <w:sz w:val="24"/>
                <w:szCs w:val="24"/>
              </w:rPr>
            </w:pPr>
            <w:r>
              <w:rPr>
                <w:rFonts w:hint="eastAsia" w:ascii="宋体" w:hAnsi="宋体" w:eastAsia="宋体" w:cs="Times New Roman"/>
                <w:b w:val="0"/>
                <w:color w:val="000000"/>
                <w:kern w:val="0"/>
                <w:sz w:val="24"/>
                <w:szCs w:val="24"/>
              </w:rPr>
              <w:t>管理</w:t>
            </w:r>
          </w:p>
        </w:tc>
        <w:tc>
          <w:tcPr>
            <w:tcW w:w="3661" w:type="dxa"/>
            <w:vAlign w:val="center"/>
          </w:tcPr>
          <w:p w14:paraId="11FA94AA">
            <w:pPr>
              <w:spacing w:line="320" w:lineRule="exact"/>
              <w:ind w:left="0" w:leftChars="0" w:firstLine="0" w:firstLineChars="0"/>
              <w:jc w:val="left"/>
              <w:rPr>
                <w:rFonts w:ascii="宋体" w:hAnsi="宋体" w:eastAsia="宋体" w:cs="Times New Roman"/>
                <w:b w:val="0"/>
                <w:color w:val="FF0000"/>
                <w:spacing w:val="6"/>
                <w:sz w:val="24"/>
                <w:szCs w:val="24"/>
              </w:rPr>
            </w:pPr>
            <w:r>
              <w:rPr>
                <w:rFonts w:hint="eastAsia" w:ascii="宋体" w:hAnsi="宋体" w:eastAsia="宋体" w:cs="Times New Roman"/>
                <w:b w:val="0"/>
                <w:sz w:val="24"/>
                <w:szCs w:val="24"/>
              </w:rPr>
              <w:t>未定期开展日常维护保养，安全检查</w:t>
            </w:r>
          </w:p>
        </w:tc>
        <w:tc>
          <w:tcPr>
            <w:tcW w:w="4649" w:type="dxa"/>
            <w:vAlign w:val="center"/>
          </w:tcPr>
          <w:p w14:paraId="67BCFC61">
            <w:pPr>
              <w:spacing w:line="320" w:lineRule="exact"/>
              <w:ind w:left="0" w:leftChars="0" w:firstLine="0" w:firstLineChars="0"/>
              <w:jc w:val="left"/>
              <w:rPr>
                <w:rFonts w:ascii="宋体" w:hAnsi="宋体" w:eastAsia="宋体" w:cs="宋体"/>
                <w:b w:val="0"/>
                <w:color w:val="FF0000"/>
                <w:sz w:val="24"/>
                <w:szCs w:val="24"/>
              </w:rPr>
            </w:pPr>
            <w:r>
              <w:rPr>
                <w:rFonts w:hint="eastAsia" w:ascii="宋体" w:hAnsi="宋体" w:eastAsia="宋体" w:cs="Times New Roman"/>
                <w:b w:val="0"/>
                <w:sz w:val="24"/>
                <w:szCs w:val="24"/>
              </w:rPr>
              <w:t>定期开展日常维护保养，安全检查</w:t>
            </w:r>
          </w:p>
        </w:tc>
        <w:tc>
          <w:tcPr>
            <w:tcW w:w="1425" w:type="dxa"/>
            <w:vMerge w:val="restart"/>
            <w:vAlign w:val="center"/>
          </w:tcPr>
          <w:p w14:paraId="078C5860">
            <w:pPr>
              <w:spacing w:line="320" w:lineRule="exact"/>
              <w:ind w:left="0" w:leftChars="0" w:firstLine="0" w:firstLineChars="0"/>
              <w:jc w:val="center"/>
              <w:rPr>
                <w:rFonts w:ascii="宋体" w:hAnsi="宋体" w:eastAsia="宋体" w:cs="Times New Roman"/>
                <w:b w:val="0"/>
                <w:color w:val="FF0000"/>
                <w:sz w:val="24"/>
                <w:szCs w:val="24"/>
              </w:rPr>
            </w:pPr>
            <w:r>
              <w:rPr>
                <w:rFonts w:hint="eastAsia" w:ascii="宋体" w:hAnsi="宋体" w:eastAsia="宋体" w:cs="Times New Roman"/>
                <w:b w:val="0"/>
                <w:sz w:val="24"/>
                <w:szCs w:val="24"/>
              </w:rPr>
              <w:t>周排查</w:t>
            </w:r>
          </w:p>
        </w:tc>
        <w:tc>
          <w:tcPr>
            <w:tcW w:w="1290" w:type="dxa"/>
            <w:vMerge w:val="restart"/>
            <w:vAlign w:val="center"/>
          </w:tcPr>
          <w:p w14:paraId="3F6652CD">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安全总监</w:t>
            </w:r>
          </w:p>
        </w:tc>
        <w:tc>
          <w:tcPr>
            <w:tcW w:w="934" w:type="dxa"/>
            <w:vAlign w:val="center"/>
          </w:tcPr>
          <w:p w14:paraId="42A6A3F0">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488E7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2DC481EA">
            <w:pPr>
              <w:widowControl/>
              <w:spacing w:line="320" w:lineRule="exact"/>
              <w:ind w:left="0" w:leftChars="0" w:firstLine="240" w:firstLineChars="100"/>
              <w:jc w:val="both"/>
              <w:rPr>
                <w:rFonts w:ascii="宋体" w:hAnsi="宋体" w:eastAsia="宋体" w:cs="Times New Roman"/>
                <w:b w:val="0"/>
                <w:kern w:val="0"/>
                <w:sz w:val="24"/>
                <w:szCs w:val="24"/>
              </w:rPr>
            </w:pPr>
            <w:r>
              <w:rPr>
                <w:rFonts w:hint="eastAsia" w:ascii="宋体" w:hAnsi="宋体" w:eastAsia="宋体" w:cs="Times New Roman"/>
                <w:b w:val="0"/>
                <w:kern w:val="0"/>
                <w:sz w:val="24"/>
                <w:szCs w:val="24"/>
              </w:rPr>
              <w:t>8</w:t>
            </w:r>
          </w:p>
        </w:tc>
        <w:tc>
          <w:tcPr>
            <w:tcW w:w="1418" w:type="dxa"/>
            <w:vMerge w:val="continue"/>
            <w:vAlign w:val="center"/>
          </w:tcPr>
          <w:p w14:paraId="0E0D2747">
            <w:pPr>
              <w:spacing w:line="320" w:lineRule="exact"/>
              <w:ind w:left="0" w:leftChars="0" w:firstLine="0" w:firstLineChars="0"/>
              <w:jc w:val="left"/>
              <w:rPr>
                <w:rFonts w:ascii="宋体" w:hAnsi="宋体" w:eastAsia="宋体" w:cs="Times New Roman"/>
                <w:b w:val="0"/>
                <w:color w:val="FF0000"/>
                <w:kern w:val="0"/>
                <w:sz w:val="24"/>
                <w:szCs w:val="24"/>
              </w:rPr>
            </w:pPr>
          </w:p>
        </w:tc>
        <w:tc>
          <w:tcPr>
            <w:tcW w:w="3661" w:type="dxa"/>
            <w:vAlign w:val="center"/>
          </w:tcPr>
          <w:p w14:paraId="54D3EA2D">
            <w:pPr>
              <w:spacing w:line="320" w:lineRule="exact"/>
              <w:ind w:left="0" w:leftChars="0" w:firstLine="0" w:firstLineChars="0"/>
              <w:jc w:val="left"/>
              <w:rPr>
                <w:rFonts w:ascii="宋体" w:hAnsi="宋体" w:eastAsia="宋体" w:cs="Times New Roman"/>
                <w:b w:val="0"/>
                <w:color w:val="000000"/>
                <w:sz w:val="24"/>
                <w:szCs w:val="24"/>
              </w:rPr>
            </w:pPr>
            <w:r>
              <w:rPr>
                <w:rFonts w:hint="eastAsia" w:ascii="宋体" w:hAnsi="宋体" w:eastAsia="宋体" w:cs="Times New Roman"/>
                <w:b w:val="0"/>
                <w:color w:val="000000"/>
                <w:spacing w:val="6"/>
                <w:sz w:val="24"/>
                <w:szCs w:val="24"/>
              </w:rPr>
              <w:t>未建立压力容器操作规程</w:t>
            </w:r>
          </w:p>
        </w:tc>
        <w:tc>
          <w:tcPr>
            <w:tcW w:w="4649" w:type="dxa"/>
            <w:vAlign w:val="center"/>
          </w:tcPr>
          <w:p w14:paraId="140D98E2">
            <w:pPr>
              <w:spacing w:line="320" w:lineRule="exact"/>
              <w:ind w:left="0" w:leftChars="0" w:firstLine="0" w:firstLineChars="0"/>
              <w:jc w:val="left"/>
              <w:rPr>
                <w:rFonts w:ascii="宋体" w:hAnsi="宋体" w:eastAsia="宋体" w:cs="Times New Roman"/>
                <w:b w:val="0"/>
                <w:color w:val="000000"/>
                <w:sz w:val="24"/>
                <w:szCs w:val="24"/>
              </w:rPr>
            </w:pPr>
            <w:r>
              <w:rPr>
                <w:rFonts w:hint="eastAsia" w:ascii="宋体" w:hAnsi="宋体" w:eastAsia="宋体" w:cs="宋体"/>
                <w:b w:val="0"/>
                <w:color w:val="000000"/>
                <w:sz w:val="24"/>
                <w:szCs w:val="24"/>
              </w:rPr>
              <w:t>1</w:t>
            </w:r>
            <w:r>
              <w:rPr>
                <w:rFonts w:ascii="宋体" w:hAnsi="宋体" w:eastAsia="宋体" w:cs="宋体"/>
                <w:b w:val="0"/>
                <w:color w:val="000000"/>
                <w:sz w:val="24"/>
                <w:szCs w:val="24"/>
              </w:rPr>
              <w:t>.</w:t>
            </w:r>
            <w:r>
              <w:rPr>
                <w:rFonts w:hint="eastAsia" w:ascii="宋体" w:hAnsi="宋体" w:eastAsia="宋体" w:cs="宋体"/>
                <w:b w:val="0"/>
                <w:color w:val="000000"/>
                <w:sz w:val="24"/>
                <w:szCs w:val="24"/>
              </w:rPr>
              <w:t>建立完善操作规程；</w:t>
            </w:r>
            <w:r>
              <w:rPr>
                <w:rFonts w:ascii="宋体" w:hAnsi="宋体" w:eastAsia="宋体" w:cs="宋体"/>
                <w:b w:val="0"/>
                <w:color w:val="000000"/>
                <w:sz w:val="24"/>
                <w:szCs w:val="24"/>
              </w:rPr>
              <w:br w:type="textWrapping"/>
            </w:r>
            <w:r>
              <w:rPr>
                <w:rFonts w:ascii="宋体" w:hAnsi="宋体" w:eastAsia="宋体" w:cs="宋体"/>
                <w:b w:val="0"/>
                <w:color w:val="000000"/>
                <w:sz w:val="24"/>
                <w:szCs w:val="24"/>
              </w:rPr>
              <w:t>2.</w:t>
            </w:r>
            <w:r>
              <w:rPr>
                <w:rFonts w:hint="eastAsia" w:ascii="宋体" w:hAnsi="宋体" w:eastAsia="宋体" w:cs="宋体"/>
                <w:b w:val="0"/>
                <w:color w:val="000000"/>
                <w:sz w:val="24"/>
                <w:szCs w:val="24"/>
              </w:rPr>
              <w:t>加强人员培训并组织实施</w:t>
            </w:r>
          </w:p>
        </w:tc>
        <w:tc>
          <w:tcPr>
            <w:tcW w:w="1425" w:type="dxa"/>
            <w:vMerge w:val="continue"/>
            <w:vAlign w:val="center"/>
          </w:tcPr>
          <w:p w14:paraId="0052523A">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64EAD6B9">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444C8E86">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1723D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348479B3">
            <w:pPr>
              <w:widowControl/>
              <w:spacing w:line="320" w:lineRule="exact"/>
              <w:ind w:left="0" w:leftChars="0" w:firstLine="240" w:firstLineChars="100"/>
              <w:jc w:val="both"/>
              <w:rPr>
                <w:rFonts w:ascii="宋体" w:hAnsi="宋体" w:eastAsia="宋体" w:cs="Times New Roman"/>
                <w:b w:val="0"/>
                <w:kern w:val="0"/>
                <w:sz w:val="24"/>
                <w:szCs w:val="24"/>
              </w:rPr>
            </w:pPr>
            <w:r>
              <w:rPr>
                <w:rFonts w:hint="eastAsia" w:ascii="宋体" w:hAnsi="宋体" w:eastAsia="宋体" w:cs="Times New Roman"/>
                <w:b w:val="0"/>
                <w:kern w:val="0"/>
                <w:sz w:val="24"/>
                <w:szCs w:val="24"/>
              </w:rPr>
              <w:t>9</w:t>
            </w:r>
          </w:p>
        </w:tc>
        <w:tc>
          <w:tcPr>
            <w:tcW w:w="1418" w:type="dxa"/>
            <w:vMerge w:val="continue"/>
            <w:vAlign w:val="center"/>
          </w:tcPr>
          <w:p w14:paraId="6077DE05">
            <w:pPr>
              <w:spacing w:line="320" w:lineRule="exact"/>
              <w:ind w:left="0" w:leftChars="0" w:firstLine="0" w:firstLineChars="0"/>
              <w:jc w:val="left"/>
              <w:rPr>
                <w:rFonts w:ascii="宋体" w:hAnsi="宋体" w:eastAsia="宋体" w:cs="Times New Roman"/>
                <w:b w:val="0"/>
                <w:color w:val="FF0000"/>
                <w:kern w:val="0"/>
                <w:sz w:val="24"/>
                <w:szCs w:val="24"/>
              </w:rPr>
            </w:pPr>
          </w:p>
        </w:tc>
        <w:tc>
          <w:tcPr>
            <w:tcW w:w="3661" w:type="dxa"/>
            <w:vAlign w:val="center"/>
          </w:tcPr>
          <w:p w14:paraId="008020C6">
            <w:pPr>
              <w:spacing w:line="320" w:lineRule="exact"/>
              <w:ind w:left="0" w:leftChars="0" w:firstLine="0" w:firstLineChars="0"/>
              <w:jc w:val="left"/>
              <w:rPr>
                <w:rFonts w:ascii="宋体" w:hAnsi="宋体" w:eastAsia="宋体" w:cs="Times New Roman"/>
                <w:b w:val="0"/>
                <w:color w:val="000000"/>
                <w:spacing w:val="6"/>
                <w:sz w:val="24"/>
                <w:szCs w:val="24"/>
              </w:rPr>
            </w:pPr>
            <w:r>
              <w:rPr>
                <w:rFonts w:hint="eastAsia" w:ascii="宋体" w:hAnsi="宋体" w:eastAsia="宋体" w:cs="Times New Roman"/>
                <w:b w:val="0"/>
                <w:color w:val="000000"/>
                <w:kern w:val="0"/>
                <w:sz w:val="24"/>
                <w:szCs w:val="24"/>
              </w:rPr>
              <w:t>安全隐患未及时整改或未按规定采取监控措施使用存在隐患的压力容器</w:t>
            </w:r>
          </w:p>
        </w:tc>
        <w:tc>
          <w:tcPr>
            <w:tcW w:w="4649" w:type="dxa"/>
            <w:vAlign w:val="center"/>
          </w:tcPr>
          <w:p w14:paraId="5012B726">
            <w:pPr>
              <w:spacing w:line="320" w:lineRule="exact"/>
              <w:ind w:left="0" w:leftChars="0" w:firstLine="0" w:firstLineChars="0"/>
              <w:jc w:val="left"/>
              <w:rPr>
                <w:rFonts w:ascii="宋体" w:hAnsi="宋体" w:eastAsia="宋体" w:cs="宋体"/>
                <w:b w:val="0"/>
                <w:color w:val="000000"/>
                <w:sz w:val="24"/>
                <w:szCs w:val="24"/>
              </w:rPr>
            </w:pPr>
            <w:r>
              <w:rPr>
                <w:rFonts w:hint="eastAsia" w:ascii="宋体" w:hAnsi="宋体" w:eastAsia="宋体" w:cs="Times New Roman"/>
                <w:b w:val="0"/>
                <w:color w:val="000000"/>
                <w:kern w:val="0"/>
                <w:sz w:val="24"/>
                <w:szCs w:val="24"/>
              </w:rPr>
              <w:t>制定压力容器隐患整改计划，明确监控措施及责任人</w:t>
            </w:r>
          </w:p>
        </w:tc>
        <w:tc>
          <w:tcPr>
            <w:tcW w:w="1425" w:type="dxa"/>
            <w:vMerge w:val="continue"/>
            <w:vAlign w:val="center"/>
          </w:tcPr>
          <w:p w14:paraId="642B2D96">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243DFAA3">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4E5EAAEA">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66C93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4A8D6632">
            <w:pPr>
              <w:widowControl/>
              <w:spacing w:line="320" w:lineRule="exact"/>
              <w:ind w:left="0" w:leftChars="0" w:firstLine="0" w:firstLineChars="0"/>
              <w:jc w:val="center"/>
              <w:rPr>
                <w:rFonts w:ascii="宋体" w:hAnsi="宋体" w:eastAsia="宋体" w:cs="Times New Roman"/>
                <w:b w:val="0"/>
                <w:color w:val="FF0000"/>
                <w:kern w:val="0"/>
                <w:sz w:val="24"/>
                <w:szCs w:val="24"/>
              </w:rPr>
            </w:pPr>
            <w:r>
              <w:rPr>
                <w:rFonts w:hint="eastAsia" w:ascii="宋体" w:hAnsi="宋体" w:eastAsia="宋体" w:cs="Times New Roman"/>
                <w:b w:val="0"/>
                <w:color w:val="000000"/>
                <w:kern w:val="0"/>
                <w:sz w:val="24"/>
                <w:szCs w:val="24"/>
              </w:rPr>
              <w:t>10</w:t>
            </w:r>
          </w:p>
        </w:tc>
        <w:tc>
          <w:tcPr>
            <w:tcW w:w="1418" w:type="dxa"/>
            <w:vMerge w:val="continue"/>
            <w:vAlign w:val="center"/>
          </w:tcPr>
          <w:p w14:paraId="7420D192">
            <w:pPr>
              <w:spacing w:line="320" w:lineRule="exact"/>
              <w:ind w:left="0" w:leftChars="0" w:firstLine="0" w:firstLineChars="0"/>
              <w:jc w:val="left"/>
              <w:rPr>
                <w:rFonts w:ascii="宋体" w:hAnsi="宋体" w:eastAsia="宋体" w:cs="Times New Roman"/>
                <w:b w:val="0"/>
                <w:color w:val="FF0000"/>
                <w:kern w:val="0"/>
                <w:sz w:val="24"/>
                <w:szCs w:val="24"/>
              </w:rPr>
            </w:pPr>
          </w:p>
        </w:tc>
        <w:tc>
          <w:tcPr>
            <w:tcW w:w="3661" w:type="dxa"/>
            <w:vAlign w:val="center"/>
          </w:tcPr>
          <w:p w14:paraId="6DF9EBEE">
            <w:pPr>
              <w:spacing w:line="320" w:lineRule="exact"/>
              <w:ind w:left="0" w:leftChars="0" w:firstLine="0" w:firstLineChars="0"/>
              <w:jc w:val="left"/>
              <w:rPr>
                <w:rFonts w:ascii="宋体" w:hAnsi="宋体" w:eastAsia="宋体" w:cs="Times New Roman"/>
                <w:b w:val="0"/>
                <w:color w:val="000000"/>
                <w:spacing w:val="6"/>
                <w:sz w:val="24"/>
                <w:szCs w:val="24"/>
              </w:rPr>
            </w:pPr>
            <w:r>
              <w:rPr>
                <w:rFonts w:hint="eastAsia" w:ascii="宋体" w:hAnsi="宋体" w:eastAsia="宋体" w:cs="Times New Roman"/>
                <w:b w:val="0"/>
                <w:color w:val="000000"/>
                <w:spacing w:val="6"/>
                <w:sz w:val="24"/>
                <w:szCs w:val="24"/>
              </w:rPr>
              <w:t>未建立岗位责任、隐患治理、应急救援等安全管理制度，制定操作规程或相关制度不完善</w:t>
            </w:r>
          </w:p>
        </w:tc>
        <w:tc>
          <w:tcPr>
            <w:tcW w:w="4649" w:type="dxa"/>
            <w:vAlign w:val="center"/>
          </w:tcPr>
          <w:p w14:paraId="4CCD119C">
            <w:pPr>
              <w:spacing w:line="320" w:lineRule="exact"/>
              <w:ind w:left="0" w:leftChars="0" w:firstLine="0" w:firstLineChars="0"/>
              <w:jc w:val="left"/>
              <w:rPr>
                <w:rFonts w:ascii="宋体" w:hAnsi="宋体" w:eastAsia="宋体" w:cs="宋体"/>
                <w:b w:val="0"/>
                <w:color w:val="000000"/>
                <w:sz w:val="24"/>
                <w:szCs w:val="24"/>
              </w:rPr>
            </w:pPr>
            <w:r>
              <w:rPr>
                <w:rFonts w:hint="eastAsia" w:ascii="宋体" w:hAnsi="宋体" w:eastAsia="宋体" w:cs="宋体"/>
                <w:b w:val="0"/>
                <w:color w:val="000000"/>
                <w:sz w:val="24"/>
                <w:szCs w:val="24"/>
              </w:rPr>
              <w:t>根据单位实际情况，及时建立健全各类安全管理制度和操作规程</w:t>
            </w:r>
          </w:p>
        </w:tc>
        <w:tc>
          <w:tcPr>
            <w:tcW w:w="1425" w:type="dxa"/>
            <w:vMerge w:val="restart"/>
            <w:vAlign w:val="center"/>
          </w:tcPr>
          <w:p w14:paraId="04F2CC83">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月调度</w:t>
            </w:r>
          </w:p>
        </w:tc>
        <w:tc>
          <w:tcPr>
            <w:tcW w:w="1290" w:type="dxa"/>
            <w:vMerge w:val="restart"/>
            <w:vAlign w:val="center"/>
          </w:tcPr>
          <w:p w14:paraId="225E4444">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主要负责人</w:t>
            </w:r>
          </w:p>
        </w:tc>
        <w:tc>
          <w:tcPr>
            <w:tcW w:w="934" w:type="dxa"/>
            <w:vAlign w:val="center"/>
          </w:tcPr>
          <w:p w14:paraId="0173C91B">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0740A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53110C83">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1</w:t>
            </w:r>
            <w:r>
              <w:rPr>
                <w:rFonts w:hint="eastAsia" w:ascii="宋体" w:hAnsi="宋体" w:eastAsia="宋体" w:cs="Times New Roman"/>
                <w:b w:val="0"/>
                <w:kern w:val="0"/>
                <w:sz w:val="24"/>
                <w:szCs w:val="24"/>
              </w:rPr>
              <w:t>1</w:t>
            </w:r>
          </w:p>
        </w:tc>
        <w:tc>
          <w:tcPr>
            <w:tcW w:w="1418" w:type="dxa"/>
            <w:vMerge w:val="restart"/>
            <w:vAlign w:val="center"/>
          </w:tcPr>
          <w:p w14:paraId="6FE959FD">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68F96D0F">
            <w:pPr>
              <w:widowControl/>
              <w:autoSpaceDE w:val="0"/>
              <w:autoSpaceDN w:val="0"/>
              <w:spacing w:line="320" w:lineRule="exact"/>
              <w:ind w:left="0" w:leftChars="0" w:firstLine="0" w:firstLineChars="0"/>
              <w:jc w:val="left"/>
              <w:rPr>
                <w:rFonts w:ascii="宋体" w:hAnsi="宋体" w:eastAsia="宋体" w:cs="Times New Roman"/>
                <w:b w:val="0"/>
                <w:color w:val="000000"/>
                <w:kern w:val="0"/>
                <w:sz w:val="24"/>
                <w:szCs w:val="24"/>
              </w:rPr>
            </w:pPr>
            <w:r>
              <w:rPr>
                <w:rFonts w:hint="eastAsia" w:ascii="宋体" w:hAnsi="宋体" w:eastAsia="宋体" w:cs="Times New Roman"/>
                <w:b w:val="0"/>
                <w:color w:val="000000"/>
                <w:kern w:val="0"/>
                <w:sz w:val="24"/>
                <w:szCs w:val="24"/>
              </w:rPr>
              <w:t>未及时办理使用登记、变更登记、停用、报废（注销）等相关手续</w:t>
            </w:r>
          </w:p>
        </w:tc>
        <w:tc>
          <w:tcPr>
            <w:tcW w:w="4649" w:type="dxa"/>
            <w:vAlign w:val="center"/>
          </w:tcPr>
          <w:p w14:paraId="3BF9338B">
            <w:pPr>
              <w:spacing w:line="320" w:lineRule="exact"/>
              <w:ind w:left="0" w:leftChars="0" w:firstLine="0" w:firstLineChars="0"/>
              <w:jc w:val="left"/>
              <w:rPr>
                <w:rFonts w:ascii="宋体" w:hAnsi="宋体" w:eastAsia="宋体" w:cs="Times New Roman"/>
                <w:b w:val="0"/>
                <w:color w:val="000000"/>
                <w:sz w:val="24"/>
                <w:szCs w:val="24"/>
              </w:rPr>
            </w:pPr>
            <w:r>
              <w:rPr>
                <w:rFonts w:hint="eastAsia" w:ascii="宋体" w:hAnsi="宋体" w:eastAsia="宋体" w:cs="Times New Roman"/>
                <w:b w:val="0"/>
                <w:color w:val="000000"/>
                <w:sz w:val="24"/>
                <w:szCs w:val="24"/>
              </w:rPr>
              <w:t>立即办理使用登记、变更登记、停用、报废</w:t>
            </w:r>
            <w:r>
              <w:rPr>
                <w:rFonts w:hint="eastAsia" w:ascii="宋体" w:hAnsi="宋体" w:eastAsia="宋体" w:cs="Times New Roman"/>
                <w:b w:val="0"/>
                <w:color w:val="000000"/>
                <w:kern w:val="0"/>
                <w:sz w:val="24"/>
                <w:szCs w:val="24"/>
              </w:rPr>
              <w:t>（注销）</w:t>
            </w:r>
            <w:r>
              <w:rPr>
                <w:rFonts w:hint="eastAsia" w:ascii="宋体" w:hAnsi="宋体" w:eastAsia="宋体" w:cs="Times New Roman"/>
                <w:b w:val="0"/>
                <w:color w:val="000000"/>
                <w:sz w:val="24"/>
                <w:szCs w:val="24"/>
              </w:rPr>
              <w:t>等相关手续</w:t>
            </w:r>
          </w:p>
        </w:tc>
        <w:tc>
          <w:tcPr>
            <w:tcW w:w="1425" w:type="dxa"/>
            <w:vMerge w:val="continue"/>
            <w:vAlign w:val="center"/>
          </w:tcPr>
          <w:p w14:paraId="42066CEC">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2C43CB43">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4782EEC7">
            <w:pPr>
              <w:spacing w:line="320" w:lineRule="exact"/>
              <w:ind w:left="0" w:leftChars="0" w:firstLine="0" w:firstLineChars="0"/>
              <w:jc w:val="left"/>
              <w:rPr>
                <w:rFonts w:ascii="微软雅黑" w:hAnsi="微软雅黑" w:eastAsia="微软雅黑" w:cs="Times New Roman"/>
                <w:b w:val="0"/>
                <w:sz w:val="18"/>
                <w:szCs w:val="18"/>
              </w:rPr>
            </w:pPr>
          </w:p>
        </w:tc>
      </w:tr>
      <w:tr w14:paraId="5F988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791" w:type="dxa"/>
            <w:vAlign w:val="center"/>
          </w:tcPr>
          <w:p w14:paraId="2E1A816F">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1</w:t>
            </w:r>
            <w:r>
              <w:rPr>
                <w:rFonts w:hint="eastAsia" w:ascii="宋体" w:hAnsi="宋体" w:eastAsia="宋体" w:cs="Times New Roman"/>
                <w:b w:val="0"/>
                <w:kern w:val="0"/>
                <w:sz w:val="24"/>
                <w:szCs w:val="24"/>
              </w:rPr>
              <w:t>2</w:t>
            </w:r>
          </w:p>
        </w:tc>
        <w:tc>
          <w:tcPr>
            <w:tcW w:w="1418" w:type="dxa"/>
            <w:vMerge w:val="continue"/>
            <w:vAlign w:val="center"/>
          </w:tcPr>
          <w:p w14:paraId="78D8F884">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2706FD60">
            <w:pPr>
              <w:widowControl/>
              <w:autoSpaceDE w:val="0"/>
              <w:autoSpaceDN w:val="0"/>
              <w:spacing w:line="320" w:lineRule="exact"/>
              <w:ind w:left="0" w:leftChars="0" w:firstLine="0" w:firstLineChars="0"/>
              <w:jc w:val="left"/>
              <w:rPr>
                <w:rFonts w:ascii="宋体" w:hAnsi="宋体" w:eastAsia="宋体" w:cs="Times New Roman"/>
                <w:b w:val="0"/>
                <w:color w:val="000000"/>
                <w:sz w:val="24"/>
                <w:szCs w:val="24"/>
              </w:rPr>
            </w:pPr>
            <w:r>
              <w:rPr>
                <w:rFonts w:hint="eastAsia" w:ascii="宋体" w:hAnsi="宋体" w:eastAsia="宋体" w:cs="Times New Roman"/>
                <w:b w:val="0"/>
                <w:color w:val="000000"/>
                <w:kern w:val="0"/>
                <w:sz w:val="24"/>
                <w:szCs w:val="24"/>
              </w:rPr>
              <w:t>未按规定开展压力容器年度检查、定期检验，办理延期检验的未采取有效监控</w:t>
            </w:r>
          </w:p>
        </w:tc>
        <w:tc>
          <w:tcPr>
            <w:tcW w:w="4649" w:type="dxa"/>
            <w:vAlign w:val="center"/>
          </w:tcPr>
          <w:p w14:paraId="07544C29">
            <w:pPr>
              <w:spacing w:line="320" w:lineRule="exact"/>
              <w:ind w:left="0" w:leftChars="0" w:firstLine="0" w:firstLineChars="0"/>
              <w:jc w:val="left"/>
              <w:rPr>
                <w:rFonts w:ascii="宋体" w:hAnsi="宋体" w:eastAsia="宋体" w:cs="Times New Roman"/>
                <w:b w:val="0"/>
                <w:color w:val="000000"/>
                <w:sz w:val="24"/>
                <w:szCs w:val="24"/>
              </w:rPr>
            </w:pPr>
            <w:r>
              <w:rPr>
                <w:rFonts w:ascii="宋体" w:hAnsi="宋体" w:eastAsia="宋体" w:cs="Times New Roman"/>
                <w:b w:val="0"/>
                <w:color w:val="000000"/>
                <w:sz w:val="24"/>
                <w:szCs w:val="24"/>
              </w:rPr>
              <w:t>1.</w:t>
            </w:r>
            <w:r>
              <w:rPr>
                <w:rFonts w:hint="eastAsia" w:ascii="宋体" w:hAnsi="宋体" w:eastAsia="宋体" w:cs="Times New Roman"/>
                <w:b w:val="0"/>
                <w:color w:val="000000"/>
                <w:sz w:val="24"/>
                <w:szCs w:val="24"/>
              </w:rPr>
              <w:t>按规定开展压力容器年度检查，定期检验；</w:t>
            </w:r>
            <w:r>
              <w:rPr>
                <w:rFonts w:ascii="宋体" w:hAnsi="宋体" w:eastAsia="宋体" w:cs="Times New Roman"/>
                <w:b w:val="0"/>
                <w:color w:val="000000"/>
                <w:sz w:val="24"/>
                <w:szCs w:val="24"/>
              </w:rPr>
              <w:br w:type="textWrapping"/>
            </w:r>
            <w:r>
              <w:rPr>
                <w:rFonts w:hint="eastAsia" w:ascii="宋体" w:hAnsi="宋体" w:eastAsia="宋体" w:cs="Times New Roman"/>
                <w:b w:val="0"/>
                <w:color w:val="000000"/>
                <w:sz w:val="24"/>
                <w:szCs w:val="24"/>
              </w:rPr>
              <w:t>2</w:t>
            </w:r>
            <w:r>
              <w:rPr>
                <w:rFonts w:ascii="宋体" w:hAnsi="宋体" w:eastAsia="宋体" w:cs="Times New Roman"/>
                <w:b w:val="0"/>
                <w:color w:val="000000"/>
                <w:sz w:val="24"/>
                <w:szCs w:val="24"/>
              </w:rPr>
              <w:t>.</w:t>
            </w:r>
            <w:r>
              <w:rPr>
                <w:rFonts w:hint="eastAsia" w:ascii="宋体" w:hAnsi="宋体" w:eastAsia="宋体" w:cs="Times New Roman"/>
                <w:b w:val="0"/>
                <w:color w:val="000000"/>
                <w:kern w:val="0"/>
                <w:sz w:val="24"/>
                <w:szCs w:val="24"/>
              </w:rPr>
              <w:t>延期检验的压力容器经检验机构确认及使用登记机构备案后采取有效措施监控使用</w:t>
            </w:r>
          </w:p>
        </w:tc>
        <w:tc>
          <w:tcPr>
            <w:tcW w:w="1425" w:type="dxa"/>
            <w:vMerge w:val="continue"/>
            <w:vAlign w:val="center"/>
          </w:tcPr>
          <w:p w14:paraId="1846C222">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7BDEB2A6">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633F22EB">
            <w:pPr>
              <w:spacing w:line="320" w:lineRule="exact"/>
              <w:ind w:left="0" w:leftChars="0" w:firstLine="0" w:firstLineChars="0"/>
              <w:jc w:val="left"/>
              <w:rPr>
                <w:rFonts w:ascii="微软雅黑" w:hAnsi="微软雅黑" w:eastAsia="微软雅黑" w:cs="Times New Roman"/>
                <w:b w:val="0"/>
                <w:sz w:val="18"/>
                <w:szCs w:val="18"/>
              </w:rPr>
            </w:pPr>
          </w:p>
        </w:tc>
      </w:tr>
      <w:tr w14:paraId="7D60E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039C7594">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13</w:t>
            </w:r>
          </w:p>
        </w:tc>
        <w:tc>
          <w:tcPr>
            <w:tcW w:w="1418" w:type="dxa"/>
            <w:vMerge w:val="restart"/>
            <w:vAlign w:val="center"/>
          </w:tcPr>
          <w:p w14:paraId="1D3FCA80">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color w:val="000000"/>
                <w:kern w:val="0"/>
                <w:sz w:val="24"/>
                <w:szCs w:val="24"/>
              </w:rPr>
              <w:t>管理</w:t>
            </w:r>
          </w:p>
        </w:tc>
        <w:tc>
          <w:tcPr>
            <w:tcW w:w="3661" w:type="dxa"/>
            <w:vAlign w:val="center"/>
          </w:tcPr>
          <w:p w14:paraId="05BDB98F">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未落实压力容器安全事故报告义务，未采取有效措施防止事故扩大</w:t>
            </w:r>
          </w:p>
        </w:tc>
        <w:tc>
          <w:tcPr>
            <w:tcW w:w="4649" w:type="dxa"/>
            <w:vAlign w:val="center"/>
          </w:tcPr>
          <w:p w14:paraId="58847BAC">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w:t>
            </w:r>
            <w:r>
              <w:rPr>
                <w:rFonts w:ascii="宋体" w:hAnsi="宋体" w:eastAsia="宋体" w:cs="Times New Roman"/>
                <w:b w:val="0"/>
                <w:sz w:val="24"/>
                <w:szCs w:val="24"/>
              </w:rPr>
              <w:t>.</w:t>
            </w:r>
            <w:r>
              <w:rPr>
                <w:rFonts w:hint="eastAsia" w:ascii="宋体" w:hAnsi="宋体" w:eastAsia="宋体" w:cs="Times New Roman"/>
                <w:b w:val="0"/>
                <w:sz w:val="24"/>
                <w:szCs w:val="24"/>
              </w:rPr>
              <w:t>严格落实压力容器安全事故报告制度；</w:t>
            </w:r>
            <w:r>
              <w:rPr>
                <w:rFonts w:ascii="宋体" w:hAnsi="宋体" w:eastAsia="宋体" w:cs="Times New Roman"/>
                <w:b w:val="0"/>
                <w:sz w:val="24"/>
                <w:szCs w:val="24"/>
              </w:rPr>
              <w:br w:type="textWrapping"/>
            </w:r>
            <w:r>
              <w:rPr>
                <w:rFonts w:hint="eastAsia" w:ascii="宋体" w:hAnsi="宋体" w:eastAsia="宋体" w:cs="Times New Roman"/>
                <w:b w:val="0"/>
                <w:sz w:val="24"/>
                <w:szCs w:val="24"/>
              </w:rPr>
              <w:t>2</w:t>
            </w:r>
            <w:r>
              <w:rPr>
                <w:rFonts w:ascii="宋体" w:hAnsi="宋体" w:eastAsia="宋体" w:cs="Times New Roman"/>
                <w:b w:val="0"/>
                <w:sz w:val="24"/>
                <w:szCs w:val="24"/>
              </w:rPr>
              <w:t>.</w:t>
            </w:r>
            <w:r>
              <w:rPr>
                <w:rFonts w:hint="eastAsia" w:ascii="宋体" w:hAnsi="宋体" w:eastAsia="宋体" w:cs="Times New Roman"/>
                <w:b w:val="0"/>
                <w:sz w:val="24"/>
                <w:szCs w:val="24"/>
              </w:rPr>
              <w:t>及时采取有效措施防止事故扩大</w:t>
            </w:r>
          </w:p>
        </w:tc>
        <w:tc>
          <w:tcPr>
            <w:tcW w:w="1425" w:type="dxa"/>
            <w:vMerge w:val="restart"/>
            <w:vAlign w:val="center"/>
          </w:tcPr>
          <w:p w14:paraId="6CB42A30">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月调度</w:t>
            </w:r>
          </w:p>
        </w:tc>
        <w:tc>
          <w:tcPr>
            <w:tcW w:w="1290" w:type="dxa"/>
            <w:vMerge w:val="restart"/>
            <w:vAlign w:val="center"/>
          </w:tcPr>
          <w:p w14:paraId="13F30AB9">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主要负责人</w:t>
            </w:r>
          </w:p>
        </w:tc>
        <w:tc>
          <w:tcPr>
            <w:tcW w:w="934" w:type="dxa"/>
            <w:vAlign w:val="center"/>
          </w:tcPr>
          <w:p w14:paraId="0AEB11FB">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465C4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32AD5D13">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14</w:t>
            </w:r>
          </w:p>
        </w:tc>
        <w:tc>
          <w:tcPr>
            <w:tcW w:w="1418" w:type="dxa"/>
            <w:vMerge w:val="continue"/>
            <w:vAlign w:val="center"/>
          </w:tcPr>
          <w:p w14:paraId="2A79358A">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3F7F7A5A">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未对已报废的压力容器去功能化处理</w:t>
            </w:r>
            <w:r>
              <w:rPr>
                <w:rFonts w:hint="eastAsia" w:ascii="宋体" w:hAnsi="宋体" w:eastAsia="宋体" w:cs="Times New Roman"/>
                <w:b w:val="0"/>
                <w:kern w:val="0"/>
                <w:sz w:val="24"/>
                <w:szCs w:val="24"/>
              </w:rPr>
              <w:t>，未对办理停用的压力容器采取有效的保护措施</w:t>
            </w:r>
          </w:p>
        </w:tc>
        <w:tc>
          <w:tcPr>
            <w:tcW w:w="4649" w:type="dxa"/>
            <w:vAlign w:val="center"/>
          </w:tcPr>
          <w:p w14:paraId="3F13C9FB">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1.加强对报废的压力容器管理，及时采取必要措施消除使用功能；</w:t>
            </w:r>
          </w:p>
          <w:p w14:paraId="3FA27CDD">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kern w:val="0"/>
                <w:sz w:val="24"/>
                <w:szCs w:val="24"/>
              </w:rPr>
              <w:t>2.加强停用压力容器管理，采取有效保护措施，且设置停用标志</w:t>
            </w:r>
          </w:p>
        </w:tc>
        <w:tc>
          <w:tcPr>
            <w:tcW w:w="1425" w:type="dxa"/>
            <w:vMerge w:val="continue"/>
            <w:vAlign w:val="center"/>
          </w:tcPr>
          <w:p w14:paraId="5D4F5A36">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681AD2A0">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2D3D1D02">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2E9DB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91" w:type="dxa"/>
            <w:vAlign w:val="center"/>
          </w:tcPr>
          <w:p w14:paraId="37F9227F">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15</w:t>
            </w:r>
          </w:p>
        </w:tc>
        <w:tc>
          <w:tcPr>
            <w:tcW w:w="1418" w:type="dxa"/>
            <w:vMerge w:val="continue"/>
            <w:vAlign w:val="center"/>
          </w:tcPr>
          <w:p w14:paraId="30D83B75">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0F33E330">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未建立压力容器、安全附件、作业人员台账</w:t>
            </w:r>
          </w:p>
        </w:tc>
        <w:tc>
          <w:tcPr>
            <w:tcW w:w="4649" w:type="dxa"/>
            <w:vAlign w:val="center"/>
          </w:tcPr>
          <w:p w14:paraId="62454239">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建立健全压力容器、安全附件、作业人员台账，并进行动态管理</w:t>
            </w:r>
          </w:p>
        </w:tc>
        <w:tc>
          <w:tcPr>
            <w:tcW w:w="1425" w:type="dxa"/>
            <w:vMerge w:val="continue"/>
            <w:vAlign w:val="center"/>
          </w:tcPr>
          <w:p w14:paraId="22B43957">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00BAD2FC">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56A244BF">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212BD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0573A1F3">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16</w:t>
            </w:r>
          </w:p>
        </w:tc>
        <w:tc>
          <w:tcPr>
            <w:tcW w:w="1418" w:type="dxa"/>
            <w:vMerge w:val="continue"/>
            <w:vAlign w:val="center"/>
          </w:tcPr>
          <w:p w14:paraId="4803A658">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138F5723">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未建立压力容器事故应急专项预案；并定期演练</w:t>
            </w:r>
          </w:p>
        </w:tc>
        <w:tc>
          <w:tcPr>
            <w:tcW w:w="4649" w:type="dxa"/>
            <w:vAlign w:val="center"/>
          </w:tcPr>
          <w:p w14:paraId="013FE77F">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1、建立并完善压力容器事故应急专项预案；</w:t>
            </w:r>
          </w:p>
          <w:p w14:paraId="3456A4D3">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2、按技术规范要求定期开展应急演练，并留存演练记录</w:t>
            </w:r>
          </w:p>
        </w:tc>
        <w:tc>
          <w:tcPr>
            <w:tcW w:w="1425" w:type="dxa"/>
            <w:vMerge w:val="continue"/>
            <w:vAlign w:val="center"/>
          </w:tcPr>
          <w:p w14:paraId="04F35AC2">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1AD15390">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55E28692">
            <w:pPr>
              <w:spacing w:line="320" w:lineRule="exact"/>
              <w:ind w:left="0" w:leftChars="0" w:firstLine="0" w:firstLineChars="0"/>
              <w:jc w:val="left"/>
              <w:rPr>
                <w:rFonts w:ascii="微软雅黑" w:hAnsi="微软雅黑" w:eastAsia="微软雅黑" w:cs="Times New Roman"/>
                <w:b w:val="0"/>
                <w:sz w:val="18"/>
                <w:szCs w:val="18"/>
              </w:rPr>
            </w:pPr>
          </w:p>
        </w:tc>
      </w:tr>
      <w:tr w14:paraId="208C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791" w:type="dxa"/>
            <w:vAlign w:val="center"/>
          </w:tcPr>
          <w:p w14:paraId="12C2D878">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1</w:t>
            </w:r>
            <w:r>
              <w:rPr>
                <w:rFonts w:hint="eastAsia" w:ascii="宋体" w:hAnsi="宋体" w:eastAsia="宋体" w:cs="Times New Roman"/>
                <w:b w:val="0"/>
                <w:kern w:val="0"/>
                <w:sz w:val="24"/>
                <w:szCs w:val="24"/>
              </w:rPr>
              <w:t>7</w:t>
            </w:r>
          </w:p>
        </w:tc>
        <w:tc>
          <w:tcPr>
            <w:tcW w:w="1418" w:type="dxa"/>
            <w:vMerge w:val="restart"/>
            <w:vAlign w:val="center"/>
          </w:tcPr>
          <w:p w14:paraId="2A655C3F">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设备</w:t>
            </w:r>
          </w:p>
        </w:tc>
        <w:tc>
          <w:tcPr>
            <w:tcW w:w="3661" w:type="dxa"/>
            <w:vAlign w:val="center"/>
          </w:tcPr>
          <w:p w14:paraId="4F3AA2C2">
            <w:pPr>
              <w:widowControl/>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本体，接口（阀门、管路）部位、焊接接头缺陷</w:t>
            </w:r>
          </w:p>
        </w:tc>
        <w:tc>
          <w:tcPr>
            <w:tcW w:w="4649" w:type="dxa"/>
            <w:vAlign w:val="center"/>
          </w:tcPr>
          <w:p w14:paraId="4026DD8F">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1、对新设备严格验收要求；</w:t>
            </w:r>
          </w:p>
          <w:p w14:paraId="53FB9B10">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2、制定运行、检修规程，按规程处置；避免疲劳运行；</w:t>
            </w:r>
          </w:p>
          <w:p w14:paraId="6292112C">
            <w:pPr>
              <w:widowControl/>
              <w:spacing w:line="320" w:lineRule="exact"/>
              <w:ind w:left="0" w:leftChars="0" w:firstLine="0" w:firstLineChars="0"/>
              <w:jc w:val="left"/>
              <w:rPr>
                <w:rFonts w:ascii="宋体" w:hAnsi="宋体" w:eastAsia="宋体" w:cs="Times New Roman"/>
                <w:b w:val="0"/>
                <w:kern w:val="0"/>
                <w:sz w:val="24"/>
                <w:szCs w:val="24"/>
              </w:rPr>
            </w:pPr>
            <w:r>
              <w:rPr>
                <w:rFonts w:ascii="宋体" w:hAnsi="宋体" w:eastAsia="宋体" w:cs="Times New Roman"/>
                <w:b w:val="0"/>
                <w:sz w:val="24"/>
                <w:szCs w:val="24"/>
              </w:rPr>
              <w:t>3</w:t>
            </w:r>
            <w:r>
              <w:rPr>
                <w:rFonts w:hint="eastAsia" w:ascii="宋体" w:hAnsi="宋体" w:eastAsia="宋体" w:cs="Times New Roman"/>
                <w:b w:val="0"/>
                <w:sz w:val="24"/>
                <w:szCs w:val="24"/>
              </w:rPr>
              <w:t>、必要时，采取监控、隔离、维修等安全措施，并做好预案，及时消除隐患</w:t>
            </w:r>
          </w:p>
        </w:tc>
        <w:tc>
          <w:tcPr>
            <w:tcW w:w="1425" w:type="dxa"/>
            <w:vMerge w:val="restart"/>
            <w:vAlign w:val="center"/>
          </w:tcPr>
          <w:p w14:paraId="00B6F8FF">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vMerge w:val="restart"/>
            <w:vAlign w:val="center"/>
          </w:tcPr>
          <w:p w14:paraId="3310BCDF">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6F32D85B">
            <w:pPr>
              <w:spacing w:line="320" w:lineRule="exact"/>
              <w:ind w:left="0" w:leftChars="0" w:firstLine="0" w:firstLineChars="0"/>
              <w:jc w:val="left"/>
              <w:rPr>
                <w:rFonts w:ascii="微软雅黑" w:hAnsi="微软雅黑" w:eastAsia="微软雅黑" w:cs="Times New Roman"/>
                <w:b w:val="0"/>
                <w:sz w:val="18"/>
                <w:szCs w:val="18"/>
              </w:rPr>
            </w:pPr>
          </w:p>
        </w:tc>
      </w:tr>
      <w:tr w14:paraId="3ABAC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9" w:hRule="exact"/>
          <w:jc w:val="center"/>
        </w:trPr>
        <w:tc>
          <w:tcPr>
            <w:tcW w:w="791" w:type="dxa"/>
            <w:vAlign w:val="center"/>
          </w:tcPr>
          <w:p w14:paraId="5C41028A">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18</w:t>
            </w:r>
          </w:p>
        </w:tc>
        <w:tc>
          <w:tcPr>
            <w:tcW w:w="1418" w:type="dxa"/>
            <w:vMerge w:val="continue"/>
            <w:vAlign w:val="center"/>
          </w:tcPr>
          <w:p w14:paraId="7BFCEFE3">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677D3BB2">
            <w:pPr>
              <w:widowControl/>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有膨胀要求的压力容器（如）膨胀受阻</w:t>
            </w:r>
          </w:p>
        </w:tc>
        <w:tc>
          <w:tcPr>
            <w:tcW w:w="4649" w:type="dxa"/>
            <w:vAlign w:val="center"/>
          </w:tcPr>
          <w:p w14:paraId="1546F3D8">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查明并消除受阻原因，确保按预定方向自由膨胀</w:t>
            </w:r>
          </w:p>
        </w:tc>
        <w:tc>
          <w:tcPr>
            <w:tcW w:w="1425" w:type="dxa"/>
            <w:vMerge w:val="continue"/>
            <w:vAlign w:val="center"/>
          </w:tcPr>
          <w:p w14:paraId="3D18DE2D">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460CF531">
            <w:pPr>
              <w:spacing w:line="320" w:lineRule="exact"/>
              <w:ind w:left="0" w:leftChars="0" w:firstLine="0" w:firstLineChars="0"/>
              <w:jc w:val="left"/>
              <w:rPr>
                <w:rFonts w:ascii="宋体" w:hAnsi="宋体" w:eastAsia="宋体" w:cs="Times New Roman"/>
                <w:b w:val="0"/>
                <w:sz w:val="24"/>
                <w:szCs w:val="24"/>
                <w:highlight w:val="yellow"/>
              </w:rPr>
            </w:pPr>
          </w:p>
        </w:tc>
        <w:tc>
          <w:tcPr>
            <w:tcW w:w="934" w:type="dxa"/>
            <w:vAlign w:val="center"/>
          </w:tcPr>
          <w:p w14:paraId="325C48FD">
            <w:pPr>
              <w:spacing w:line="320" w:lineRule="exact"/>
              <w:ind w:left="0" w:leftChars="0" w:firstLine="0" w:firstLineChars="0"/>
              <w:jc w:val="left"/>
              <w:rPr>
                <w:rFonts w:ascii="微软雅黑" w:hAnsi="微软雅黑" w:eastAsia="微软雅黑" w:cs="Times New Roman"/>
                <w:b w:val="0"/>
                <w:sz w:val="18"/>
                <w:szCs w:val="18"/>
              </w:rPr>
            </w:pPr>
          </w:p>
        </w:tc>
      </w:tr>
      <w:tr w14:paraId="7DEA2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0AD07B1C">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19</w:t>
            </w:r>
          </w:p>
        </w:tc>
        <w:tc>
          <w:tcPr>
            <w:tcW w:w="1418" w:type="dxa"/>
            <w:vMerge w:val="restart"/>
            <w:vAlign w:val="center"/>
          </w:tcPr>
          <w:p w14:paraId="4E92FF3F">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设备</w:t>
            </w:r>
          </w:p>
        </w:tc>
        <w:tc>
          <w:tcPr>
            <w:tcW w:w="3661" w:type="dxa"/>
            <w:vAlign w:val="center"/>
          </w:tcPr>
          <w:p w14:paraId="45C42000">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压力容器与相邻管道或者构件异常振动、响声或者相互摩擦</w:t>
            </w:r>
          </w:p>
        </w:tc>
        <w:tc>
          <w:tcPr>
            <w:tcW w:w="4649" w:type="dxa"/>
            <w:vAlign w:val="center"/>
          </w:tcPr>
          <w:p w14:paraId="017AA299">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1、查明异常发生原因，及时消除隐患；</w:t>
            </w:r>
          </w:p>
          <w:p w14:paraId="00C8A586">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2、制定运行、检修规程，按规程处置；避免疲劳运行；</w:t>
            </w:r>
          </w:p>
          <w:p w14:paraId="09F04563">
            <w:pPr>
              <w:spacing w:line="320" w:lineRule="exact"/>
              <w:ind w:left="0" w:leftChars="0" w:firstLine="0" w:firstLineChars="0"/>
              <w:jc w:val="left"/>
              <w:rPr>
                <w:rFonts w:ascii="宋体" w:hAnsi="宋体" w:eastAsia="宋体" w:cs="宋体"/>
                <w:b w:val="0"/>
                <w:sz w:val="24"/>
                <w:szCs w:val="24"/>
              </w:rPr>
            </w:pPr>
            <w:r>
              <w:rPr>
                <w:rFonts w:ascii="宋体" w:hAnsi="宋体" w:eastAsia="宋体" w:cs="Times New Roman"/>
                <w:b w:val="0"/>
                <w:sz w:val="24"/>
                <w:szCs w:val="24"/>
              </w:rPr>
              <w:t>3</w:t>
            </w:r>
            <w:r>
              <w:rPr>
                <w:rFonts w:hint="eastAsia" w:ascii="宋体" w:hAnsi="宋体" w:eastAsia="宋体" w:cs="Times New Roman"/>
                <w:b w:val="0"/>
                <w:sz w:val="24"/>
                <w:szCs w:val="24"/>
              </w:rPr>
              <w:t>、必要时，采取监控、隔离、维修等安全措施，并做好预案</w:t>
            </w:r>
          </w:p>
        </w:tc>
        <w:tc>
          <w:tcPr>
            <w:tcW w:w="1425" w:type="dxa"/>
            <w:vMerge w:val="restart"/>
            <w:vAlign w:val="center"/>
          </w:tcPr>
          <w:p w14:paraId="4A2164F4">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vMerge w:val="restart"/>
            <w:vAlign w:val="center"/>
          </w:tcPr>
          <w:p w14:paraId="00CCD1B0">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7D972F6A">
            <w:pPr>
              <w:spacing w:line="320" w:lineRule="exact"/>
              <w:ind w:left="0" w:leftChars="0" w:firstLine="0" w:firstLineChars="0"/>
              <w:jc w:val="left"/>
              <w:rPr>
                <w:rFonts w:ascii="微软雅黑" w:hAnsi="微软雅黑" w:eastAsia="微软雅黑" w:cs="Times New Roman"/>
                <w:b w:val="0"/>
                <w:sz w:val="18"/>
                <w:szCs w:val="18"/>
              </w:rPr>
            </w:pPr>
          </w:p>
        </w:tc>
      </w:tr>
      <w:tr w14:paraId="30464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6F25B544">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0</w:t>
            </w:r>
          </w:p>
        </w:tc>
        <w:tc>
          <w:tcPr>
            <w:tcW w:w="1418" w:type="dxa"/>
            <w:vMerge w:val="continue"/>
            <w:vAlign w:val="center"/>
          </w:tcPr>
          <w:p w14:paraId="4E4D8317">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3DC5008F">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保温隔热层破损，真空绝热层潮湿跑冷</w:t>
            </w:r>
          </w:p>
        </w:tc>
        <w:tc>
          <w:tcPr>
            <w:tcW w:w="4649" w:type="dxa"/>
            <w:vAlign w:val="center"/>
          </w:tcPr>
          <w:p w14:paraId="5F426396">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1、检查破损部位设备本体是否存在损伤；</w:t>
            </w:r>
          </w:p>
          <w:p w14:paraId="0369057B">
            <w:pPr>
              <w:spacing w:line="320" w:lineRule="exact"/>
              <w:ind w:left="0" w:leftChars="0" w:firstLine="0" w:firstLineChars="0"/>
              <w:jc w:val="left"/>
              <w:rPr>
                <w:rFonts w:ascii="宋体" w:hAnsi="宋体" w:eastAsia="宋体" w:cs="宋体"/>
                <w:b w:val="0"/>
                <w:sz w:val="24"/>
                <w:szCs w:val="24"/>
              </w:rPr>
            </w:pPr>
            <w:r>
              <w:rPr>
                <w:rFonts w:ascii="宋体" w:hAnsi="宋体" w:eastAsia="宋体" w:cs="Times New Roman"/>
                <w:b w:val="0"/>
                <w:sz w:val="24"/>
                <w:szCs w:val="24"/>
              </w:rPr>
              <w:t>2</w:t>
            </w:r>
            <w:r>
              <w:rPr>
                <w:rFonts w:hint="eastAsia" w:ascii="宋体" w:hAnsi="宋体" w:eastAsia="宋体" w:cs="Times New Roman"/>
                <w:b w:val="0"/>
                <w:sz w:val="24"/>
                <w:szCs w:val="24"/>
              </w:rPr>
              <w:t>、及时对破损部位进行恢复；</w:t>
            </w:r>
            <w:r>
              <w:rPr>
                <w:rFonts w:ascii="宋体" w:hAnsi="宋体" w:eastAsia="宋体" w:cs="Times New Roman"/>
                <w:b w:val="0"/>
                <w:sz w:val="24"/>
                <w:szCs w:val="24"/>
              </w:rPr>
              <w:br w:type="textWrapping"/>
            </w:r>
            <w:r>
              <w:rPr>
                <w:rFonts w:hint="eastAsia" w:ascii="宋体" w:hAnsi="宋体" w:eastAsia="宋体" w:cs="Times New Roman"/>
                <w:b w:val="0"/>
                <w:sz w:val="24"/>
                <w:szCs w:val="24"/>
              </w:rPr>
              <w:t>3、对绝热层异常情况需及时测量真空度或日蒸发率，停止使用并及时进行隐患整改</w:t>
            </w:r>
          </w:p>
        </w:tc>
        <w:tc>
          <w:tcPr>
            <w:tcW w:w="1425" w:type="dxa"/>
            <w:vMerge w:val="continue"/>
            <w:vAlign w:val="center"/>
          </w:tcPr>
          <w:p w14:paraId="21DABFB2">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11529517">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4FD560CB">
            <w:pPr>
              <w:spacing w:line="320" w:lineRule="exact"/>
              <w:ind w:left="0" w:leftChars="0" w:firstLine="0" w:firstLineChars="0"/>
              <w:jc w:val="left"/>
              <w:rPr>
                <w:rFonts w:ascii="微软雅黑" w:hAnsi="微软雅黑" w:eastAsia="微软雅黑" w:cs="Times New Roman"/>
                <w:b w:val="0"/>
                <w:sz w:val="18"/>
                <w:szCs w:val="18"/>
              </w:rPr>
            </w:pPr>
          </w:p>
        </w:tc>
      </w:tr>
      <w:tr w14:paraId="78C70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3" w:hRule="exact"/>
          <w:jc w:val="center"/>
        </w:trPr>
        <w:tc>
          <w:tcPr>
            <w:tcW w:w="791" w:type="dxa"/>
            <w:vAlign w:val="center"/>
          </w:tcPr>
          <w:p w14:paraId="1EF2F8BF">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1</w:t>
            </w:r>
          </w:p>
        </w:tc>
        <w:tc>
          <w:tcPr>
            <w:tcW w:w="1418" w:type="dxa"/>
            <w:vMerge w:val="continue"/>
            <w:vAlign w:val="center"/>
          </w:tcPr>
          <w:p w14:paraId="2462A3FE">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25453FF0">
            <w:pPr>
              <w:spacing w:line="320" w:lineRule="exact"/>
              <w:ind w:left="0" w:leftChars="0" w:firstLine="0" w:firstLineChars="0"/>
              <w:jc w:val="left"/>
              <w:rPr>
                <w:rFonts w:ascii="宋体" w:hAnsi="宋体" w:eastAsia="宋体" w:cs="Times New Roman"/>
                <w:b/>
                <w:bCs/>
                <w:sz w:val="24"/>
                <w:szCs w:val="24"/>
              </w:rPr>
            </w:pPr>
            <w:r>
              <w:rPr>
                <w:rFonts w:hint="eastAsia" w:ascii="宋体" w:hAnsi="宋体" w:eastAsia="宋体" w:cs="Times New Roman"/>
                <w:b w:val="0"/>
                <w:sz w:val="24"/>
                <w:szCs w:val="24"/>
              </w:rPr>
              <w:t>非金属衬里层：搪玻璃、石墨、玻璃钢等损坏</w:t>
            </w:r>
          </w:p>
        </w:tc>
        <w:tc>
          <w:tcPr>
            <w:tcW w:w="4649" w:type="dxa"/>
            <w:vAlign w:val="center"/>
          </w:tcPr>
          <w:p w14:paraId="73AEB74A">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检查非金属衬里层的损坏情况</w:t>
            </w:r>
            <w:r>
              <w:rPr>
                <w:rFonts w:hint="eastAsia" w:ascii="宋体" w:hAnsi="宋体" w:eastAsia="宋体" w:cs="Times New Roman"/>
                <w:b w:val="0"/>
                <w:sz w:val="24"/>
                <w:szCs w:val="24"/>
              </w:rPr>
              <w:t>并及时进行修复或更换</w:t>
            </w:r>
          </w:p>
        </w:tc>
        <w:tc>
          <w:tcPr>
            <w:tcW w:w="1425" w:type="dxa"/>
            <w:vMerge w:val="continue"/>
            <w:vAlign w:val="center"/>
          </w:tcPr>
          <w:p w14:paraId="0FA290F5">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25C31D31">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0508FA29">
            <w:pPr>
              <w:spacing w:line="320" w:lineRule="exact"/>
              <w:ind w:left="0" w:leftChars="0" w:firstLine="0" w:firstLineChars="0"/>
              <w:jc w:val="left"/>
              <w:rPr>
                <w:rFonts w:ascii="微软雅黑" w:hAnsi="微软雅黑" w:eastAsia="微软雅黑" w:cs="Times New Roman"/>
                <w:b w:val="0"/>
                <w:sz w:val="18"/>
                <w:szCs w:val="18"/>
              </w:rPr>
            </w:pPr>
          </w:p>
        </w:tc>
      </w:tr>
      <w:tr w14:paraId="3A961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1" w:hRule="exact"/>
          <w:jc w:val="center"/>
        </w:trPr>
        <w:tc>
          <w:tcPr>
            <w:tcW w:w="791" w:type="dxa"/>
            <w:vAlign w:val="center"/>
          </w:tcPr>
          <w:p w14:paraId="77EF3C9F">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2</w:t>
            </w:r>
          </w:p>
        </w:tc>
        <w:tc>
          <w:tcPr>
            <w:tcW w:w="1418" w:type="dxa"/>
            <w:vMerge w:val="continue"/>
            <w:vAlign w:val="center"/>
          </w:tcPr>
          <w:p w14:paraId="2D75A91A">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2D0812E6">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支承或者支座变形、基础沉降、紧固螺栓松动等</w:t>
            </w:r>
          </w:p>
        </w:tc>
        <w:tc>
          <w:tcPr>
            <w:tcW w:w="4649" w:type="dxa"/>
            <w:vAlign w:val="center"/>
          </w:tcPr>
          <w:p w14:paraId="1ECB0A5C">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加强日常检查监控，必要时及时进行修复</w:t>
            </w:r>
          </w:p>
        </w:tc>
        <w:tc>
          <w:tcPr>
            <w:tcW w:w="1425" w:type="dxa"/>
            <w:vMerge w:val="continue"/>
            <w:vAlign w:val="center"/>
          </w:tcPr>
          <w:p w14:paraId="4509FF35">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380848E0">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17420A46">
            <w:pPr>
              <w:spacing w:line="320" w:lineRule="exact"/>
              <w:ind w:left="0" w:leftChars="0" w:firstLine="0" w:firstLineChars="0"/>
              <w:jc w:val="left"/>
              <w:rPr>
                <w:rFonts w:ascii="微软雅黑" w:hAnsi="微软雅黑" w:eastAsia="微软雅黑" w:cs="Times New Roman"/>
                <w:b w:val="0"/>
                <w:sz w:val="18"/>
                <w:szCs w:val="18"/>
              </w:rPr>
            </w:pPr>
          </w:p>
        </w:tc>
      </w:tr>
      <w:tr w14:paraId="291E9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572BE2F5">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3</w:t>
            </w:r>
          </w:p>
        </w:tc>
        <w:tc>
          <w:tcPr>
            <w:tcW w:w="1418" w:type="dxa"/>
            <w:vMerge w:val="continue"/>
            <w:vAlign w:val="center"/>
          </w:tcPr>
          <w:p w14:paraId="2F72F45B">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5786D21A">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运行期间超压、超温、超量等</w:t>
            </w:r>
          </w:p>
        </w:tc>
        <w:tc>
          <w:tcPr>
            <w:tcW w:w="4649" w:type="dxa"/>
            <w:vAlign w:val="center"/>
          </w:tcPr>
          <w:p w14:paraId="1F688302">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w:t>
            </w:r>
            <w:r>
              <w:rPr>
                <w:rFonts w:ascii="宋体" w:hAnsi="宋体" w:eastAsia="宋体" w:cs="宋体"/>
                <w:b w:val="0"/>
                <w:sz w:val="24"/>
                <w:szCs w:val="24"/>
              </w:rPr>
              <w:t>.</w:t>
            </w:r>
            <w:r>
              <w:rPr>
                <w:rFonts w:hint="eastAsia" w:ascii="宋体" w:hAnsi="宋体" w:eastAsia="宋体" w:cs="宋体"/>
                <w:b w:val="0"/>
                <w:sz w:val="24"/>
                <w:szCs w:val="24"/>
              </w:rPr>
              <w:t>制定运行操作规程，并严格执行；</w:t>
            </w:r>
          </w:p>
          <w:p w14:paraId="6B899CA0">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2</w:t>
            </w:r>
            <w:r>
              <w:rPr>
                <w:rFonts w:ascii="宋体" w:hAnsi="宋体" w:eastAsia="宋体" w:cs="宋体"/>
                <w:b w:val="0"/>
                <w:sz w:val="24"/>
                <w:szCs w:val="24"/>
              </w:rPr>
              <w:t>.</w:t>
            </w:r>
            <w:r>
              <w:rPr>
                <w:rFonts w:hint="eastAsia" w:ascii="宋体" w:hAnsi="宋体" w:eastAsia="宋体" w:cs="宋体"/>
                <w:b w:val="0"/>
                <w:sz w:val="24"/>
                <w:szCs w:val="24"/>
              </w:rPr>
              <w:t>必要时进行检验、评估</w:t>
            </w:r>
          </w:p>
        </w:tc>
        <w:tc>
          <w:tcPr>
            <w:tcW w:w="1425" w:type="dxa"/>
            <w:vMerge w:val="continue"/>
            <w:vAlign w:val="center"/>
          </w:tcPr>
          <w:p w14:paraId="36AF8F4E">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0BEE960A">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0C490B11">
            <w:pPr>
              <w:spacing w:line="320" w:lineRule="exact"/>
              <w:ind w:left="0" w:leftChars="0" w:firstLine="0" w:firstLineChars="0"/>
              <w:jc w:val="left"/>
              <w:rPr>
                <w:rFonts w:ascii="微软雅黑" w:hAnsi="微软雅黑" w:eastAsia="微软雅黑" w:cs="Times New Roman"/>
                <w:b w:val="0"/>
                <w:sz w:val="18"/>
                <w:szCs w:val="18"/>
              </w:rPr>
            </w:pPr>
          </w:p>
        </w:tc>
      </w:tr>
      <w:tr w14:paraId="2890B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D938312">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4</w:t>
            </w:r>
          </w:p>
        </w:tc>
        <w:tc>
          <w:tcPr>
            <w:tcW w:w="1418" w:type="dxa"/>
            <w:vMerge w:val="continue"/>
            <w:vAlign w:val="center"/>
          </w:tcPr>
          <w:p w14:paraId="2911608E">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4398DB83">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z w:val="24"/>
                <w:szCs w:val="24"/>
              </w:rPr>
              <w:t>检漏孔、信号孔有泄漏。检漏孔不通畅</w:t>
            </w:r>
          </w:p>
        </w:tc>
        <w:tc>
          <w:tcPr>
            <w:tcW w:w="4649" w:type="dxa"/>
            <w:vAlign w:val="center"/>
          </w:tcPr>
          <w:p w14:paraId="7C2A92B9">
            <w:pPr>
              <w:spacing w:line="320" w:lineRule="exact"/>
              <w:ind w:left="0" w:leftChars="0" w:firstLine="0" w:firstLineChars="0"/>
              <w:jc w:val="left"/>
              <w:rPr>
                <w:rFonts w:ascii="宋体" w:hAnsi="宋体" w:eastAsia="宋体" w:cs="宋体"/>
                <w:b w:val="0"/>
                <w:sz w:val="24"/>
                <w:szCs w:val="24"/>
              </w:rPr>
            </w:pPr>
            <w:r>
              <w:rPr>
                <w:rFonts w:ascii="宋体" w:hAnsi="宋体" w:eastAsia="宋体" w:cs="宋体"/>
                <w:b w:val="0"/>
                <w:sz w:val="24"/>
                <w:szCs w:val="24"/>
              </w:rPr>
              <w:t>1.</w:t>
            </w:r>
            <w:r>
              <w:rPr>
                <w:rFonts w:hint="eastAsia" w:ascii="宋体" w:hAnsi="宋体" w:eastAsia="宋体" w:cs="宋体"/>
                <w:b w:val="0"/>
                <w:sz w:val="24"/>
                <w:szCs w:val="24"/>
              </w:rPr>
              <w:t>及时对泄漏源进行排查并处理；</w:t>
            </w:r>
            <w:r>
              <w:rPr>
                <w:rFonts w:ascii="宋体" w:hAnsi="宋体" w:eastAsia="宋体" w:cs="宋体"/>
                <w:b w:val="0"/>
                <w:sz w:val="24"/>
                <w:szCs w:val="24"/>
              </w:rPr>
              <w:br w:type="textWrapping"/>
            </w:r>
            <w:r>
              <w:rPr>
                <w:rFonts w:ascii="宋体" w:hAnsi="宋体" w:eastAsia="宋体" w:cs="宋体"/>
                <w:b w:val="0"/>
                <w:sz w:val="24"/>
                <w:szCs w:val="24"/>
              </w:rPr>
              <w:t>2.</w:t>
            </w:r>
            <w:r>
              <w:rPr>
                <w:rFonts w:hint="eastAsia" w:ascii="宋体" w:hAnsi="宋体" w:eastAsia="宋体" w:cs="宋体"/>
                <w:b w:val="0"/>
                <w:sz w:val="24"/>
                <w:szCs w:val="24"/>
              </w:rPr>
              <w:t>制定运行操作规程，并严格执行；</w:t>
            </w:r>
            <w:r>
              <w:rPr>
                <w:rFonts w:ascii="宋体" w:hAnsi="宋体" w:eastAsia="宋体" w:cs="宋体"/>
                <w:b w:val="0"/>
                <w:sz w:val="24"/>
                <w:szCs w:val="24"/>
              </w:rPr>
              <w:br w:type="textWrapping"/>
            </w:r>
            <w:r>
              <w:rPr>
                <w:rFonts w:hint="eastAsia" w:ascii="宋体" w:hAnsi="宋体" w:eastAsia="宋体" w:cs="宋体"/>
                <w:b w:val="0"/>
                <w:sz w:val="24"/>
                <w:szCs w:val="24"/>
              </w:rPr>
              <w:t>3</w:t>
            </w:r>
            <w:r>
              <w:rPr>
                <w:rFonts w:ascii="宋体" w:hAnsi="宋体" w:eastAsia="宋体" w:cs="宋体"/>
                <w:b w:val="0"/>
                <w:sz w:val="24"/>
                <w:szCs w:val="24"/>
              </w:rPr>
              <w:t>.</w:t>
            </w:r>
            <w:r>
              <w:rPr>
                <w:rFonts w:hint="eastAsia" w:ascii="宋体" w:hAnsi="宋体" w:eastAsia="宋体" w:cs="宋体"/>
                <w:b w:val="0"/>
                <w:sz w:val="24"/>
                <w:szCs w:val="24"/>
              </w:rPr>
              <w:t>及时对检漏孔进行疏通</w:t>
            </w:r>
          </w:p>
        </w:tc>
        <w:tc>
          <w:tcPr>
            <w:tcW w:w="1425" w:type="dxa"/>
            <w:vMerge w:val="continue"/>
            <w:vAlign w:val="center"/>
          </w:tcPr>
          <w:p w14:paraId="1923D6C7">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5396F726">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253F4C69">
            <w:pPr>
              <w:spacing w:line="320" w:lineRule="exact"/>
              <w:ind w:left="0" w:leftChars="0" w:firstLine="0" w:firstLineChars="0"/>
              <w:jc w:val="left"/>
              <w:rPr>
                <w:rFonts w:ascii="微软雅黑" w:hAnsi="微软雅黑" w:eastAsia="微软雅黑" w:cs="Times New Roman"/>
                <w:b w:val="0"/>
                <w:sz w:val="18"/>
                <w:szCs w:val="18"/>
              </w:rPr>
            </w:pPr>
          </w:p>
        </w:tc>
      </w:tr>
      <w:tr w14:paraId="03221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5535D65F">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5</w:t>
            </w:r>
          </w:p>
        </w:tc>
        <w:tc>
          <w:tcPr>
            <w:tcW w:w="1418" w:type="dxa"/>
            <w:vMerge w:val="continue"/>
            <w:vAlign w:val="center"/>
          </w:tcPr>
          <w:p w14:paraId="0B9EC59C">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3A27E8FC">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接地装置不符合要求</w:t>
            </w:r>
          </w:p>
        </w:tc>
        <w:tc>
          <w:tcPr>
            <w:tcW w:w="4649" w:type="dxa"/>
            <w:vAlign w:val="center"/>
          </w:tcPr>
          <w:p w14:paraId="3447FF58">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w:t>
            </w:r>
            <w:r>
              <w:rPr>
                <w:rFonts w:ascii="宋体" w:hAnsi="宋体" w:eastAsia="宋体" w:cs="宋体"/>
                <w:b w:val="0"/>
                <w:sz w:val="24"/>
                <w:szCs w:val="24"/>
              </w:rPr>
              <w:t>.</w:t>
            </w:r>
            <w:r>
              <w:rPr>
                <w:rFonts w:hint="eastAsia" w:ascii="宋体" w:hAnsi="宋体" w:eastAsia="宋体" w:cs="宋体"/>
                <w:b w:val="0"/>
                <w:sz w:val="24"/>
                <w:szCs w:val="24"/>
              </w:rPr>
              <w:t>查明异常原因，并及时处理；</w:t>
            </w:r>
          </w:p>
          <w:p w14:paraId="12EDDD5C">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2</w:t>
            </w:r>
            <w:r>
              <w:rPr>
                <w:rFonts w:ascii="宋体" w:hAnsi="宋体" w:eastAsia="宋体" w:cs="宋体"/>
                <w:b w:val="0"/>
                <w:sz w:val="24"/>
                <w:szCs w:val="24"/>
              </w:rPr>
              <w:t>.</w:t>
            </w:r>
            <w:r>
              <w:rPr>
                <w:rFonts w:hint="eastAsia" w:ascii="宋体" w:hAnsi="宋体" w:eastAsia="宋体" w:cs="宋体"/>
                <w:b w:val="0"/>
                <w:sz w:val="24"/>
                <w:szCs w:val="24"/>
              </w:rPr>
              <w:t>接地装置进行定期检测</w:t>
            </w:r>
          </w:p>
        </w:tc>
        <w:tc>
          <w:tcPr>
            <w:tcW w:w="1425" w:type="dxa"/>
            <w:vMerge w:val="continue"/>
            <w:vAlign w:val="center"/>
          </w:tcPr>
          <w:p w14:paraId="3A02CCA7">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79AE452D">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376664D3">
            <w:pPr>
              <w:spacing w:line="320" w:lineRule="exact"/>
              <w:ind w:left="0" w:leftChars="0" w:firstLine="0" w:firstLineChars="0"/>
              <w:jc w:val="left"/>
              <w:rPr>
                <w:rFonts w:ascii="微软雅黑" w:hAnsi="微软雅黑" w:eastAsia="微软雅黑" w:cs="Times New Roman"/>
                <w:b w:val="0"/>
                <w:sz w:val="18"/>
                <w:szCs w:val="18"/>
              </w:rPr>
            </w:pPr>
          </w:p>
        </w:tc>
      </w:tr>
      <w:tr w14:paraId="3B9AC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tcBorders>
              <w:bottom w:val="single" w:color="auto" w:sz="4" w:space="0"/>
            </w:tcBorders>
            <w:vAlign w:val="center"/>
          </w:tcPr>
          <w:p w14:paraId="01CA1E0C">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6</w:t>
            </w:r>
          </w:p>
        </w:tc>
        <w:tc>
          <w:tcPr>
            <w:tcW w:w="1418" w:type="dxa"/>
            <w:vMerge w:val="restart"/>
            <w:vAlign w:val="center"/>
          </w:tcPr>
          <w:p w14:paraId="10703443">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设备</w:t>
            </w:r>
          </w:p>
        </w:tc>
        <w:tc>
          <w:tcPr>
            <w:tcW w:w="3661" w:type="dxa"/>
            <w:vAlign w:val="center"/>
          </w:tcPr>
          <w:p w14:paraId="4A2E56CB">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铭牌、漆色、标志不符合要求</w:t>
            </w:r>
          </w:p>
        </w:tc>
        <w:tc>
          <w:tcPr>
            <w:tcW w:w="4649" w:type="dxa"/>
            <w:tcBorders>
              <w:bottom w:val="single" w:color="auto" w:sz="4" w:space="0"/>
            </w:tcBorders>
            <w:vAlign w:val="center"/>
          </w:tcPr>
          <w:p w14:paraId="479A6D86">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按规定完善</w:t>
            </w:r>
            <w:r>
              <w:rPr>
                <w:rFonts w:hint="eastAsia" w:ascii="宋体" w:hAnsi="宋体" w:eastAsia="宋体" w:cs="Times New Roman"/>
                <w:b w:val="0"/>
                <w:sz w:val="24"/>
                <w:szCs w:val="24"/>
              </w:rPr>
              <w:t>铭牌、漆色、标志</w:t>
            </w:r>
          </w:p>
        </w:tc>
        <w:tc>
          <w:tcPr>
            <w:tcW w:w="1425" w:type="dxa"/>
            <w:tcBorders>
              <w:bottom w:val="single" w:color="auto" w:sz="4" w:space="0"/>
            </w:tcBorders>
            <w:vAlign w:val="center"/>
          </w:tcPr>
          <w:p w14:paraId="68CF0084">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tcBorders>
              <w:bottom w:val="single" w:color="auto" w:sz="4" w:space="0"/>
            </w:tcBorders>
            <w:vAlign w:val="center"/>
          </w:tcPr>
          <w:p w14:paraId="12779959">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66568A03">
            <w:pPr>
              <w:spacing w:line="320" w:lineRule="exact"/>
              <w:ind w:left="0" w:leftChars="0" w:firstLine="0" w:firstLineChars="0"/>
              <w:jc w:val="left"/>
              <w:rPr>
                <w:rFonts w:ascii="微软雅黑" w:hAnsi="微软雅黑" w:eastAsia="微软雅黑" w:cs="Times New Roman"/>
                <w:b w:val="0"/>
                <w:sz w:val="18"/>
                <w:szCs w:val="18"/>
              </w:rPr>
            </w:pPr>
          </w:p>
        </w:tc>
      </w:tr>
      <w:tr w14:paraId="63E6F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1" w:hRule="exact"/>
          <w:jc w:val="center"/>
        </w:trPr>
        <w:tc>
          <w:tcPr>
            <w:tcW w:w="791" w:type="dxa"/>
            <w:tcBorders>
              <w:bottom w:val="single" w:color="auto" w:sz="4" w:space="0"/>
            </w:tcBorders>
            <w:vAlign w:val="center"/>
          </w:tcPr>
          <w:p w14:paraId="3D367952">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7</w:t>
            </w:r>
          </w:p>
        </w:tc>
        <w:tc>
          <w:tcPr>
            <w:tcW w:w="1418" w:type="dxa"/>
            <w:vMerge w:val="continue"/>
            <w:tcBorders>
              <w:bottom w:val="single" w:color="auto" w:sz="4" w:space="0"/>
            </w:tcBorders>
            <w:vAlign w:val="center"/>
          </w:tcPr>
          <w:p w14:paraId="2C3C0867">
            <w:pPr>
              <w:spacing w:line="320" w:lineRule="exact"/>
              <w:ind w:left="0" w:leftChars="0" w:firstLine="0" w:firstLineChars="0"/>
              <w:jc w:val="center"/>
              <w:rPr>
                <w:rFonts w:ascii="宋体" w:hAnsi="宋体" w:eastAsia="宋体" w:cs="Times New Roman"/>
                <w:b w:val="0"/>
                <w:kern w:val="0"/>
                <w:sz w:val="24"/>
                <w:szCs w:val="24"/>
              </w:rPr>
            </w:pPr>
          </w:p>
        </w:tc>
        <w:tc>
          <w:tcPr>
            <w:tcW w:w="3661" w:type="dxa"/>
            <w:vAlign w:val="center"/>
          </w:tcPr>
          <w:p w14:paraId="5073604E">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使用未取得生产许可生产或未经检验合格的压力容器</w:t>
            </w:r>
          </w:p>
        </w:tc>
        <w:tc>
          <w:tcPr>
            <w:tcW w:w="4649" w:type="dxa"/>
            <w:tcBorders>
              <w:bottom w:val="single" w:color="auto" w:sz="4" w:space="0"/>
            </w:tcBorders>
            <w:vAlign w:val="center"/>
          </w:tcPr>
          <w:p w14:paraId="2BA0511A">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Times New Roman"/>
                <w:b w:val="0"/>
                <w:sz w:val="24"/>
                <w:szCs w:val="24"/>
              </w:rPr>
              <w:t>严格采购管理，使用取得生产许可并经检验合格的压力容器</w:t>
            </w:r>
          </w:p>
        </w:tc>
        <w:tc>
          <w:tcPr>
            <w:tcW w:w="1425" w:type="dxa"/>
            <w:tcBorders>
              <w:bottom w:val="single" w:color="auto" w:sz="4" w:space="0"/>
            </w:tcBorders>
            <w:vAlign w:val="center"/>
          </w:tcPr>
          <w:p w14:paraId="19140022">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月调度</w:t>
            </w:r>
          </w:p>
        </w:tc>
        <w:tc>
          <w:tcPr>
            <w:tcW w:w="1290" w:type="dxa"/>
            <w:tcBorders>
              <w:bottom w:val="single" w:color="auto" w:sz="4" w:space="0"/>
            </w:tcBorders>
            <w:vAlign w:val="center"/>
          </w:tcPr>
          <w:p w14:paraId="43802994">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主要负责人</w:t>
            </w:r>
          </w:p>
        </w:tc>
        <w:tc>
          <w:tcPr>
            <w:tcW w:w="934" w:type="dxa"/>
            <w:vAlign w:val="center"/>
          </w:tcPr>
          <w:p w14:paraId="0EED7604">
            <w:pPr>
              <w:spacing w:line="320" w:lineRule="exact"/>
              <w:ind w:left="0" w:leftChars="0" w:firstLine="0" w:firstLineChars="0"/>
              <w:jc w:val="left"/>
              <w:rPr>
                <w:rFonts w:ascii="微软雅黑" w:hAnsi="微软雅黑" w:eastAsia="微软雅黑" w:cs="Times New Roman"/>
                <w:b w:val="0"/>
                <w:sz w:val="18"/>
                <w:szCs w:val="18"/>
              </w:rPr>
            </w:pPr>
          </w:p>
        </w:tc>
      </w:tr>
      <w:tr w14:paraId="64878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tcBorders>
              <w:top w:val="single" w:color="auto" w:sz="4" w:space="0"/>
            </w:tcBorders>
            <w:vAlign w:val="center"/>
          </w:tcPr>
          <w:p w14:paraId="20593493">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28</w:t>
            </w:r>
          </w:p>
        </w:tc>
        <w:tc>
          <w:tcPr>
            <w:tcW w:w="1418" w:type="dxa"/>
            <w:vMerge w:val="restart"/>
            <w:tcBorders>
              <w:top w:val="single" w:color="auto" w:sz="4" w:space="0"/>
            </w:tcBorders>
            <w:vAlign w:val="center"/>
          </w:tcPr>
          <w:p w14:paraId="2A68CC7F">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安全附件和安全保护装置</w:t>
            </w:r>
          </w:p>
        </w:tc>
        <w:tc>
          <w:tcPr>
            <w:tcW w:w="3661" w:type="dxa"/>
            <w:vAlign w:val="center"/>
          </w:tcPr>
          <w:p w14:paraId="0E6B720B">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z w:val="24"/>
                <w:szCs w:val="24"/>
              </w:rPr>
              <w:t>安全阀的铅封、校验标签缺失，未在验有效期内；安全阀根部阀未常开。</w:t>
            </w:r>
          </w:p>
        </w:tc>
        <w:tc>
          <w:tcPr>
            <w:tcW w:w="4649" w:type="dxa"/>
            <w:tcBorders>
              <w:top w:val="single" w:color="auto" w:sz="4" w:space="0"/>
              <w:bottom w:val="single" w:color="auto" w:sz="4" w:space="0"/>
            </w:tcBorders>
            <w:vAlign w:val="center"/>
          </w:tcPr>
          <w:p w14:paraId="5B776E95">
            <w:pPr>
              <w:spacing w:line="320" w:lineRule="exact"/>
              <w:ind w:left="0" w:leftChars="0" w:firstLine="0" w:firstLineChars="0"/>
              <w:jc w:val="left"/>
              <w:rPr>
                <w:rFonts w:ascii="宋体" w:hAnsi="宋体" w:eastAsia="宋体" w:cs="宋体"/>
                <w:b w:val="0"/>
                <w:sz w:val="24"/>
                <w:szCs w:val="24"/>
              </w:rPr>
            </w:pPr>
            <w:r>
              <w:rPr>
                <w:rFonts w:ascii="宋体" w:hAnsi="宋体" w:eastAsia="宋体" w:cs="宋体"/>
                <w:b w:val="0"/>
                <w:sz w:val="24"/>
                <w:szCs w:val="24"/>
              </w:rPr>
              <w:t>1.</w:t>
            </w:r>
            <w:r>
              <w:rPr>
                <w:rFonts w:hint="eastAsia" w:ascii="宋体" w:hAnsi="宋体" w:eastAsia="宋体" w:cs="宋体"/>
                <w:b w:val="0"/>
                <w:sz w:val="24"/>
                <w:szCs w:val="24"/>
              </w:rPr>
              <w:t>重新校验安全阀；</w:t>
            </w:r>
            <w:r>
              <w:rPr>
                <w:rFonts w:ascii="宋体" w:hAnsi="宋体" w:eastAsia="宋体" w:cs="宋体"/>
                <w:b w:val="0"/>
                <w:sz w:val="24"/>
                <w:szCs w:val="24"/>
              </w:rPr>
              <w:br w:type="textWrapping"/>
            </w:r>
            <w:r>
              <w:rPr>
                <w:rFonts w:ascii="宋体" w:hAnsi="宋体" w:eastAsia="宋体" w:cs="宋体"/>
                <w:b w:val="0"/>
                <w:sz w:val="24"/>
                <w:szCs w:val="24"/>
              </w:rPr>
              <w:t>2.</w:t>
            </w:r>
            <w:r>
              <w:rPr>
                <w:rFonts w:hint="eastAsia" w:ascii="宋体" w:hAnsi="宋体" w:eastAsia="宋体" w:cs="宋体"/>
                <w:b w:val="0"/>
                <w:sz w:val="24"/>
                <w:szCs w:val="24"/>
              </w:rPr>
              <w:t>对安全阀铅封、校验标签采取保护措施；</w:t>
            </w:r>
            <w:r>
              <w:rPr>
                <w:rFonts w:ascii="宋体" w:hAnsi="宋体" w:eastAsia="宋体" w:cs="宋体"/>
                <w:b w:val="0"/>
                <w:sz w:val="24"/>
                <w:szCs w:val="24"/>
              </w:rPr>
              <w:br w:type="textWrapping"/>
            </w:r>
            <w:r>
              <w:rPr>
                <w:rFonts w:ascii="宋体" w:hAnsi="宋体" w:eastAsia="宋体" w:cs="宋体"/>
                <w:b w:val="0"/>
                <w:sz w:val="24"/>
                <w:szCs w:val="24"/>
              </w:rPr>
              <w:t>3.</w:t>
            </w:r>
            <w:r>
              <w:rPr>
                <w:rFonts w:hint="eastAsia" w:ascii="宋体" w:hAnsi="宋体" w:eastAsia="宋体" w:cs="宋体"/>
                <w:b w:val="0"/>
                <w:sz w:val="24"/>
                <w:szCs w:val="24"/>
              </w:rPr>
              <w:t>安全阀根部阀保持常开并锁定</w:t>
            </w:r>
          </w:p>
        </w:tc>
        <w:tc>
          <w:tcPr>
            <w:tcW w:w="1425" w:type="dxa"/>
            <w:tcBorders>
              <w:top w:val="single" w:color="auto" w:sz="4" w:space="0"/>
              <w:bottom w:val="single" w:color="auto" w:sz="4" w:space="0"/>
            </w:tcBorders>
            <w:vAlign w:val="center"/>
          </w:tcPr>
          <w:p w14:paraId="067C82F8">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tcBorders>
              <w:top w:val="single" w:color="auto" w:sz="4" w:space="0"/>
              <w:bottom w:val="single" w:color="auto" w:sz="4" w:space="0"/>
            </w:tcBorders>
            <w:vAlign w:val="center"/>
          </w:tcPr>
          <w:p w14:paraId="7D7E1A2E">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tcBorders>
              <w:bottom w:val="single" w:color="auto" w:sz="4" w:space="0"/>
            </w:tcBorders>
            <w:vAlign w:val="center"/>
          </w:tcPr>
          <w:p w14:paraId="0DB7C793">
            <w:pPr>
              <w:spacing w:line="320" w:lineRule="exact"/>
              <w:ind w:left="0" w:leftChars="0" w:firstLine="0" w:firstLineChars="0"/>
              <w:jc w:val="left"/>
              <w:rPr>
                <w:rFonts w:ascii="微软雅黑" w:hAnsi="微软雅黑" w:eastAsia="微软雅黑" w:cs="Times New Roman"/>
                <w:b w:val="0"/>
                <w:sz w:val="18"/>
                <w:szCs w:val="18"/>
              </w:rPr>
            </w:pPr>
          </w:p>
        </w:tc>
      </w:tr>
      <w:tr w14:paraId="56902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8" w:hRule="atLeast"/>
          <w:jc w:val="center"/>
        </w:trPr>
        <w:tc>
          <w:tcPr>
            <w:tcW w:w="791" w:type="dxa"/>
            <w:vAlign w:val="center"/>
          </w:tcPr>
          <w:p w14:paraId="76A2B443">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29</w:t>
            </w:r>
          </w:p>
        </w:tc>
        <w:tc>
          <w:tcPr>
            <w:tcW w:w="1418" w:type="dxa"/>
            <w:vMerge w:val="continue"/>
            <w:vAlign w:val="center"/>
          </w:tcPr>
          <w:p w14:paraId="661B37DF">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50A3786D">
            <w:pPr>
              <w:widowControl/>
              <w:autoSpaceDE w:val="0"/>
              <w:autoSpaceDN w:val="0"/>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z w:val="24"/>
                <w:szCs w:val="24"/>
              </w:rPr>
              <w:t>爆破片泄漏、反装，未定期更换</w:t>
            </w:r>
          </w:p>
        </w:tc>
        <w:tc>
          <w:tcPr>
            <w:tcW w:w="4649" w:type="dxa"/>
            <w:tcBorders>
              <w:top w:val="single" w:color="auto" w:sz="4" w:space="0"/>
              <w:bottom w:val="single" w:color="auto" w:sz="4" w:space="0"/>
            </w:tcBorders>
            <w:vAlign w:val="center"/>
          </w:tcPr>
          <w:p w14:paraId="0D3EDD20">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w:t>
            </w:r>
            <w:r>
              <w:rPr>
                <w:rFonts w:ascii="宋体" w:hAnsi="宋体" w:eastAsia="宋体" w:cs="宋体"/>
                <w:b w:val="0"/>
                <w:sz w:val="24"/>
                <w:szCs w:val="24"/>
              </w:rPr>
              <w:t>.</w:t>
            </w:r>
            <w:r>
              <w:rPr>
                <w:rFonts w:hint="eastAsia" w:ascii="宋体" w:hAnsi="宋体" w:eastAsia="宋体" w:cs="宋体"/>
                <w:b w:val="0"/>
                <w:sz w:val="24"/>
                <w:szCs w:val="24"/>
              </w:rPr>
              <w:t>查明泄漏原因并消除；</w:t>
            </w:r>
            <w:r>
              <w:rPr>
                <w:rFonts w:ascii="宋体" w:hAnsi="宋体" w:eastAsia="宋体" w:cs="宋体"/>
                <w:b w:val="0"/>
                <w:sz w:val="24"/>
                <w:szCs w:val="24"/>
              </w:rPr>
              <w:br w:type="textWrapping"/>
            </w:r>
            <w:r>
              <w:rPr>
                <w:rFonts w:ascii="宋体" w:hAnsi="宋体" w:eastAsia="宋体" w:cs="宋体"/>
                <w:b w:val="0"/>
                <w:sz w:val="24"/>
                <w:szCs w:val="24"/>
              </w:rPr>
              <w:t>2.</w:t>
            </w:r>
            <w:r>
              <w:rPr>
                <w:rFonts w:hint="eastAsia" w:ascii="宋体" w:hAnsi="宋体" w:eastAsia="宋体" w:cs="宋体"/>
                <w:b w:val="0"/>
                <w:sz w:val="24"/>
                <w:szCs w:val="24"/>
              </w:rPr>
              <w:t>确认爆破片的安装方向；</w:t>
            </w:r>
            <w:r>
              <w:rPr>
                <w:rFonts w:ascii="宋体" w:hAnsi="宋体" w:eastAsia="宋体" w:cs="宋体"/>
                <w:b w:val="0"/>
                <w:sz w:val="24"/>
                <w:szCs w:val="24"/>
              </w:rPr>
              <w:br w:type="textWrapping"/>
            </w:r>
            <w:r>
              <w:rPr>
                <w:rFonts w:ascii="宋体" w:hAnsi="宋体" w:eastAsia="宋体" w:cs="宋体"/>
                <w:b w:val="0"/>
                <w:sz w:val="24"/>
                <w:szCs w:val="24"/>
              </w:rPr>
              <w:t>3</w:t>
            </w:r>
            <w:r>
              <w:rPr>
                <w:rFonts w:hint="eastAsia" w:ascii="宋体" w:hAnsi="宋体" w:eastAsia="宋体" w:cs="宋体"/>
                <w:b w:val="0"/>
                <w:sz w:val="24"/>
                <w:szCs w:val="24"/>
              </w:rPr>
              <w:t>.制定爆破片定期更换计划并实施</w:t>
            </w:r>
          </w:p>
        </w:tc>
        <w:tc>
          <w:tcPr>
            <w:tcW w:w="1425" w:type="dxa"/>
            <w:tcBorders>
              <w:top w:val="single" w:color="auto" w:sz="4" w:space="0"/>
              <w:bottom w:val="single" w:color="auto" w:sz="4" w:space="0"/>
            </w:tcBorders>
            <w:vAlign w:val="center"/>
          </w:tcPr>
          <w:p w14:paraId="0AB091B2">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tcBorders>
              <w:top w:val="single" w:color="auto" w:sz="4" w:space="0"/>
              <w:bottom w:val="single" w:color="auto" w:sz="4" w:space="0"/>
            </w:tcBorders>
            <w:vAlign w:val="center"/>
          </w:tcPr>
          <w:p w14:paraId="060A8050">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tcBorders>
              <w:top w:val="single" w:color="auto" w:sz="4" w:space="0"/>
            </w:tcBorders>
            <w:vAlign w:val="center"/>
          </w:tcPr>
          <w:p w14:paraId="63BED29F">
            <w:pPr>
              <w:spacing w:line="320" w:lineRule="exact"/>
              <w:ind w:left="0" w:leftChars="0" w:firstLine="0" w:firstLineChars="0"/>
              <w:jc w:val="left"/>
              <w:rPr>
                <w:rFonts w:ascii="微软雅黑" w:hAnsi="微软雅黑" w:eastAsia="微软雅黑" w:cs="Times New Roman"/>
                <w:b w:val="0"/>
                <w:sz w:val="18"/>
                <w:szCs w:val="18"/>
              </w:rPr>
            </w:pPr>
          </w:p>
        </w:tc>
      </w:tr>
      <w:tr w14:paraId="681B9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791" w:type="dxa"/>
            <w:vAlign w:val="center"/>
          </w:tcPr>
          <w:p w14:paraId="35EE0E4C">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0</w:t>
            </w:r>
          </w:p>
        </w:tc>
        <w:tc>
          <w:tcPr>
            <w:tcW w:w="1418" w:type="dxa"/>
            <w:vMerge w:val="continue"/>
            <w:vAlign w:val="center"/>
          </w:tcPr>
          <w:p w14:paraId="1D3B3524">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43FCB603">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z w:val="24"/>
                <w:szCs w:val="24"/>
              </w:rPr>
              <w:t>压力表选型错误、未在检定有效期内，刻度盘上无指示工作压力的红线，压力表损坏</w:t>
            </w:r>
          </w:p>
        </w:tc>
        <w:tc>
          <w:tcPr>
            <w:tcW w:w="4649" w:type="dxa"/>
            <w:tcBorders>
              <w:top w:val="single" w:color="auto" w:sz="4" w:space="0"/>
              <w:bottom w:val="single" w:color="auto" w:sz="4" w:space="0"/>
            </w:tcBorders>
            <w:vAlign w:val="center"/>
          </w:tcPr>
          <w:p w14:paraId="02FF692B">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w:t>
            </w:r>
            <w:r>
              <w:rPr>
                <w:rFonts w:ascii="宋体" w:hAnsi="宋体" w:eastAsia="宋体" w:cs="宋体"/>
                <w:b w:val="0"/>
                <w:sz w:val="24"/>
                <w:szCs w:val="24"/>
              </w:rPr>
              <w:t>.</w:t>
            </w:r>
            <w:r>
              <w:rPr>
                <w:rFonts w:hint="eastAsia" w:ascii="宋体" w:hAnsi="宋体" w:eastAsia="宋体" w:cs="宋体"/>
                <w:b w:val="0"/>
                <w:sz w:val="24"/>
                <w:szCs w:val="24"/>
              </w:rPr>
              <w:t>根据工况选取符合要求的压力表；</w:t>
            </w:r>
            <w:r>
              <w:rPr>
                <w:rFonts w:ascii="宋体" w:hAnsi="宋体" w:eastAsia="宋体" w:cs="宋体"/>
                <w:b w:val="0"/>
                <w:sz w:val="24"/>
                <w:szCs w:val="24"/>
              </w:rPr>
              <w:br w:type="textWrapping"/>
            </w:r>
            <w:r>
              <w:rPr>
                <w:rFonts w:hint="eastAsia" w:ascii="宋体" w:hAnsi="宋体" w:eastAsia="宋体" w:cs="宋体"/>
                <w:b w:val="0"/>
                <w:sz w:val="24"/>
                <w:szCs w:val="24"/>
              </w:rPr>
              <w:t>2</w:t>
            </w:r>
            <w:r>
              <w:rPr>
                <w:rFonts w:ascii="宋体" w:hAnsi="宋体" w:eastAsia="宋体" w:cs="宋体"/>
                <w:b w:val="0"/>
                <w:sz w:val="24"/>
                <w:szCs w:val="24"/>
              </w:rPr>
              <w:t>.</w:t>
            </w:r>
            <w:r>
              <w:rPr>
                <w:rFonts w:hint="eastAsia" w:ascii="宋体" w:hAnsi="宋体" w:eastAsia="宋体" w:cs="宋体"/>
                <w:b w:val="0"/>
                <w:sz w:val="24"/>
                <w:szCs w:val="24"/>
              </w:rPr>
              <w:t>制定压力表定期检定计划并实施；</w:t>
            </w:r>
            <w:r>
              <w:rPr>
                <w:rFonts w:ascii="宋体" w:hAnsi="宋体" w:eastAsia="宋体" w:cs="宋体"/>
                <w:b w:val="0"/>
                <w:sz w:val="24"/>
                <w:szCs w:val="24"/>
              </w:rPr>
              <w:br w:type="textWrapping"/>
            </w:r>
            <w:r>
              <w:rPr>
                <w:rFonts w:ascii="宋体" w:hAnsi="宋体" w:eastAsia="宋体" w:cs="宋体"/>
                <w:b w:val="0"/>
                <w:sz w:val="24"/>
                <w:szCs w:val="24"/>
              </w:rPr>
              <w:t>3.</w:t>
            </w:r>
            <w:r>
              <w:rPr>
                <w:rFonts w:hint="eastAsia" w:ascii="宋体" w:hAnsi="宋体" w:eastAsia="宋体" w:cs="Times New Roman"/>
                <w:b w:val="0"/>
                <w:sz w:val="24"/>
                <w:szCs w:val="24"/>
              </w:rPr>
              <w:t>刻度盘上标出工作压力的红线；</w:t>
            </w:r>
            <w:r>
              <w:rPr>
                <w:rFonts w:ascii="宋体" w:hAnsi="宋体" w:eastAsia="宋体" w:cs="Times New Roman"/>
                <w:b w:val="0"/>
                <w:sz w:val="24"/>
                <w:szCs w:val="24"/>
              </w:rPr>
              <w:br w:type="textWrapping"/>
            </w:r>
            <w:r>
              <w:rPr>
                <w:rFonts w:hint="eastAsia" w:ascii="宋体" w:hAnsi="宋体" w:eastAsia="宋体" w:cs="Times New Roman"/>
                <w:b w:val="0"/>
                <w:sz w:val="24"/>
                <w:szCs w:val="24"/>
              </w:rPr>
              <w:t>4</w:t>
            </w:r>
            <w:r>
              <w:rPr>
                <w:rFonts w:ascii="宋体" w:hAnsi="宋体" w:eastAsia="宋体" w:cs="Times New Roman"/>
                <w:b w:val="0"/>
                <w:sz w:val="24"/>
                <w:szCs w:val="24"/>
              </w:rPr>
              <w:t>.</w:t>
            </w:r>
            <w:r>
              <w:rPr>
                <w:rFonts w:hint="eastAsia" w:ascii="宋体" w:hAnsi="宋体" w:eastAsia="宋体" w:cs="Times New Roman"/>
                <w:b w:val="0"/>
                <w:sz w:val="24"/>
                <w:szCs w:val="24"/>
              </w:rPr>
              <w:t>及时更换损坏的压力表</w:t>
            </w:r>
          </w:p>
        </w:tc>
        <w:tc>
          <w:tcPr>
            <w:tcW w:w="1425" w:type="dxa"/>
            <w:tcBorders>
              <w:top w:val="single" w:color="auto" w:sz="4" w:space="0"/>
              <w:bottom w:val="single" w:color="auto" w:sz="4" w:space="0"/>
            </w:tcBorders>
            <w:vAlign w:val="center"/>
          </w:tcPr>
          <w:p w14:paraId="1312B74D">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tcBorders>
              <w:top w:val="single" w:color="auto" w:sz="4" w:space="0"/>
              <w:bottom w:val="single" w:color="auto" w:sz="4" w:space="0"/>
            </w:tcBorders>
            <w:vAlign w:val="center"/>
          </w:tcPr>
          <w:p w14:paraId="0363B21C">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0E094C80">
            <w:pPr>
              <w:spacing w:line="320" w:lineRule="exact"/>
              <w:ind w:left="0" w:leftChars="0" w:firstLine="0" w:firstLineChars="0"/>
              <w:jc w:val="left"/>
              <w:rPr>
                <w:rFonts w:ascii="微软雅黑" w:hAnsi="微软雅黑" w:eastAsia="微软雅黑" w:cs="Times New Roman"/>
                <w:b w:val="0"/>
                <w:sz w:val="18"/>
                <w:szCs w:val="18"/>
              </w:rPr>
            </w:pPr>
          </w:p>
        </w:tc>
      </w:tr>
      <w:tr w14:paraId="49F8E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4399D14">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31</w:t>
            </w:r>
          </w:p>
        </w:tc>
        <w:tc>
          <w:tcPr>
            <w:tcW w:w="1418" w:type="dxa"/>
            <w:vMerge w:val="continue"/>
            <w:vAlign w:val="center"/>
          </w:tcPr>
          <w:p w14:paraId="65884270">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1E166AE8">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z w:val="24"/>
                <w:szCs w:val="24"/>
              </w:rPr>
              <w:t>液位计选型错误，无最高和最低安全液位的标志 ，液位计存在泄漏</w:t>
            </w:r>
          </w:p>
        </w:tc>
        <w:tc>
          <w:tcPr>
            <w:tcW w:w="4649" w:type="dxa"/>
            <w:tcBorders>
              <w:top w:val="single" w:color="auto" w:sz="4" w:space="0"/>
            </w:tcBorders>
            <w:vAlign w:val="center"/>
          </w:tcPr>
          <w:p w14:paraId="5727AE9E">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w:t>
            </w:r>
            <w:r>
              <w:rPr>
                <w:rFonts w:ascii="宋体" w:hAnsi="宋体" w:eastAsia="宋体" w:cs="宋体"/>
                <w:b w:val="0"/>
                <w:sz w:val="24"/>
                <w:szCs w:val="24"/>
              </w:rPr>
              <w:t>.</w:t>
            </w:r>
            <w:r>
              <w:rPr>
                <w:rFonts w:hint="eastAsia" w:ascii="宋体" w:hAnsi="宋体" w:eastAsia="宋体" w:cs="宋体"/>
                <w:b w:val="0"/>
                <w:sz w:val="24"/>
                <w:szCs w:val="24"/>
              </w:rPr>
              <w:t>根据工况选取符合要求的液位计；</w:t>
            </w:r>
            <w:r>
              <w:rPr>
                <w:rFonts w:ascii="宋体" w:hAnsi="宋体" w:eastAsia="宋体" w:cs="宋体"/>
                <w:b w:val="0"/>
                <w:sz w:val="24"/>
                <w:szCs w:val="24"/>
              </w:rPr>
              <w:br w:type="textWrapping"/>
            </w:r>
            <w:r>
              <w:rPr>
                <w:rFonts w:ascii="宋体" w:hAnsi="宋体" w:eastAsia="宋体" w:cs="宋体"/>
                <w:b w:val="0"/>
                <w:sz w:val="24"/>
                <w:szCs w:val="24"/>
              </w:rPr>
              <w:t>2.</w:t>
            </w:r>
            <w:r>
              <w:rPr>
                <w:rFonts w:hint="eastAsia" w:ascii="宋体" w:hAnsi="宋体" w:eastAsia="宋体" w:cs="宋体"/>
                <w:b w:val="0"/>
                <w:sz w:val="24"/>
                <w:szCs w:val="24"/>
              </w:rPr>
              <w:t>标注</w:t>
            </w:r>
            <w:r>
              <w:rPr>
                <w:rFonts w:hint="eastAsia" w:ascii="宋体" w:hAnsi="宋体" w:eastAsia="宋体" w:cs="Times New Roman"/>
                <w:b w:val="0"/>
                <w:sz w:val="24"/>
                <w:szCs w:val="24"/>
              </w:rPr>
              <w:t>最高和最低安全液位的标志；</w:t>
            </w:r>
            <w:r>
              <w:rPr>
                <w:rFonts w:ascii="宋体" w:hAnsi="宋体" w:eastAsia="宋体" w:cs="Times New Roman"/>
                <w:b w:val="0"/>
                <w:sz w:val="24"/>
                <w:szCs w:val="24"/>
              </w:rPr>
              <w:br w:type="textWrapping"/>
            </w:r>
            <w:r>
              <w:rPr>
                <w:rFonts w:ascii="宋体" w:hAnsi="宋体" w:eastAsia="宋体" w:cs="Times New Roman"/>
                <w:b w:val="0"/>
                <w:sz w:val="24"/>
                <w:szCs w:val="24"/>
              </w:rPr>
              <w:t>3.</w:t>
            </w:r>
            <w:r>
              <w:rPr>
                <w:rFonts w:hint="eastAsia" w:ascii="宋体" w:hAnsi="宋体" w:eastAsia="宋体" w:cs="Times New Roman"/>
                <w:b w:val="0"/>
                <w:sz w:val="24"/>
                <w:szCs w:val="24"/>
              </w:rPr>
              <w:t>修复或更换液位计</w:t>
            </w:r>
          </w:p>
        </w:tc>
        <w:tc>
          <w:tcPr>
            <w:tcW w:w="1425" w:type="dxa"/>
            <w:tcBorders>
              <w:top w:val="single" w:color="auto" w:sz="4" w:space="0"/>
            </w:tcBorders>
            <w:vAlign w:val="center"/>
          </w:tcPr>
          <w:p w14:paraId="2EE51FD6">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tcBorders>
              <w:top w:val="single" w:color="auto" w:sz="4" w:space="0"/>
            </w:tcBorders>
            <w:vAlign w:val="center"/>
          </w:tcPr>
          <w:p w14:paraId="1392F014">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4449015B">
            <w:pPr>
              <w:spacing w:line="320" w:lineRule="exact"/>
              <w:ind w:left="0" w:leftChars="0" w:firstLine="0" w:firstLineChars="0"/>
              <w:jc w:val="left"/>
              <w:rPr>
                <w:rFonts w:ascii="微软雅黑" w:hAnsi="微软雅黑" w:eastAsia="微软雅黑" w:cs="Times New Roman"/>
                <w:b w:val="0"/>
                <w:sz w:val="18"/>
                <w:szCs w:val="18"/>
              </w:rPr>
            </w:pPr>
          </w:p>
        </w:tc>
      </w:tr>
      <w:tr w14:paraId="7E36A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7" w:hRule="exact"/>
          <w:jc w:val="center"/>
        </w:trPr>
        <w:tc>
          <w:tcPr>
            <w:tcW w:w="791" w:type="dxa"/>
            <w:vAlign w:val="center"/>
          </w:tcPr>
          <w:p w14:paraId="2604F19D">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32</w:t>
            </w:r>
          </w:p>
        </w:tc>
        <w:tc>
          <w:tcPr>
            <w:tcW w:w="1418" w:type="dxa"/>
            <w:vMerge w:val="continue"/>
            <w:vAlign w:val="center"/>
          </w:tcPr>
          <w:p w14:paraId="4829FAAA">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17DE8EA4">
            <w:pPr>
              <w:widowControl/>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紧急切断装置未定期调试，功能失效</w:t>
            </w:r>
          </w:p>
        </w:tc>
        <w:tc>
          <w:tcPr>
            <w:tcW w:w="4649" w:type="dxa"/>
            <w:vAlign w:val="center"/>
          </w:tcPr>
          <w:p w14:paraId="00FA40A2">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w:t>
            </w:r>
            <w:r>
              <w:rPr>
                <w:rFonts w:ascii="宋体" w:hAnsi="宋体" w:eastAsia="宋体" w:cs="宋体"/>
                <w:b w:val="0"/>
                <w:sz w:val="24"/>
                <w:szCs w:val="24"/>
              </w:rPr>
              <w:t>.</w:t>
            </w:r>
            <w:r>
              <w:rPr>
                <w:rFonts w:hint="eastAsia" w:ascii="宋体" w:hAnsi="宋体" w:eastAsia="宋体" w:cs="宋体"/>
                <w:b w:val="0"/>
                <w:sz w:val="24"/>
                <w:szCs w:val="24"/>
              </w:rPr>
              <w:t>定期对</w:t>
            </w:r>
            <w:r>
              <w:rPr>
                <w:rFonts w:hint="eastAsia" w:ascii="宋体" w:hAnsi="宋体" w:eastAsia="宋体" w:cs="Times New Roman"/>
                <w:b w:val="0"/>
                <w:sz w:val="24"/>
                <w:szCs w:val="24"/>
              </w:rPr>
              <w:t>紧急切断装置调试，确保功能有效；</w:t>
            </w:r>
            <w:r>
              <w:rPr>
                <w:rFonts w:ascii="宋体" w:hAnsi="宋体" w:eastAsia="宋体" w:cs="Times New Roman"/>
                <w:b w:val="0"/>
                <w:sz w:val="24"/>
                <w:szCs w:val="24"/>
              </w:rPr>
              <w:br w:type="textWrapping"/>
            </w:r>
            <w:r>
              <w:rPr>
                <w:rFonts w:hint="eastAsia" w:ascii="宋体" w:hAnsi="宋体" w:eastAsia="宋体" w:cs="Times New Roman"/>
                <w:b w:val="0"/>
                <w:sz w:val="24"/>
                <w:szCs w:val="24"/>
              </w:rPr>
              <w:t>2</w:t>
            </w:r>
            <w:r>
              <w:rPr>
                <w:rFonts w:ascii="宋体" w:hAnsi="宋体" w:eastAsia="宋体" w:cs="Times New Roman"/>
                <w:b w:val="0"/>
                <w:sz w:val="24"/>
                <w:szCs w:val="24"/>
              </w:rPr>
              <w:t>.</w:t>
            </w:r>
            <w:r>
              <w:rPr>
                <w:rFonts w:hint="eastAsia" w:ascii="宋体" w:hAnsi="宋体" w:eastAsia="宋体" w:cs="Times New Roman"/>
                <w:b w:val="0"/>
                <w:sz w:val="24"/>
                <w:szCs w:val="24"/>
              </w:rPr>
              <w:t>必要时对远控联锁功能进行测试</w:t>
            </w:r>
          </w:p>
        </w:tc>
        <w:tc>
          <w:tcPr>
            <w:tcW w:w="1425" w:type="dxa"/>
            <w:vAlign w:val="center"/>
          </w:tcPr>
          <w:p w14:paraId="6869F8FF">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周排查</w:t>
            </w:r>
          </w:p>
        </w:tc>
        <w:tc>
          <w:tcPr>
            <w:tcW w:w="1290" w:type="dxa"/>
            <w:vAlign w:val="center"/>
          </w:tcPr>
          <w:p w14:paraId="0FB2DE99">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安全总监</w:t>
            </w:r>
          </w:p>
        </w:tc>
        <w:tc>
          <w:tcPr>
            <w:tcW w:w="934" w:type="dxa"/>
            <w:vAlign w:val="center"/>
          </w:tcPr>
          <w:p w14:paraId="04587CFA">
            <w:pPr>
              <w:spacing w:line="320" w:lineRule="exact"/>
              <w:ind w:left="0" w:leftChars="0" w:firstLine="0" w:firstLineChars="0"/>
              <w:jc w:val="left"/>
              <w:rPr>
                <w:rFonts w:ascii="微软雅黑" w:hAnsi="微软雅黑" w:eastAsia="微软雅黑" w:cs="Times New Roman"/>
                <w:b w:val="0"/>
                <w:sz w:val="18"/>
                <w:szCs w:val="18"/>
              </w:rPr>
            </w:pPr>
          </w:p>
        </w:tc>
      </w:tr>
      <w:tr w14:paraId="10D7F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791" w:type="dxa"/>
            <w:vAlign w:val="center"/>
          </w:tcPr>
          <w:p w14:paraId="1D6B0DB8">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33</w:t>
            </w:r>
          </w:p>
        </w:tc>
        <w:tc>
          <w:tcPr>
            <w:tcW w:w="1418" w:type="dxa"/>
            <w:vMerge w:val="continue"/>
            <w:tcBorders>
              <w:bottom w:val="single" w:color="auto" w:sz="4" w:space="0"/>
            </w:tcBorders>
            <w:vAlign w:val="center"/>
          </w:tcPr>
          <w:p w14:paraId="7123E424">
            <w:pPr>
              <w:spacing w:line="320" w:lineRule="exact"/>
              <w:ind w:left="0" w:leftChars="0" w:firstLine="0" w:firstLineChars="0"/>
              <w:jc w:val="center"/>
              <w:rPr>
                <w:rFonts w:ascii="宋体" w:hAnsi="宋体" w:eastAsia="宋体" w:cs="Times New Roman"/>
                <w:b w:val="0"/>
                <w:kern w:val="0"/>
                <w:sz w:val="24"/>
                <w:szCs w:val="24"/>
              </w:rPr>
            </w:pPr>
          </w:p>
        </w:tc>
        <w:tc>
          <w:tcPr>
            <w:tcW w:w="3661" w:type="dxa"/>
            <w:vAlign w:val="center"/>
          </w:tcPr>
          <w:p w14:paraId="155ABC26">
            <w:pPr>
              <w:widowControl/>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测温仪表未定期校验</w:t>
            </w:r>
          </w:p>
        </w:tc>
        <w:tc>
          <w:tcPr>
            <w:tcW w:w="4649" w:type="dxa"/>
            <w:vAlign w:val="center"/>
          </w:tcPr>
          <w:p w14:paraId="2973857D">
            <w:pPr>
              <w:widowControl/>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宋体"/>
                <w:b w:val="0"/>
                <w:sz w:val="24"/>
                <w:szCs w:val="24"/>
              </w:rPr>
              <w:t>制定测温仪表定期校验计划并实施</w:t>
            </w:r>
          </w:p>
        </w:tc>
        <w:tc>
          <w:tcPr>
            <w:tcW w:w="1425" w:type="dxa"/>
            <w:tcBorders>
              <w:bottom w:val="single" w:color="auto" w:sz="4" w:space="0"/>
            </w:tcBorders>
            <w:vAlign w:val="center"/>
          </w:tcPr>
          <w:p w14:paraId="4B55672C">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月调度</w:t>
            </w:r>
          </w:p>
        </w:tc>
        <w:tc>
          <w:tcPr>
            <w:tcW w:w="1290" w:type="dxa"/>
            <w:tcBorders>
              <w:bottom w:val="single" w:color="auto" w:sz="4" w:space="0"/>
            </w:tcBorders>
            <w:vAlign w:val="center"/>
          </w:tcPr>
          <w:p w14:paraId="2309C3F0">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主要负责人</w:t>
            </w:r>
          </w:p>
        </w:tc>
        <w:tc>
          <w:tcPr>
            <w:tcW w:w="934" w:type="dxa"/>
            <w:vAlign w:val="center"/>
          </w:tcPr>
          <w:p w14:paraId="30012771">
            <w:pPr>
              <w:spacing w:line="320" w:lineRule="exact"/>
              <w:ind w:left="0" w:leftChars="0" w:firstLine="0" w:firstLineChars="0"/>
              <w:jc w:val="left"/>
              <w:rPr>
                <w:rFonts w:ascii="微软雅黑" w:hAnsi="微软雅黑" w:eastAsia="微软雅黑" w:cs="Times New Roman"/>
                <w:b w:val="0"/>
                <w:sz w:val="18"/>
                <w:szCs w:val="18"/>
              </w:rPr>
            </w:pPr>
          </w:p>
        </w:tc>
      </w:tr>
      <w:tr w14:paraId="15A42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110F11A9">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4</w:t>
            </w:r>
          </w:p>
        </w:tc>
        <w:tc>
          <w:tcPr>
            <w:tcW w:w="1418" w:type="dxa"/>
            <w:vMerge w:val="restart"/>
            <w:vAlign w:val="center"/>
          </w:tcPr>
          <w:p w14:paraId="7C158042">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环境</w:t>
            </w:r>
          </w:p>
        </w:tc>
        <w:tc>
          <w:tcPr>
            <w:tcW w:w="3661" w:type="dxa"/>
            <w:vAlign w:val="center"/>
          </w:tcPr>
          <w:p w14:paraId="7A5601A9">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排放口设置不符合要求</w:t>
            </w:r>
          </w:p>
        </w:tc>
        <w:tc>
          <w:tcPr>
            <w:tcW w:w="4649" w:type="dxa"/>
            <w:vAlign w:val="center"/>
          </w:tcPr>
          <w:p w14:paraId="7C053D24">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排放口设置应符合相应规定</w:t>
            </w:r>
          </w:p>
        </w:tc>
        <w:tc>
          <w:tcPr>
            <w:tcW w:w="1425" w:type="dxa"/>
            <w:vAlign w:val="center"/>
          </w:tcPr>
          <w:p w14:paraId="08131C2E">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周排查</w:t>
            </w:r>
          </w:p>
        </w:tc>
        <w:tc>
          <w:tcPr>
            <w:tcW w:w="1290" w:type="dxa"/>
            <w:vAlign w:val="center"/>
          </w:tcPr>
          <w:p w14:paraId="62CF1F3D">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安全总监</w:t>
            </w:r>
          </w:p>
        </w:tc>
        <w:tc>
          <w:tcPr>
            <w:tcW w:w="934" w:type="dxa"/>
            <w:vAlign w:val="center"/>
          </w:tcPr>
          <w:p w14:paraId="7E21F4AB">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632E2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exact"/>
          <w:jc w:val="center"/>
        </w:trPr>
        <w:tc>
          <w:tcPr>
            <w:tcW w:w="791" w:type="dxa"/>
            <w:vAlign w:val="center"/>
          </w:tcPr>
          <w:p w14:paraId="3EE70B07">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35</w:t>
            </w:r>
          </w:p>
        </w:tc>
        <w:tc>
          <w:tcPr>
            <w:tcW w:w="1418" w:type="dxa"/>
            <w:vMerge w:val="continue"/>
            <w:vAlign w:val="center"/>
          </w:tcPr>
          <w:p w14:paraId="5E579A84">
            <w:pPr>
              <w:widowControl/>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5043EC8D">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压力容器的安全距离、安全防护措施不符合要求</w:t>
            </w:r>
          </w:p>
        </w:tc>
        <w:tc>
          <w:tcPr>
            <w:tcW w:w="4649" w:type="dxa"/>
            <w:vAlign w:val="center"/>
          </w:tcPr>
          <w:p w14:paraId="756C51E3">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与特种设备安全相关的建筑物、附属设施，应当符合有关法律、行政法规和标准的要求</w:t>
            </w:r>
          </w:p>
        </w:tc>
        <w:tc>
          <w:tcPr>
            <w:tcW w:w="1425" w:type="dxa"/>
            <w:vAlign w:val="center"/>
          </w:tcPr>
          <w:p w14:paraId="2163922A">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月调度</w:t>
            </w:r>
          </w:p>
        </w:tc>
        <w:tc>
          <w:tcPr>
            <w:tcW w:w="1290" w:type="dxa"/>
            <w:vAlign w:val="center"/>
          </w:tcPr>
          <w:p w14:paraId="46CC208D">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主要负责人</w:t>
            </w:r>
          </w:p>
        </w:tc>
        <w:tc>
          <w:tcPr>
            <w:tcW w:w="934" w:type="dxa"/>
            <w:vAlign w:val="center"/>
          </w:tcPr>
          <w:p w14:paraId="39FB267B">
            <w:pPr>
              <w:spacing w:line="320" w:lineRule="exact"/>
              <w:ind w:left="0" w:leftChars="0" w:firstLine="0" w:firstLineChars="0"/>
              <w:jc w:val="left"/>
              <w:rPr>
                <w:rFonts w:ascii="微软雅黑" w:hAnsi="微软雅黑" w:eastAsia="微软雅黑" w:cs="Times New Roman"/>
                <w:b w:val="0"/>
                <w:sz w:val="18"/>
                <w:szCs w:val="18"/>
                <w:highlight w:val="yellow"/>
              </w:rPr>
            </w:pPr>
          </w:p>
        </w:tc>
      </w:tr>
      <w:tr w14:paraId="17B03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791" w:type="dxa"/>
            <w:vAlign w:val="center"/>
          </w:tcPr>
          <w:p w14:paraId="2224539E">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6</w:t>
            </w:r>
          </w:p>
        </w:tc>
        <w:tc>
          <w:tcPr>
            <w:tcW w:w="1418" w:type="dxa"/>
            <w:vAlign w:val="center"/>
          </w:tcPr>
          <w:p w14:paraId="4E55953E">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政府监督、通报、预警</w:t>
            </w:r>
          </w:p>
        </w:tc>
        <w:tc>
          <w:tcPr>
            <w:tcW w:w="3661" w:type="dxa"/>
            <w:vAlign w:val="center"/>
          </w:tcPr>
          <w:p w14:paraId="2973A7D7">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发现不合格项</w:t>
            </w:r>
          </w:p>
        </w:tc>
        <w:tc>
          <w:tcPr>
            <w:tcW w:w="4649" w:type="dxa"/>
            <w:vAlign w:val="center"/>
          </w:tcPr>
          <w:p w14:paraId="408F346D">
            <w:pPr>
              <w:spacing w:line="320" w:lineRule="exact"/>
              <w:ind w:left="0" w:leftChars="0" w:firstLine="0" w:firstLineChars="0"/>
              <w:jc w:val="left"/>
              <w:rPr>
                <w:rFonts w:ascii="宋体" w:hAnsi="宋体" w:eastAsia="宋体" w:cs="Times New Roman"/>
                <w:b w:val="0"/>
                <w:kern w:val="0"/>
                <w:sz w:val="24"/>
                <w:szCs w:val="24"/>
              </w:rPr>
            </w:pPr>
            <w:r>
              <w:rPr>
                <w:rFonts w:ascii="宋体" w:hAnsi="宋体" w:eastAsia="宋体" w:cs="Times New Roman"/>
                <w:b w:val="0"/>
                <w:kern w:val="0"/>
                <w:sz w:val="24"/>
                <w:szCs w:val="24"/>
              </w:rPr>
              <w:t>记录，整改</w:t>
            </w:r>
          </w:p>
        </w:tc>
        <w:tc>
          <w:tcPr>
            <w:tcW w:w="1425" w:type="dxa"/>
            <w:vAlign w:val="center"/>
          </w:tcPr>
          <w:p w14:paraId="57C5690E">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周排查</w:t>
            </w:r>
          </w:p>
        </w:tc>
        <w:tc>
          <w:tcPr>
            <w:tcW w:w="1290" w:type="dxa"/>
            <w:vAlign w:val="center"/>
          </w:tcPr>
          <w:p w14:paraId="6B3ADF85">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安全总监</w:t>
            </w:r>
          </w:p>
        </w:tc>
        <w:tc>
          <w:tcPr>
            <w:tcW w:w="934" w:type="dxa"/>
            <w:vAlign w:val="center"/>
          </w:tcPr>
          <w:p w14:paraId="5EDC8724">
            <w:pPr>
              <w:spacing w:line="320" w:lineRule="exact"/>
              <w:ind w:left="0" w:leftChars="0" w:firstLine="0" w:firstLineChars="0"/>
              <w:jc w:val="left"/>
              <w:rPr>
                <w:rFonts w:ascii="微软雅黑" w:hAnsi="微软雅黑" w:eastAsia="微软雅黑" w:cs="Times New Roman"/>
                <w:b w:val="0"/>
                <w:sz w:val="18"/>
                <w:szCs w:val="18"/>
              </w:rPr>
            </w:pPr>
          </w:p>
        </w:tc>
      </w:tr>
      <w:tr w14:paraId="34172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791" w:type="dxa"/>
            <w:vAlign w:val="center"/>
          </w:tcPr>
          <w:p w14:paraId="26A38E80">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7</w:t>
            </w:r>
          </w:p>
        </w:tc>
        <w:tc>
          <w:tcPr>
            <w:tcW w:w="1418" w:type="dxa"/>
            <w:vAlign w:val="center"/>
          </w:tcPr>
          <w:p w14:paraId="224445CB">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投诉举报</w:t>
            </w:r>
          </w:p>
        </w:tc>
        <w:tc>
          <w:tcPr>
            <w:tcW w:w="3661" w:type="dxa"/>
            <w:vAlign w:val="center"/>
          </w:tcPr>
          <w:p w14:paraId="58985B0C">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发现不合格项</w:t>
            </w:r>
          </w:p>
        </w:tc>
        <w:tc>
          <w:tcPr>
            <w:tcW w:w="4649" w:type="dxa"/>
            <w:vAlign w:val="center"/>
          </w:tcPr>
          <w:p w14:paraId="5145F541">
            <w:pPr>
              <w:spacing w:line="320" w:lineRule="exact"/>
              <w:ind w:left="0" w:leftChars="0" w:firstLine="0" w:firstLineChars="0"/>
              <w:jc w:val="left"/>
              <w:rPr>
                <w:rFonts w:ascii="宋体" w:hAnsi="宋体" w:eastAsia="宋体" w:cs="Times New Roman"/>
                <w:b w:val="0"/>
                <w:kern w:val="0"/>
                <w:sz w:val="24"/>
                <w:szCs w:val="24"/>
              </w:rPr>
            </w:pPr>
            <w:r>
              <w:rPr>
                <w:rFonts w:ascii="宋体" w:hAnsi="宋体" w:eastAsia="宋体" w:cs="Times New Roman"/>
                <w:b w:val="0"/>
                <w:kern w:val="0"/>
                <w:sz w:val="24"/>
                <w:szCs w:val="24"/>
              </w:rPr>
              <w:t>记录，整改，消除安全隐患</w:t>
            </w:r>
          </w:p>
        </w:tc>
        <w:tc>
          <w:tcPr>
            <w:tcW w:w="1425" w:type="dxa"/>
            <w:vAlign w:val="center"/>
          </w:tcPr>
          <w:p w14:paraId="627C949B">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日管控</w:t>
            </w:r>
          </w:p>
        </w:tc>
        <w:tc>
          <w:tcPr>
            <w:tcW w:w="1290" w:type="dxa"/>
            <w:vAlign w:val="center"/>
          </w:tcPr>
          <w:p w14:paraId="3BA55F5A">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安全员</w:t>
            </w:r>
          </w:p>
        </w:tc>
        <w:tc>
          <w:tcPr>
            <w:tcW w:w="934" w:type="dxa"/>
            <w:vAlign w:val="center"/>
          </w:tcPr>
          <w:p w14:paraId="6795EB0B">
            <w:pPr>
              <w:spacing w:line="320" w:lineRule="exact"/>
              <w:ind w:left="0" w:leftChars="0" w:firstLine="0" w:firstLineChars="0"/>
              <w:jc w:val="left"/>
              <w:rPr>
                <w:rFonts w:ascii="微软雅黑" w:hAnsi="微软雅黑" w:eastAsia="微软雅黑" w:cs="Times New Roman"/>
                <w:b w:val="0"/>
                <w:sz w:val="18"/>
                <w:szCs w:val="18"/>
              </w:rPr>
            </w:pPr>
          </w:p>
        </w:tc>
      </w:tr>
      <w:tr w14:paraId="227A2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791" w:type="dxa"/>
            <w:vAlign w:val="center"/>
          </w:tcPr>
          <w:p w14:paraId="4B85696D">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38</w:t>
            </w:r>
          </w:p>
        </w:tc>
        <w:tc>
          <w:tcPr>
            <w:tcW w:w="1418" w:type="dxa"/>
            <w:vAlign w:val="center"/>
          </w:tcPr>
          <w:p w14:paraId="30306052">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舆情信息</w:t>
            </w:r>
          </w:p>
        </w:tc>
        <w:tc>
          <w:tcPr>
            <w:tcW w:w="3661" w:type="dxa"/>
            <w:vAlign w:val="center"/>
          </w:tcPr>
          <w:p w14:paraId="2C8C675B">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发现不合格项</w:t>
            </w:r>
          </w:p>
        </w:tc>
        <w:tc>
          <w:tcPr>
            <w:tcW w:w="4649" w:type="dxa"/>
            <w:vAlign w:val="center"/>
          </w:tcPr>
          <w:p w14:paraId="0F295AAB">
            <w:pPr>
              <w:spacing w:line="320" w:lineRule="exact"/>
              <w:ind w:left="0" w:leftChars="0" w:firstLine="0" w:firstLineChars="0"/>
              <w:jc w:val="left"/>
              <w:rPr>
                <w:rFonts w:ascii="宋体" w:hAnsi="宋体" w:eastAsia="宋体" w:cs="Times New Roman"/>
                <w:b w:val="0"/>
                <w:kern w:val="0"/>
                <w:sz w:val="24"/>
                <w:szCs w:val="24"/>
              </w:rPr>
            </w:pPr>
            <w:r>
              <w:rPr>
                <w:rFonts w:ascii="宋体" w:hAnsi="宋体" w:eastAsia="宋体" w:cs="Times New Roman"/>
                <w:b w:val="0"/>
                <w:kern w:val="0"/>
                <w:sz w:val="24"/>
                <w:szCs w:val="24"/>
              </w:rPr>
              <w:t>记录，整改</w:t>
            </w:r>
          </w:p>
        </w:tc>
        <w:tc>
          <w:tcPr>
            <w:tcW w:w="1425" w:type="dxa"/>
            <w:vAlign w:val="center"/>
          </w:tcPr>
          <w:p w14:paraId="5E72B4D9">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日管控</w:t>
            </w:r>
          </w:p>
        </w:tc>
        <w:tc>
          <w:tcPr>
            <w:tcW w:w="1290" w:type="dxa"/>
            <w:vAlign w:val="center"/>
          </w:tcPr>
          <w:p w14:paraId="0180D017">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安全员</w:t>
            </w:r>
          </w:p>
        </w:tc>
        <w:tc>
          <w:tcPr>
            <w:tcW w:w="934" w:type="dxa"/>
            <w:vAlign w:val="center"/>
          </w:tcPr>
          <w:p w14:paraId="33E073E0">
            <w:pPr>
              <w:spacing w:line="320" w:lineRule="exact"/>
              <w:ind w:left="0" w:leftChars="0" w:firstLine="0" w:firstLineChars="0"/>
              <w:jc w:val="left"/>
              <w:rPr>
                <w:rFonts w:ascii="微软雅黑" w:hAnsi="微软雅黑" w:eastAsia="微软雅黑" w:cs="Times New Roman"/>
                <w:b w:val="0"/>
                <w:sz w:val="18"/>
                <w:szCs w:val="18"/>
              </w:rPr>
            </w:pPr>
          </w:p>
        </w:tc>
      </w:tr>
      <w:tr w14:paraId="21E94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220A9ABE">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39</w:t>
            </w:r>
          </w:p>
        </w:tc>
        <w:tc>
          <w:tcPr>
            <w:tcW w:w="1418" w:type="dxa"/>
            <w:vAlign w:val="center"/>
          </w:tcPr>
          <w:p w14:paraId="4163707F">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快开门式压力容器专项</w:t>
            </w:r>
          </w:p>
        </w:tc>
        <w:tc>
          <w:tcPr>
            <w:tcW w:w="3661" w:type="dxa"/>
            <w:vAlign w:val="center"/>
          </w:tcPr>
          <w:p w14:paraId="3833B394">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快开门式压力容器安全联锁装置不符合要求</w:t>
            </w:r>
          </w:p>
        </w:tc>
        <w:tc>
          <w:tcPr>
            <w:tcW w:w="4649" w:type="dxa"/>
            <w:vAlign w:val="center"/>
          </w:tcPr>
          <w:p w14:paraId="7EDE8748">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1</w:t>
            </w:r>
            <w:r>
              <w:rPr>
                <w:rFonts w:ascii="宋体" w:hAnsi="宋体" w:eastAsia="宋体" w:cs="宋体"/>
                <w:b w:val="0"/>
                <w:sz w:val="24"/>
                <w:szCs w:val="24"/>
              </w:rPr>
              <w:t>.</w:t>
            </w:r>
            <w:r>
              <w:rPr>
                <w:rFonts w:hint="eastAsia" w:ascii="宋体" w:hAnsi="宋体" w:eastAsia="宋体" w:cs="宋体"/>
                <w:b w:val="0"/>
                <w:sz w:val="24"/>
                <w:szCs w:val="24"/>
              </w:rPr>
              <w:t>确保装置完好；</w:t>
            </w:r>
            <w:r>
              <w:rPr>
                <w:rFonts w:ascii="宋体" w:hAnsi="宋体" w:eastAsia="宋体" w:cs="宋体"/>
                <w:b w:val="0"/>
                <w:sz w:val="24"/>
                <w:szCs w:val="24"/>
              </w:rPr>
              <w:br w:type="textWrapping"/>
            </w:r>
            <w:r>
              <w:rPr>
                <w:rFonts w:hint="eastAsia" w:ascii="宋体" w:hAnsi="宋体" w:eastAsia="宋体" w:cs="宋体"/>
                <w:b w:val="0"/>
                <w:sz w:val="24"/>
                <w:szCs w:val="24"/>
              </w:rPr>
              <w:t>2</w:t>
            </w:r>
            <w:r>
              <w:rPr>
                <w:rFonts w:ascii="宋体" w:hAnsi="宋体" w:eastAsia="宋体" w:cs="宋体"/>
                <w:b w:val="0"/>
                <w:sz w:val="24"/>
                <w:szCs w:val="24"/>
              </w:rPr>
              <w:t>.</w:t>
            </w:r>
            <w:r>
              <w:rPr>
                <w:rFonts w:hint="eastAsia" w:ascii="宋体" w:hAnsi="宋体" w:eastAsia="宋体" w:cs="宋体"/>
                <w:b w:val="0"/>
                <w:sz w:val="24"/>
                <w:szCs w:val="24"/>
              </w:rPr>
              <w:t>调试确认联锁功能正常；</w:t>
            </w:r>
            <w:r>
              <w:rPr>
                <w:rFonts w:ascii="宋体" w:hAnsi="宋体" w:eastAsia="宋体" w:cs="宋体"/>
                <w:b w:val="0"/>
                <w:sz w:val="24"/>
                <w:szCs w:val="24"/>
              </w:rPr>
              <w:br w:type="textWrapping"/>
            </w:r>
            <w:r>
              <w:rPr>
                <w:rFonts w:hint="eastAsia" w:ascii="宋体" w:hAnsi="宋体" w:eastAsia="宋体" w:cs="宋体"/>
                <w:b w:val="0"/>
                <w:sz w:val="24"/>
                <w:szCs w:val="24"/>
              </w:rPr>
              <w:t>3</w:t>
            </w:r>
            <w:r>
              <w:rPr>
                <w:rFonts w:ascii="宋体" w:hAnsi="宋体" w:eastAsia="宋体" w:cs="宋体"/>
                <w:b w:val="0"/>
                <w:sz w:val="24"/>
                <w:szCs w:val="24"/>
              </w:rPr>
              <w:t>.</w:t>
            </w:r>
            <w:r>
              <w:rPr>
                <w:rFonts w:hint="eastAsia" w:ascii="宋体" w:hAnsi="宋体" w:eastAsia="宋体" w:cs="宋体"/>
                <w:b w:val="0"/>
                <w:sz w:val="24"/>
                <w:szCs w:val="24"/>
              </w:rPr>
              <w:t>发现异常情况及时处理</w:t>
            </w:r>
          </w:p>
        </w:tc>
        <w:tc>
          <w:tcPr>
            <w:tcW w:w="1425" w:type="dxa"/>
            <w:vMerge w:val="restart"/>
            <w:vAlign w:val="center"/>
          </w:tcPr>
          <w:p w14:paraId="2D4EBE82">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vMerge w:val="restart"/>
            <w:vAlign w:val="center"/>
          </w:tcPr>
          <w:p w14:paraId="46931376">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3F957CE7">
            <w:pPr>
              <w:spacing w:line="320" w:lineRule="exact"/>
              <w:ind w:left="0" w:leftChars="0" w:firstLine="0" w:firstLineChars="0"/>
              <w:jc w:val="left"/>
              <w:rPr>
                <w:rFonts w:ascii="微软雅黑" w:hAnsi="微软雅黑" w:eastAsia="微软雅黑" w:cs="Times New Roman"/>
                <w:b w:val="0"/>
                <w:sz w:val="18"/>
                <w:szCs w:val="18"/>
              </w:rPr>
            </w:pPr>
          </w:p>
        </w:tc>
      </w:tr>
      <w:tr w14:paraId="30B20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4" w:hRule="exact"/>
          <w:jc w:val="center"/>
        </w:trPr>
        <w:tc>
          <w:tcPr>
            <w:tcW w:w="791" w:type="dxa"/>
            <w:vAlign w:val="center"/>
          </w:tcPr>
          <w:p w14:paraId="3D90EFA7">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40</w:t>
            </w:r>
          </w:p>
        </w:tc>
        <w:tc>
          <w:tcPr>
            <w:tcW w:w="1418" w:type="dxa"/>
            <w:vMerge w:val="restart"/>
            <w:vAlign w:val="center"/>
          </w:tcPr>
          <w:p w14:paraId="1C6AEFCC">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医用氧舱专项</w:t>
            </w:r>
          </w:p>
        </w:tc>
        <w:tc>
          <w:tcPr>
            <w:tcW w:w="3661" w:type="dxa"/>
            <w:vAlign w:val="center"/>
          </w:tcPr>
          <w:p w14:paraId="285F900C">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医用氧气加压氧舱舱内导静电装置的连接失效</w:t>
            </w:r>
          </w:p>
        </w:tc>
        <w:tc>
          <w:tcPr>
            <w:tcW w:w="4649" w:type="dxa"/>
            <w:vAlign w:val="center"/>
          </w:tcPr>
          <w:p w14:paraId="63A1F82D">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及时修复或更换</w:t>
            </w:r>
          </w:p>
        </w:tc>
        <w:tc>
          <w:tcPr>
            <w:tcW w:w="1425" w:type="dxa"/>
            <w:vMerge w:val="continue"/>
            <w:vAlign w:val="center"/>
          </w:tcPr>
          <w:p w14:paraId="36851675">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5A38980E">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68F2E63F">
            <w:pPr>
              <w:spacing w:line="320" w:lineRule="exact"/>
              <w:ind w:left="0" w:leftChars="0" w:firstLine="0" w:firstLineChars="0"/>
              <w:jc w:val="left"/>
              <w:rPr>
                <w:rFonts w:ascii="微软雅黑" w:hAnsi="微软雅黑" w:eastAsia="微软雅黑" w:cs="Times New Roman"/>
                <w:b w:val="0"/>
                <w:sz w:val="18"/>
                <w:szCs w:val="18"/>
              </w:rPr>
            </w:pPr>
          </w:p>
        </w:tc>
      </w:tr>
      <w:tr w14:paraId="39578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exact"/>
          <w:jc w:val="center"/>
        </w:trPr>
        <w:tc>
          <w:tcPr>
            <w:tcW w:w="791" w:type="dxa"/>
            <w:vAlign w:val="center"/>
          </w:tcPr>
          <w:p w14:paraId="5E88A898">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41</w:t>
            </w:r>
          </w:p>
        </w:tc>
        <w:tc>
          <w:tcPr>
            <w:tcW w:w="1418" w:type="dxa"/>
            <w:vMerge w:val="continue"/>
            <w:vAlign w:val="center"/>
          </w:tcPr>
          <w:p w14:paraId="578024FA">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4D793800">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有机玻璃材料的划伤、劣化、银纹等缺陷以及泄漏</w:t>
            </w:r>
          </w:p>
        </w:tc>
        <w:tc>
          <w:tcPr>
            <w:tcW w:w="4649" w:type="dxa"/>
            <w:vAlign w:val="center"/>
          </w:tcPr>
          <w:p w14:paraId="11014969">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及时修复或更换</w:t>
            </w:r>
          </w:p>
        </w:tc>
        <w:tc>
          <w:tcPr>
            <w:tcW w:w="1425" w:type="dxa"/>
            <w:vMerge w:val="continue"/>
            <w:vAlign w:val="center"/>
          </w:tcPr>
          <w:p w14:paraId="45B724F7">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14CE5DE0">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0304C2D2">
            <w:pPr>
              <w:spacing w:line="320" w:lineRule="exact"/>
              <w:ind w:left="0" w:leftChars="0" w:firstLine="0" w:firstLineChars="0"/>
              <w:jc w:val="left"/>
              <w:rPr>
                <w:rFonts w:ascii="微软雅黑" w:hAnsi="微软雅黑" w:eastAsia="微软雅黑" w:cs="Times New Roman"/>
                <w:b w:val="0"/>
                <w:sz w:val="18"/>
                <w:szCs w:val="18"/>
              </w:rPr>
            </w:pPr>
          </w:p>
        </w:tc>
      </w:tr>
      <w:tr w14:paraId="1EFA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2DFF2B36">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42</w:t>
            </w:r>
          </w:p>
        </w:tc>
        <w:tc>
          <w:tcPr>
            <w:tcW w:w="1418" w:type="dxa"/>
            <w:vAlign w:val="center"/>
          </w:tcPr>
          <w:p w14:paraId="3E2A3F6E">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医用氧舱专项</w:t>
            </w:r>
          </w:p>
        </w:tc>
        <w:tc>
          <w:tcPr>
            <w:tcW w:w="3661" w:type="dxa"/>
            <w:vAlign w:val="center"/>
          </w:tcPr>
          <w:p w14:paraId="1DC00A11">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照明装置（含应急照明装置）、视频监控装置、通讯对讲装置、应急呼叫装置、测氧仪、温度调节和加湿装置失效</w:t>
            </w:r>
          </w:p>
        </w:tc>
        <w:tc>
          <w:tcPr>
            <w:tcW w:w="4649" w:type="dxa"/>
            <w:vAlign w:val="center"/>
          </w:tcPr>
          <w:p w14:paraId="4619BEEF">
            <w:pPr>
              <w:spacing w:line="320" w:lineRule="exact"/>
              <w:ind w:left="0" w:leftChars="0" w:firstLine="0" w:firstLineChars="0"/>
              <w:jc w:val="left"/>
              <w:rPr>
                <w:rFonts w:ascii="宋体" w:hAnsi="宋体" w:eastAsia="宋体" w:cs="宋体"/>
                <w:b w:val="0"/>
                <w:sz w:val="24"/>
                <w:szCs w:val="24"/>
              </w:rPr>
            </w:pPr>
            <w:r>
              <w:rPr>
                <w:rFonts w:hint="eastAsia" w:ascii="宋体" w:hAnsi="宋体" w:eastAsia="宋体" w:cs="宋体"/>
                <w:b w:val="0"/>
                <w:sz w:val="24"/>
                <w:szCs w:val="24"/>
              </w:rPr>
              <w:t>及时修复或更换</w:t>
            </w:r>
          </w:p>
        </w:tc>
        <w:tc>
          <w:tcPr>
            <w:tcW w:w="1425" w:type="dxa"/>
            <w:vAlign w:val="center"/>
          </w:tcPr>
          <w:p w14:paraId="18577180">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vAlign w:val="center"/>
          </w:tcPr>
          <w:p w14:paraId="07AAF46E">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336DB265">
            <w:pPr>
              <w:spacing w:line="320" w:lineRule="exact"/>
              <w:ind w:left="0" w:leftChars="0" w:firstLine="0" w:firstLineChars="0"/>
              <w:jc w:val="left"/>
              <w:rPr>
                <w:rFonts w:ascii="微软雅黑" w:hAnsi="微软雅黑" w:eastAsia="微软雅黑" w:cs="Times New Roman"/>
                <w:b w:val="0"/>
                <w:sz w:val="18"/>
                <w:szCs w:val="18"/>
              </w:rPr>
            </w:pPr>
          </w:p>
        </w:tc>
      </w:tr>
      <w:tr w14:paraId="57E36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exact"/>
          <w:jc w:val="center"/>
        </w:trPr>
        <w:tc>
          <w:tcPr>
            <w:tcW w:w="791" w:type="dxa"/>
            <w:vAlign w:val="center"/>
          </w:tcPr>
          <w:p w14:paraId="515A6D1F">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43</w:t>
            </w:r>
          </w:p>
        </w:tc>
        <w:tc>
          <w:tcPr>
            <w:tcW w:w="1418" w:type="dxa"/>
            <w:vMerge w:val="restart"/>
            <w:vAlign w:val="center"/>
          </w:tcPr>
          <w:p w14:paraId="570701FA">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移动式压力容器专项</w:t>
            </w:r>
          </w:p>
        </w:tc>
        <w:tc>
          <w:tcPr>
            <w:tcW w:w="3661" w:type="dxa"/>
            <w:vAlign w:val="center"/>
          </w:tcPr>
          <w:p w14:paraId="75070D6F">
            <w:pPr>
              <w:spacing w:line="320" w:lineRule="exact"/>
              <w:ind w:left="0" w:leftChars="0" w:firstLine="0" w:firstLineChars="0"/>
              <w:jc w:val="both"/>
              <w:rPr>
                <w:rFonts w:ascii="宋体" w:hAnsi="宋体" w:eastAsia="宋体" w:cs="Times New Roman"/>
                <w:b w:val="0"/>
                <w:spacing w:val="6"/>
                <w:sz w:val="24"/>
                <w:szCs w:val="24"/>
              </w:rPr>
            </w:pPr>
            <w:r>
              <w:rPr>
                <w:rFonts w:hint="eastAsia" w:ascii="宋体" w:hAnsi="宋体" w:eastAsia="宋体" w:cs="宋体"/>
                <w:b w:val="0"/>
                <w:bCs/>
                <w:sz w:val="24"/>
                <w:szCs w:val="24"/>
              </w:rPr>
              <w:t>每班配备充装人员及检查人员不符合要求</w:t>
            </w:r>
          </w:p>
        </w:tc>
        <w:tc>
          <w:tcPr>
            <w:tcW w:w="4649" w:type="dxa"/>
            <w:vAlign w:val="center"/>
          </w:tcPr>
          <w:p w14:paraId="31FD22A3">
            <w:pPr>
              <w:spacing w:line="320" w:lineRule="exact"/>
              <w:ind w:left="0" w:leftChars="0" w:firstLine="0" w:firstLineChars="0"/>
              <w:jc w:val="both"/>
              <w:rPr>
                <w:rFonts w:ascii="宋体" w:hAnsi="宋体" w:eastAsia="宋体" w:cs="Times New Roman"/>
                <w:b w:val="0"/>
                <w:sz w:val="24"/>
                <w:szCs w:val="24"/>
              </w:rPr>
            </w:pPr>
            <w:r>
              <w:rPr>
                <w:rFonts w:hint="eastAsia" w:ascii="宋体" w:hAnsi="宋体" w:eastAsia="宋体" w:cs="宋体"/>
                <w:b w:val="0"/>
                <w:bCs/>
                <w:sz w:val="24"/>
                <w:szCs w:val="24"/>
              </w:rPr>
              <w:t>每班配备充装人员及检查人员符合相关规定</w:t>
            </w:r>
          </w:p>
        </w:tc>
        <w:tc>
          <w:tcPr>
            <w:tcW w:w="1425" w:type="dxa"/>
            <w:vMerge w:val="restart"/>
            <w:vAlign w:val="center"/>
          </w:tcPr>
          <w:p w14:paraId="59691B9F">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vMerge w:val="restart"/>
            <w:vAlign w:val="center"/>
          </w:tcPr>
          <w:p w14:paraId="34D4D86D">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00154807">
            <w:pPr>
              <w:spacing w:line="320" w:lineRule="exact"/>
              <w:ind w:left="0" w:leftChars="0" w:firstLine="0" w:firstLineChars="0"/>
              <w:jc w:val="both"/>
              <w:rPr>
                <w:rFonts w:ascii="微软雅黑" w:hAnsi="微软雅黑" w:eastAsia="微软雅黑" w:cs="Times New Roman"/>
                <w:b w:val="0"/>
                <w:sz w:val="18"/>
                <w:szCs w:val="18"/>
              </w:rPr>
            </w:pPr>
          </w:p>
        </w:tc>
      </w:tr>
      <w:tr w14:paraId="0C01C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6A983E4">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44</w:t>
            </w:r>
          </w:p>
        </w:tc>
        <w:tc>
          <w:tcPr>
            <w:tcW w:w="1418" w:type="dxa"/>
            <w:vMerge w:val="continue"/>
            <w:vAlign w:val="center"/>
          </w:tcPr>
          <w:p w14:paraId="08BD50F9">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7AA5306C">
            <w:pPr>
              <w:spacing w:line="320" w:lineRule="exact"/>
              <w:ind w:left="0" w:leftChars="0" w:firstLine="0" w:firstLineChars="0"/>
              <w:jc w:val="both"/>
              <w:rPr>
                <w:rFonts w:ascii="宋体" w:hAnsi="宋体" w:eastAsia="宋体" w:cs="宋体"/>
                <w:b w:val="0"/>
                <w:bCs/>
                <w:sz w:val="24"/>
                <w:szCs w:val="24"/>
              </w:rPr>
            </w:pPr>
            <w:r>
              <w:rPr>
                <w:rFonts w:hint="eastAsia" w:ascii="宋体" w:hAnsi="宋体" w:eastAsia="宋体" w:cs="宋体"/>
                <w:b w:val="0"/>
                <w:bCs/>
                <w:sz w:val="24"/>
                <w:szCs w:val="24"/>
              </w:rPr>
              <w:t>移动式压力容器卸载人员无特种设备作业人员资格</w:t>
            </w:r>
          </w:p>
        </w:tc>
        <w:tc>
          <w:tcPr>
            <w:tcW w:w="4649" w:type="dxa"/>
            <w:vAlign w:val="center"/>
          </w:tcPr>
          <w:p w14:paraId="45D6759A">
            <w:pPr>
              <w:spacing w:line="320" w:lineRule="exact"/>
              <w:ind w:left="0" w:leftChars="0" w:firstLine="0" w:firstLineChars="0"/>
              <w:jc w:val="both"/>
              <w:rPr>
                <w:rFonts w:ascii="宋体" w:hAnsi="宋体" w:eastAsia="宋体" w:cs="宋体"/>
                <w:b w:val="0"/>
                <w:bCs/>
                <w:sz w:val="24"/>
                <w:szCs w:val="24"/>
              </w:rPr>
            </w:pPr>
            <w:r>
              <w:rPr>
                <w:rFonts w:hint="eastAsia" w:ascii="宋体" w:hAnsi="宋体" w:eastAsia="宋体" w:cs="宋体"/>
                <w:b w:val="0"/>
                <w:bCs/>
                <w:sz w:val="24"/>
                <w:szCs w:val="24"/>
              </w:rPr>
              <w:t>按要求配备相应持证作业人员</w:t>
            </w:r>
          </w:p>
        </w:tc>
        <w:tc>
          <w:tcPr>
            <w:tcW w:w="1425" w:type="dxa"/>
            <w:vMerge w:val="continue"/>
            <w:vAlign w:val="center"/>
          </w:tcPr>
          <w:p w14:paraId="1D4B4196">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5F93411F">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7A88D4A3">
            <w:pPr>
              <w:spacing w:line="320" w:lineRule="exact"/>
              <w:ind w:left="0" w:leftChars="0" w:firstLine="0" w:firstLineChars="0"/>
              <w:jc w:val="left"/>
              <w:rPr>
                <w:rFonts w:ascii="微软雅黑" w:hAnsi="微软雅黑" w:eastAsia="微软雅黑" w:cs="Times New Roman"/>
                <w:b w:val="0"/>
                <w:sz w:val="18"/>
                <w:szCs w:val="18"/>
              </w:rPr>
            </w:pPr>
          </w:p>
        </w:tc>
      </w:tr>
      <w:tr w14:paraId="70F7E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B6397D6">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45</w:t>
            </w:r>
          </w:p>
        </w:tc>
        <w:tc>
          <w:tcPr>
            <w:tcW w:w="1418" w:type="dxa"/>
            <w:vMerge w:val="continue"/>
            <w:vAlign w:val="center"/>
          </w:tcPr>
          <w:p w14:paraId="3FD6D88C">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7ACF8C6D">
            <w:pPr>
              <w:spacing w:line="320" w:lineRule="exact"/>
              <w:ind w:left="0" w:leftChars="0" w:firstLine="0" w:firstLineChars="0"/>
              <w:jc w:val="both"/>
              <w:rPr>
                <w:rFonts w:ascii="宋体" w:hAnsi="宋体" w:eastAsia="宋体" w:cs="宋体"/>
                <w:b w:val="0"/>
                <w:bCs/>
                <w:sz w:val="24"/>
                <w:szCs w:val="24"/>
              </w:rPr>
            </w:pPr>
            <w:r>
              <w:rPr>
                <w:rFonts w:hint="eastAsia" w:ascii="宋体" w:hAnsi="宋体" w:eastAsia="宋体" w:cs="宋体"/>
                <w:b w:val="0"/>
                <w:bCs/>
                <w:sz w:val="24"/>
                <w:szCs w:val="24"/>
              </w:rPr>
              <w:t>使用移动式压力容器充装非使用登记介质</w:t>
            </w:r>
          </w:p>
        </w:tc>
        <w:tc>
          <w:tcPr>
            <w:tcW w:w="4649" w:type="dxa"/>
            <w:vAlign w:val="center"/>
          </w:tcPr>
          <w:p w14:paraId="605980F5">
            <w:pPr>
              <w:spacing w:line="320" w:lineRule="exact"/>
              <w:ind w:left="0" w:leftChars="0" w:firstLine="0" w:firstLineChars="0"/>
              <w:jc w:val="both"/>
              <w:rPr>
                <w:rFonts w:ascii="宋体" w:hAnsi="宋体" w:eastAsia="宋体" w:cs="宋体"/>
                <w:b w:val="0"/>
                <w:bCs/>
                <w:sz w:val="24"/>
                <w:szCs w:val="24"/>
              </w:rPr>
            </w:pPr>
            <w:r>
              <w:rPr>
                <w:rFonts w:hint="eastAsia" w:ascii="宋体" w:hAnsi="宋体" w:eastAsia="宋体" w:cs="宋体"/>
                <w:b w:val="0"/>
                <w:bCs/>
                <w:sz w:val="24"/>
                <w:szCs w:val="24"/>
              </w:rPr>
              <w:t>加强人员教育，规范使用移动式压力容器</w:t>
            </w:r>
          </w:p>
        </w:tc>
        <w:tc>
          <w:tcPr>
            <w:tcW w:w="1425" w:type="dxa"/>
            <w:vMerge w:val="continue"/>
            <w:vAlign w:val="center"/>
          </w:tcPr>
          <w:p w14:paraId="0C85C1BC">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7B750D4D">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7B626487">
            <w:pPr>
              <w:spacing w:line="320" w:lineRule="exact"/>
              <w:ind w:left="0" w:leftChars="0" w:firstLine="0" w:firstLineChars="0"/>
              <w:jc w:val="left"/>
              <w:rPr>
                <w:rFonts w:ascii="微软雅黑" w:hAnsi="微软雅黑" w:eastAsia="微软雅黑" w:cs="Times New Roman"/>
                <w:b w:val="0"/>
                <w:sz w:val="18"/>
                <w:szCs w:val="18"/>
              </w:rPr>
            </w:pPr>
          </w:p>
        </w:tc>
      </w:tr>
      <w:tr w14:paraId="25E61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638B122A">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46</w:t>
            </w:r>
          </w:p>
        </w:tc>
        <w:tc>
          <w:tcPr>
            <w:tcW w:w="1418" w:type="dxa"/>
            <w:vMerge w:val="continue"/>
            <w:vAlign w:val="center"/>
          </w:tcPr>
          <w:p w14:paraId="15D3421D">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53B9A809">
            <w:pPr>
              <w:spacing w:line="320" w:lineRule="exact"/>
              <w:ind w:left="0" w:leftChars="0" w:firstLine="0" w:firstLineChars="0"/>
              <w:jc w:val="both"/>
              <w:rPr>
                <w:rFonts w:ascii="宋体" w:hAnsi="宋体" w:eastAsia="宋体" w:cs="宋体"/>
                <w:b w:val="0"/>
                <w:bCs/>
                <w:sz w:val="24"/>
                <w:szCs w:val="24"/>
              </w:rPr>
            </w:pPr>
            <w:r>
              <w:rPr>
                <w:rFonts w:hint="eastAsia" w:ascii="宋体" w:hAnsi="宋体" w:eastAsia="宋体" w:cs="宋体"/>
                <w:b w:val="0"/>
                <w:bCs/>
                <w:sz w:val="24"/>
                <w:szCs w:val="24"/>
              </w:rPr>
              <w:t>移动式压力容器罐体的关闭装置在运输过程中未处于闭止状态</w:t>
            </w:r>
          </w:p>
        </w:tc>
        <w:tc>
          <w:tcPr>
            <w:tcW w:w="4649" w:type="dxa"/>
            <w:vAlign w:val="center"/>
          </w:tcPr>
          <w:p w14:paraId="204DA07B">
            <w:pPr>
              <w:spacing w:line="320" w:lineRule="exact"/>
              <w:ind w:left="0" w:leftChars="0" w:firstLine="0" w:firstLineChars="0"/>
              <w:jc w:val="both"/>
              <w:rPr>
                <w:rFonts w:ascii="宋体" w:hAnsi="宋体" w:eastAsia="宋体" w:cs="宋体"/>
                <w:b w:val="0"/>
                <w:bCs/>
                <w:sz w:val="24"/>
                <w:szCs w:val="24"/>
              </w:rPr>
            </w:pPr>
            <w:r>
              <w:rPr>
                <w:rFonts w:hint="eastAsia" w:ascii="宋体" w:hAnsi="宋体" w:eastAsia="宋体" w:cs="宋体"/>
                <w:b w:val="0"/>
                <w:bCs/>
                <w:sz w:val="24"/>
                <w:szCs w:val="24"/>
              </w:rPr>
              <w:t>加强充装后出车前罐体检查，必要时做检查结果记录</w:t>
            </w:r>
          </w:p>
        </w:tc>
        <w:tc>
          <w:tcPr>
            <w:tcW w:w="1425" w:type="dxa"/>
            <w:vMerge w:val="continue"/>
            <w:vAlign w:val="center"/>
          </w:tcPr>
          <w:p w14:paraId="68167C44">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34F1306B">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0CAAAC5F">
            <w:pPr>
              <w:spacing w:line="320" w:lineRule="exact"/>
              <w:ind w:left="0" w:leftChars="0" w:firstLine="0" w:firstLineChars="0"/>
              <w:jc w:val="left"/>
              <w:rPr>
                <w:rFonts w:ascii="微软雅黑" w:hAnsi="微软雅黑" w:eastAsia="微软雅黑" w:cs="Times New Roman"/>
                <w:b w:val="0"/>
                <w:sz w:val="18"/>
                <w:szCs w:val="18"/>
              </w:rPr>
            </w:pPr>
          </w:p>
        </w:tc>
      </w:tr>
      <w:tr w14:paraId="7A6DF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791" w:type="dxa"/>
            <w:vAlign w:val="center"/>
          </w:tcPr>
          <w:p w14:paraId="1B1A83C7">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47</w:t>
            </w:r>
          </w:p>
        </w:tc>
        <w:tc>
          <w:tcPr>
            <w:tcW w:w="1418" w:type="dxa"/>
            <w:vMerge w:val="continue"/>
            <w:vAlign w:val="center"/>
          </w:tcPr>
          <w:p w14:paraId="1E12B87D">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6645CAF1">
            <w:pPr>
              <w:spacing w:line="320" w:lineRule="exact"/>
              <w:ind w:left="0" w:leftChars="0" w:firstLine="0" w:firstLineChars="0"/>
              <w:jc w:val="both"/>
              <w:rPr>
                <w:rFonts w:ascii="宋体" w:hAnsi="宋体" w:eastAsia="宋体" w:cs="宋体"/>
                <w:b w:val="0"/>
                <w:bCs/>
                <w:sz w:val="24"/>
                <w:szCs w:val="24"/>
              </w:rPr>
            </w:pPr>
            <w:r>
              <w:rPr>
                <w:rFonts w:hint="eastAsia" w:ascii="宋体" w:hAnsi="宋体" w:eastAsia="宋体" w:cs="宋体"/>
                <w:b w:val="0"/>
                <w:bCs/>
                <w:sz w:val="24"/>
                <w:szCs w:val="24"/>
              </w:rPr>
              <w:t>使用移动式压力容器超速行驶、运输剧毒化学品未按审批路线、时段行驶</w:t>
            </w:r>
          </w:p>
        </w:tc>
        <w:tc>
          <w:tcPr>
            <w:tcW w:w="4649" w:type="dxa"/>
            <w:vAlign w:val="center"/>
          </w:tcPr>
          <w:p w14:paraId="2569D9BE">
            <w:pPr>
              <w:spacing w:line="320" w:lineRule="exact"/>
              <w:ind w:left="0" w:leftChars="0" w:firstLine="0" w:firstLineChars="0"/>
              <w:jc w:val="both"/>
              <w:rPr>
                <w:rFonts w:ascii="宋体" w:hAnsi="宋体" w:eastAsia="宋体" w:cs="宋体"/>
                <w:b w:val="0"/>
                <w:bCs/>
                <w:sz w:val="24"/>
                <w:szCs w:val="24"/>
              </w:rPr>
            </w:pPr>
            <w:r>
              <w:rPr>
                <w:rFonts w:hint="eastAsia" w:ascii="宋体" w:hAnsi="宋体" w:eastAsia="宋体" w:cs="宋体"/>
                <w:b w:val="0"/>
                <w:bCs/>
                <w:sz w:val="24"/>
                <w:szCs w:val="24"/>
              </w:rPr>
              <w:t>加强人员教育，规范运行</w:t>
            </w:r>
          </w:p>
        </w:tc>
        <w:tc>
          <w:tcPr>
            <w:tcW w:w="1425" w:type="dxa"/>
            <w:vMerge w:val="continue"/>
            <w:vAlign w:val="center"/>
          </w:tcPr>
          <w:p w14:paraId="256BD4F9">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168264B4">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73F089C9">
            <w:pPr>
              <w:spacing w:line="320" w:lineRule="exact"/>
              <w:ind w:left="0" w:leftChars="0" w:firstLine="0" w:firstLineChars="0"/>
              <w:jc w:val="left"/>
              <w:rPr>
                <w:rFonts w:ascii="微软雅黑" w:hAnsi="微软雅黑" w:eastAsia="微软雅黑" w:cs="Times New Roman"/>
                <w:b w:val="0"/>
                <w:sz w:val="18"/>
                <w:szCs w:val="18"/>
              </w:rPr>
            </w:pPr>
          </w:p>
        </w:tc>
      </w:tr>
      <w:tr w14:paraId="0C779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tcBorders>
              <w:bottom w:val="single" w:color="auto" w:sz="4" w:space="0"/>
            </w:tcBorders>
            <w:vAlign w:val="center"/>
          </w:tcPr>
          <w:p w14:paraId="5C95DD8B">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48</w:t>
            </w:r>
          </w:p>
        </w:tc>
        <w:tc>
          <w:tcPr>
            <w:tcW w:w="1418" w:type="dxa"/>
            <w:vMerge w:val="continue"/>
            <w:tcBorders>
              <w:bottom w:val="single" w:color="auto" w:sz="4" w:space="0"/>
            </w:tcBorders>
            <w:vAlign w:val="center"/>
          </w:tcPr>
          <w:p w14:paraId="29B69675">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15C1656E">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非应急救援情况，移动式压力容器之间相互装卸作业，移动式压力容器直接向气瓶进行充装</w:t>
            </w:r>
          </w:p>
        </w:tc>
        <w:tc>
          <w:tcPr>
            <w:tcW w:w="4649" w:type="dxa"/>
            <w:vAlign w:val="center"/>
          </w:tcPr>
          <w:p w14:paraId="03E20163">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加强人员教育，规范使用移动式压力容器</w:t>
            </w:r>
          </w:p>
        </w:tc>
        <w:tc>
          <w:tcPr>
            <w:tcW w:w="1425" w:type="dxa"/>
            <w:vMerge w:val="continue"/>
            <w:vAlign w:val="center"/>
          </w:tcPr>
          <w:p w14:paraId="56236105">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3050D12F">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7E65FA2C">
            <w:pPr>
              <w:spacing w:line="320" w:lineRule="exact"/>
              <w:ind w:left="0" w:leftChars="0" w:firstLine="0" w:firstLineChars="0"/>
              <w:jc w:val="left"/>
              <w:rPr>
                <w:rFonts w:ascii="微软雅黑" w:hAnsi="微软雅黑" w:eastAsia="微软雅黑" w:cs="Times New Roman"/>
                <w:b w:val="0"/>
                <w:sz w:val="18"/>
                <w:szCs w:val="18"/>
              </w:rPr>
            </w:pPr>
          </w:p>
        </w:tc>
      </w:tr>
      <w:tr w14:paraId="6A2CC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tcBorders>
              <w:top w:val="single" w:color="auto" w:sz="4" w:space="0"/>
            </w:tcBorders>
            <w:vAlign w:val="center"/>
          </w:tcPr>
          <w:p w14:paraId="64CF482E">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49</w:t>
            </w:r>
          </w:p>
        </w:tc>
        <w:tc>
          <w:tcPr>
            <w:tcW w:w="1418" w:type="dxa"/>
            <w:vMerge w:val="restart"/>
            <w:tcBorders>
              <w:top w:val="single" w:color="auto" w:sz="4" w:space="0"/>
            </w:tcBorders>
            <w:vAlign w:val="center"/>
          </w:tcPr>
          <w:p w14:paraId="472832A5">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移动式压力容器专项</w:t>
            </w:r>
          </w:p>
        </w:tc>
        <w:tc>
          <w:tcPr>
            <w:tcW w:w="3661" w:type="dxa"/>
            <w:vAlign w:val="center"/>
          </w:tcPr>
          <w:p w14:paraId="35841D03">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未经许可、超许可证有效期、超许可范围、不再具备许可条件进行充装</w:t>
            </w:r>
          </w:p>
        </w:tc>
        <w:tc>
          <w:tcPr>
            <w:tcW w:w="4649" w:type="dxa"/>
            <w:vAlign w:val="center"/>
          </w:tcPr>
          <w:p w14:paraId="5B6C848E">
            <w:pPr>
              <w:spacing w:line="320" w:lineRule="exact"/>
              <w:ind w:left="0" w:leftChars="0" w:firstLine="0" w:firstLineChars="0"/>
              <w:jc w:val="left"/>
              <w:rPr>
                <w:rFonts w:ascii="宋体" w:hAnsi="宋体" w:eastAsia="宋体" w:cs="Times New Roman"/>
                <w:b w:val="0"/>
                <w:sz w:val="24"/>
                <w:szCs w:val="24"/>
              </w:rPr>
            </w:pPr>
            <w:r>
              <w:rPr>
                <w:rFonts w:ascii="宋体" w:hAnsi="宋体" w:eastAsia="宋体" w:cs="Times New Roman"/>
                <w:b w:val="0"/>
                <w:sz w:val="24"/>
                <w:szCs w:val="24"/>
              </w:rPr>
              <w:t>1.</w:t>
            </w:r>
            <w:r>
              <w:rPr>
                <w:rFonts w:hint="eastAsia" w:ascii="宋体" w:hAnsi="宋体" w:eastAsia="宋体" w:cs="Times New Roman"/>
                <w:b w:val="0"/>
                <w:sz w:val="24"/>
                <w:szCs w:val="24"/>
              </w:rPr>
              <w:t>立即停止充装，并严格按照规定取得许可；</w:t>
            </w:r>
            <w:r>
              <w:rPr>
                <w:rFonts w:ascii="宋体" w:hAnsi="宋体" w:eastAsia="宋体" w:cs="Times New Roman"/>
                <w:b w:val="0"/>
                <w:sz w:val="24"/>
                <w:szCs w:val="24"/>
              </w:rPr>
              <w:br w:type="textWrapping"/>
            </w:r>
            <w:r>
              <w:rPr>
                <w:rFonts w:ascii="宋体" w:hAnsi="宋体" w:eastAsia="宋体" w:cs="Times New Roman"/>
                <w:b w:val="0"/>
                <w:sz w:val="24"/>
                <w:szCs w:val="24"/>
              </w:rPr>
              <w:t>2.</w:t>
            </w:r>
            <w:r>
              <w:rPr>
                <w:rFonts w:hint="eastAsia" w:ascii="宋体" w:hAnsi="宋体" w:eastAsia="宋体" w:cs="Times New Roman"/>
                <w:b w:val="0"/>
                <w:sz w:val="24"/>
                <w:szCs w:val="24"/>
              </w:rPr>
              <w:t>加强许可人员、场地、设备等条件的持续保持</w:t>
            </w:r>
          </w:p>
        </w:tc>
        <w:tc>
          <w:tcPr>
            <w:tcW w:w="1425" w:type="dxa"/>
            <w:vMerge w:val="continue"/>
            <w:vAlign w:val="center"/>
          </w:tcPr>
          <w:p w14:paraId="285AE5D8">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120F18A9">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198778BF">
            <w:pPr>
              <w:spacing w:line="320" w:lineRule="exact"/>
              <w:ind w:left="0" w:leftChars="0" w:firstLine="0" w:firstLineChars="0"/>
              <w:jc w:val="left"/>
              <w:rPr>
                <w:rFonts w:ascii="微软雅黑" w:hAnsi="微软雅黑" w:eastAsia="微软雅黑" w:cs="Times New Roman"/>
                <w:b w:val="0"/>
                <w:sz w:val="18"/>
                <w:szCs w:val="18"/>
              </w:rPr>
            </w:pPr>
          </w:p>
        </w:tc>
      </w:tr>
      <w:tr w14:paraId="66200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5F18C6A0">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50</w:t>
            </w:r>
          </w:p>
        </w:tc>
        <w:tc>
          <w:tcPr>
            <w:tcW w:w="1418" w:type="dxa"/>
            <w:vMerge w:val="continue"/>
            <w:vAlign w:val="center"/>
          </w:tcPr>
          <w:p w14:paraId="1933D963">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4EF202F5">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未严格执行装卸前后检查、装卸过程控制，装卸记录不规范</w:t>
            </w:r>
          </w:p>
        </w:tc>
        <w:tc>
          <w:tcPr>
            <w:tcW w:w="4649" w:type="dxa"/>
            <w:vAlign w:val="center"/>
          </w:tcPr>
          <w:p w14:paraId="415D3F35">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w:t>
            </w:r>
            <w:r>
              <w:rPr>
                <w:rFonts w:ascii="宋体" w:hAnsi="宋体" w:eastAsia="宋体" w:cs="Times New Roman"/>
                <w:b w:val="0"/>
                <w:sz w:val="24"/>
                <w:szCs w:val="24"/>
              </w:rPr>
              <w:t>.</w:t>
            </w:r>
            <w:r>
              <w:rPr>
                <w:rFonts w:hint="eastAsia" w:ascii="宋体" w:hAnsi="宋体" w:eastAsia="宋体" w:cs="Times New Roman"/>
                <w:b w:val="0"/>
                <w:sz w:val="24"/>
                <w:szCs w:val="24"/>
              </w:rPr>
              <w:t>根据安全技术规范与企业实际情况编制装卸检查记录表并实施；</w:t>
            </w:r>
            <w:r>
              <w:rPr>
                <w:rFonts w:ascii="宋体" w:hAnsi="宋体" w:eastAsia="宋体" w:cs="Times New Roman"/>
                <w:b w:val="0"/>
                <w:sz w:val="24"/>
                <w:szCs w:val="24"/>
              </w:rPr>
              <w:br w:type="textWrapping"/>
            </w:r>
            <w:r>
              <w:rPr>
                <w:rFonts w:hint="eastAsia" w:ascii="宋体" w:hAnsi="宋体" w:eastAsia="宋体" w:cs="Times New Roman"/>
                <w:b w:val="0"/>
                <w:sz w:val="24"/>
                <w:szCs w:val="24"/>
              </w:rPr>
              <w:t>2</w:t>
            </w:r>
            <w:r>
              <w:rPr>
                <w:rFonts w:ascii="宋体" w:hAnsi="宋体" w:eastAsia="宋体" w:cs="Times New Roman"/>
                <w:b w:val="0"/>
                <w:sz w:val="24"/>
                <w:szCs w:val="24"/>
              </w:rPr>
              <w:t>.</w:t>
            </w:r>
            <w:r>
              <w:rPr>
                <w:rFonts w:hint="eastAsia" w:ascii="宋体" w:hAnsi="宋体" w:eastAsia="宋体" w:cs="Times New Roman"/>
                <w:b w:val="0"/>
                <w:sz w:val="24"/>
                <w:szCs w:val="24"/>
              </w:rPr>
              <w:t>编制装卸作业规程并严格实施</w:t>
            </w:r>
          </w:p>
        </w:tc>
        <w:tc>
          <w:tcPr>
            <w:tcW w:w="1425" w:type="dxa"/>
            <w:vMerge w:val="continue"/>
            <w:vAlign w:val="center"/>
          </w:tcPr>
          <w:p w14:paraId="3B3EB4DC">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3B621650">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26E68F43">
            <w:pPr>
              <w:spacing w:line="320" w:lineRule="exact"/>
              <w:ind w:left="0" w:leftChars="0" w:firstLine="0" w:firstLineChars="0"/>
              <w:jc w:val="left"/>
              <w:rPr>
                <w:rFonts w:ascii="微软雅黑" w:hAnsi="微软雅黑" w:eastAsia="微软雅黑" w:cs="Times New Roman"/>
                <w:b w:val="0"/>
                <w:sz w:val="18"/>
                <w:szCs w:val="18"/>
              </w:rPr>
            </w:pPr>
          </w:p>
        </w:tc>
      </w:tr>
      <w:tr w14:paraId="612C1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6516CF46">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51</w:t>
            </w:r>
          </w:p>
        </w:tc>
        <w:tc>
          <w:tcPr>
            <w:tcW w:w="1418" w:type="dxa"/>
            <w:vMerge w:val="continue"/>
            <w:vAlign w:val="center"/>
          </w:tcPr>
          <w:p w14:paraId="5DE60A18">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38898C76">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pacing w:val="6"/>
                <w:sz w:val="24"/>
                <w:szCs w:val="24"/>
              </w:rPr>
              <w:t>未按安全技术规范要求</w:t>
            </w:r>
            <w:r>
              <w:rPr>
                <w:rFonts w:ascii="宋体" w:hAnsi="宋体" w:eastAsia="宋体" w:cs="Times New Roman"/>
                <w:b w:val="0"/>
                <w:spacing w:val="6"/>
                <w:sz w:val="24"/>
                <w:szCs w:val="24"/>
              </w:rPr>
              <w:t>建立并使用</w:t>
            </w:r>
            <w:r>
              <w:rPr>
                <w:rFonts w:hint="eastAsia" w:ascii="宋体" w:hAnsi="宋体" w:eastAsia="宋体" w:cs="Times New Roman"/>
                <w:b w:val="0"/>
                <w:spacing w:val="6"/>
                <w:sz w:val="24"/>
                <w:szCs w:val="24"/>
              </w:rPr>
              <w:t>移动式压力容器</w:t>
            </w:r>
            <w:r>
              <w:rPr>
                <w:rFonts w:ascii="宋体" w:hAnsi="宋体" w:eastAsia="宋体" w:cs="Times New Roman"/>
                <w:b w:val="0"/>
                <w:spacing w:val="6"/>
                <w:sz w:val="24"/>
                <w:szCs w:val="24"/>
              </w:rPr>
              <w:t>充装质量追溯信息系统</w:t>
            </w:r>
          </w:p>
        </w:tc>
        <w:tc>
          <w:tcPr>
            <w:tcW w:w="4649" w:type="dxa"/>
            <w:vAlign w:val="center"/>
          </w:tcPr>
          <w:p w14:paraId="4C40CE09">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建立并实施移动式压力容器充装质量追溯系统</w:t>
            </w:r>
          </w:p>
        </w:tc>
        <w:tc>
          <w:tcPr>
            <w:tcW w:w="1425" w:type="dxa"/>
            <w:vMerge w:val="continue"/>
            <w:vAlign w:val="center"/>
          </w:tcPr>
          <w:p w14:paraId="4713C511">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28E1EE80">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1CE971D2">
            <w:pPr>
              <w:spacing w:line="320" w:lineRule="exact"/>
              <w:ind w:left="0" w:leftChars="0" w:firstLine="0" w:firstLineChars="0"/>
              <w:jc w:val="left"/>
              <w:rPr>
                <w:rFonts w:ascii="微软雅黑" w:hAnsi="微软雅黑" w:eastAsia="微软雅黑" w:cs="Times New Roman"/>
                <w:b w:val="0"/>
                <w:sz w:val="18"/>
                <w:szCs w:val="18"/>
              </w:rPr>
            </w:pPr>
          </w:p>
        </w:tc>
      </w:tr>
      <w:tr w14:paraId="670E9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3598ED2">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52</w:t>
            </w:r>
          </w:p>
        </w:tc>
        <w:tc>
          <w:tcPr>
            <w:tcW w:w="1418" w:type="dxa"/>
            <w:vMerge w:val="continue"/>
            <w:vAlign w:val="center"/>
          </w:tcPr>
          <w:p w14:paraId="005D3672">
            <w:pPr>
              <w:spacing w:line="320" w:lineRule="exact"/>
              <w:ind w:left="0" w:leftChars="0" w:firstLine="0" w:firstLineChars="0"/>
              <w:jc w:val="left"/>
              <w:rPr>
                <w:rFonts w:ascii="宋体" w:hAnsi="宋体" w:eastAsia="宋体" w:cs="Times New Roman"/>
                <w:b w:val="0"/>
                <w:kern w:val="0"/>
                <w:sz w:val="24"/>
                <w:szCs w:val="24"/>
              </w:rPr>
            </w:pPr>
          </w:p>
        </w:tc>
        <w:tc>
          <w:tcPr>
            <w:tcW w:w="3661" w:type="dxa"/>
            <w:vAlign w:val="center"/>
          </w:tcPr>
          <w:p w14:paraId="7E50C3B0">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装卸用管不符合有关要求</w:t>
            </w:r>
          </w:p>
        </w:tc>
        <w:tc>
          <w:tcPr>
            <w:tcW w:w="4649" w:type="dxa"/>
            <w:vAlign w:val="center"/>
          </w:tcPr>
          <w:p w14:paraId="08E9E717">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w:t>
            </w:r>
            <w:r>
              <w:rPr>
                <w:rFonts w:ascii="宋体" w:hAnsi="宋体" w:eastAsia="宋体" w:cs="Times New Roman"/>
                <w:b w:val="0"/>
                <w:sz w:val="24"/>
                <w:szCs w:val="24"/>
              </w:rPr>
              <w:t>.</w:t>
            </w:r>
            <w:r>
              <w:rPr>
                <w:rFonts w:hint="eastAsia" w:ascii="宋体" w:hAnsi="宋体" w:eastAsia="宋体" w:cs="Times New Roman"/>
                <w:b w:val="0"/>
                <w:sz w:val="24"/>
                <w:szCs w:val="24"/>
              </w:rPr>
              <w:t>装卸用管定期进行耐压试验；</w:t>
            </w:r>
            <w:r>
              <w:rPr>
                <w:rFonts w:ascii="宋体" w:hAnsi="宋体" w:eastAsia="宋体" w:cs="Times New Roman"/>
                <w:b w:val="0"/>
                <w:sz w:val="24"/>
                <w:szCs w:val="24"/>
              </w:rPr>
              <w:br w:type="textWrapping"/>
            </w:r>
            <w:r>
              <w:rPr>
                <w:rFonts w:ascii="宋体" w:hAnsi="宋体" w:eastAsia="宋体" w:cs="Times New Roman"/>
                <w:b w:val="0"/>
                <w:sz w:val="24"/>
                <w:szCs w:val="24"/>
              </w:rPr>
              <w:t>2.</w:t>
            </w:r>
            <w:r>
              <w:rPr>
                <w:rFonts w:hint="eastAsia" w:ascii="宋体" w:hAnsi="宋体" w:eastAsia="宋体" w:cs="Times New Roman"/>
                <w:b w:val="0"/>
                <w:sz w:val="24"/>
                <w:szCs w:val="24"/>
              </w:rPr>
              <w:t>装卸用管材质与介质相容；</w:t>
            </w:r>
            <w:r>
              <w:rPr>
                <w:rFonts w:ascii="宋体" w:hAnsi="宋体" w:eastAsia="宋体" w:cs="Times New Roman"/>
                <w:b w:val="0"/>
                <w:sz w:val="24"/>
                <w:szCs w:val="24"/>
              </w:rPr>
              <w:br w:type="textWrapping"/>
            </w:r>
            <w:r>
              <w:rPr>
                <w:rFonts w:hint="eastAsia" w:ascii="宋体" w:hAnsi="宋体" w:eastAsia="宋体" w:cs="Times New Roman"/>
                <w:b w:val="0"/>
                <w:sz w:val="24"/>
                <w:szCs w:val="24"/>
              </w:rPr>
              <w:t>3</w:t>
            </w:r>
            <w:r>
              <w:rPr>
                <w:rFonts w:ascii="宋体" w:hAnsi="宋体" w:eastAsia="宋体" w:cs="Times New Roman"/>
                <w:b w:val="0"/>
                <w:sz w:val="24"/>
                <w:szCs w:val="24"/>
              </w:rPr>
              <w:t>.</w:t>
            </w:r>
            <w:r>
              <w:rPr>
                <w:rFonts w:hint="eastAsia" w:ascii="宋体" w:hAnsi="宋体" w:eastAsia="宋体" w:cs="Times New Roman"/>
                <w:b w:val="0"/>
                <w:sz w:val="24"/>
                <w:szCs w:val="24"/>
              </w:rPr>
              <w:t>加强连接部位的检查</w:t>
            </w:r>
          </w:p>
        </w:tc>
        <w:tc>
          <w:tcPr>
            <w:tcW w:w="1425" w:type="dxa"/>
            <w:vMerge w:val="continue"/>
            <w:vAlign w:val="center"/>
          </w:tcPr>
          <w:p w14:paraId="77FD0888">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7E7CF31E">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478B5048">
            <w:pPr>
              <w:spacing w:line="320" w:lineRule="exact"/>
              <w:ind w:left="0" w:leftChars="0" w:firstLine="0" w:firstLineChars="0"/>
              <w:jc w:val="left"/>
              <w:rPr>
                <w:rFonts w:ascii="微软雅黑" w:hAnsi="微软雅黑" w:eastAsia="微软雅黑" w:cs="Times New Roman"/>
                <w:b w:val="0"/>
                <w:sz w:val="18"/>
                <w:szCs w:val="18"/>
              </w:rPr>
            </w:pPr>
          </w:p>
        </w:tc>
      </w:tr>
      <w:tr w14:paraId="693F8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3A2F97DD">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53</w:t>
            </w:r>
          </w:p>
        </w:tc>
        <w:tc>
          <w:tcPr>
            <w:tcW w:w="1418" w:type="dxa"/>
            <w:vMerge w:val="continue"/>
            <w:vAlign w:val="center"/>
          </w:tcPr>
          <w:p w14:paraId="1F0C29BF">
            <w:pPr>
              <w:widowControl/>
              <w:spacing w:line="320" w:lineRule="exact"/>
              <w:ind w:left="0" w:leftChars="0" w:firstLine="0" w:firstLineChars="0"/>
              <w:jc w:val="center"/>
              <w:rPr>
                <w:rFonts w:ascii="宋体" w:hAnsi="宋体" w:eastAsia="宋体" w:cs="Times New Roman"/>
                <w:b w:val="0"/>
                <w:kern w:val="0"/>
                <w:sz w:val="24"/>
                <w:szCs w:val="24"/>
              </w:rPr>
            </w:pPr>
          </w:p>
        </w:tc>
        <w:tc>
          <w:tcPr>
            <w:tcW w:w="3661" w:type="dxa"/>
            <w:vAlign w:val="center"/>
          </w:tcPr>
          <w:p w14:paraId="18DEA70A">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pacing w:val="6"/>
                <w:sz w:val="24"/>
                <w:szCs w:val="24"/>
              </w:rPr>
              <w:t>在禁止装卸作业情境下（如恶劣天气、异常工况等）继续作业</w:t>
            </w:r>
          </w:p>
        </w:tc>
        <w:tc>
          <w:tcPr>
            <w:tcW w:w="4649" w:type="dxa"/>
            <w:vAlign w:val="center"/>
          </w:tcPr>
          <w:p w14:paraId="2AE8EEBB">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w:t>
            </w:r>
            <w:r>
              <w:rPr>
                <w:rFonts w:ascii="宋体" w:hAnsi="宋体" w:eastAsia="宋体" w:cs="Times New Roman"/>
                <w:b w:val="0"/>
                <w:sz w:val="24"/>
                <w:szCs w:val="24"/>
              </w:rPr>
              <w:t>.</w:t>
            </w:r>
            <w:r>
              <w:rPr>
                <w:rFonts w:hint="eastAsia" w:ascii="宋体" w:hAnsi="宋体" w:eastAsia="宋体" w:cs="Times New Roman"/>
                <w:b w:val="0"/>
                <w:sz w:val="24"/>
                <w:szCs w:val="24"/>
              </w:rPr>
              <w:t>建立完善操作规程；</w:t>
            </w:r>
            <w:r>
              <w:rPr>
                <w:rFonts w:ascii="宋体" w:hAnsi="宋体" w:eastAsia="宋体" w:cs="Times New Roman"/>
                <w:b w:val="0"/>
                <w:sz w:val="24"/>
                <w:szCs w:val="24"/>
              </w:rPr>
              <w:br w:type="textWrapping"/>
            </w:r>
            <w:r>
              <w:rPr>
                <w:rFonts w:ascii="宋体" w:hAnsi="宋体" w:eastAsia="宋体" w:cs="Times New Roman"/>
                <w:b w:val="0"/>
                <w:sz w:val="24"/>
                <w:szCs w:val="24"/>
              </w:rPr>
              <w:t>2.</w:t>
            </w:r>
            <w:r>
              <w:rPr>
                <w:rFonts w:hint="eastAsia" w:ascii="宋体" w:hAnsi="宋体" w:eastAsia="宋体" w:cs="Times New Roman"/>
                <w:b w:val="0"/>
                <w:sz w:val="24"/>
                <w:szCs w:val="24"/>
              </w:rPr>
              <w:t>加强人员培训并组织实施</w:t>
            </w:r>
          </w:p>
        </w:tc>
        <w:tc>
          <w:tcPr>
            <w:tcW w:w="1425" w:type="dxa"/>
            <w:vAlign w:val="center"/>
          </w:tcPr>
          <w:p w14:paraId="7FD45947">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90" w:type="dxa"/>
            <w:vAlign w:val="center"/>
          </w:tcPr>
          <w:p w14:paraId="44B08FAD">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934" w:type="dxa"/>
            <w:vAlign w:val="center"/>
          </w:tcPr>
          <w:p w14:paraId="07CD6A4D">
            <w:pPr>
              <w:spacing w:line="320" w:lineRule="exact"/>
              <w:ind w:left="0" w:leftChars="0" w:firstLine="0" w:firstLineChars="0"/>
              <w:jc w:val="both"/>
              <w:rPr>
                <w:rFonts w:ascii="Calibri" w:hAnsi="Calibri" w:eastAsia="宋体" w:cs="Times New Roman"/>
                <w:b w:val="0"/>
                <w:sz w:val="21"/>
                <w:szCs w:val="24"/>
              </w:rPr>
            </w:pPr>
          </w:p>
        </w:tc>
      </w:tr>
      <w:tr w14:paraId="765B6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exact"/>
          <w:jc w:val="center"/>
        </w:trPr>
        <w:tc>
          <w:tcPr>
            <w:tcW w:w="791" w:type="dxa"/>
            <w:vAlign w:val="center"/>
          </w:tcPr>
          <w:p w14:paraId="33FB88D2">
            <w:pPr>
              <w:widowControl/>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54</w:t>
            </w:r>
          </w:p>
        </w:tc>
        <w:tc>
          <w:tcPr>
            <w:tcW w:w="1418" w:type="dxa"/>
            <w:vMerge w:val="continue"/>
            <w:vAlign w:val="center"/>
          </w:tcPr>
          <w:p w14:paraId="005C257A">
            <w:pPr>
              <w:spacing w:line="320" w:lineRule="exact"/>
              <w:ind w:left="0" w:leftChars="0" w:firstLine="0" w:firstLineChars="0"/>
              <w:jc w:val="left"/>
              <w:rPr>
                <w:rFonts w:ascii="宋体" w:hAnsi="宋体" w:eastAsia="宋体" w:cs="Times New Roman"/>
                <w:b w:val="0"/>
                <w:sz w:val="24"/>
                <w:szCs w:val="24"/>
              </w:rPr>
            </w:pPr>
          </w:p>
        </w:tc>
        <w:tc>
          <w:tcPr>
            <w:tcW w:w="3661" w:type="dxa"/>
            <w:vAlign w:val="center"/>
          </w:tcPr>
          <w:p w14:paraId="725BAEFD">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未设置安全出口，周围未设置安全标识</w:t>
            </w:r>
          </w:p>
        </w:tc>
        <w:tc>
          <w:tcPr>
            <w:tcW w:w="4649" w:type="dxa"/>
            <w:vAlign w:val="center"/>
          </w:tcPr>
          <w:p w14:paraId="546C5D81">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w:t>
            </w:r>
            <w:r>
              <w:rPr>
                <w:rFonts w:ascii="宋体" w:hAnsi="宋体" w:eastAsia="宋体" w:cs="Times New Roman"/>
                <w:b w:val="0"/>
                <w:sz w:val="24"/>
                <w:szCs w:val="24"/>
              </w:rPr>
              <w:t>.</w:t>
            </w:r>
            <w:r>
              <w:rPr>
                <w:rFonts w:hint="eastAsia" w:ascii="宋体" w:hAnsi="宋体" w:eastAsia="宋体" w:cs="Times New Roman"/>
                <w:b w:val="0"/>
                <w:sz w:val="24"/>
                <w:szCs w:val="24"/>
              </w:rPr>
              <w:t>按要求设置安全出口；</w:t>
            </w:r>
            <w:r>
              <w:rPr>
                <w:rFonts w:ascii="宋体" w:hAnsi="宋体" w:eastAsia="宋体" w:cs="Times New Roman"/>
                <w:b w:val="0"/>
                <w:sz w:val="24"/>
                <w:szCs w:val="24"/>
              </w:rPr>
              <w:br w:type="textWrapping"/>
            </w:r>
            <w:r>
              <w:rPr>
                <w:rFonts w:hint="eastAsia" w:ascii="宋体" w:hAnsi="宋体" w:eastAsia="宋体" w:cs="Times New Roman"/>
                <w:b w:val="0"/>
                <w:sz w:val="24"/>
                <w:szCs w:val="24"/>
              </w:rPr>
              <w:t>2</w:t>
            </w:r>
            <w:r>
              <w:rPr>
                <w:rFonts w:ascii="宋体" w:hAnsi="宋体" w:eastAsia="宋体" w:cs="Times New Roman"/>
                <w:b w:val="0"/>
                <w:sz w:val="24"/>
                <w:szCs w:val="24"/>
              </w:rPr>
              <w:t>.</w:t>
            </w:r>
            <w:r>
              <w:rPr>
                <w:rFonts w:hint="eastAsia" w:ascii="宋体" w:hAnsi="宋体" w:eastAsia="宋体" w:cs="Times New Roman"/>
                <w:b w:val="0"/>
                <w:sz w:val="24"/>
                <w:szCs w:val="24"/>
              </w:rPr>
              <w:t>按要求设置安全标识</w:t>
            </w:r>
          </w:p>
        </w:tc>
        <w:tc>
          <w:tcPr>
            <w:tcW w:w="1425" w:type="dxa"/>
            <w:vMerge w:val="restart"/>
            <w:vAlign w:val="center"/>
          </w:tcPr>
          <w:p w14:paraId="493AC5E1">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月调度</w:t>
            </w:r>
          </w:p>
        </w:tc>
        <w:tc>
          <w:tcPr>
            <w:tcW w:w="1290" w:type="dxa"/>
            <w:vMerge w:val="restart"/>
            <w:vAlign w:val="center"/>
          </w:tcPr>
          <w:p w14:paraId="64C8DB8F">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主要负责人</w:t>
            </w:r>
          </w:p>
        </w:tc>
        <w:tc>
          <w:tcPr>
            <w:tcW w:w="934" w:type="dxa"/>
            <w:vAlign w:val="center"/>
          </w:tcPr>
          <w:p w14:paraId="70585A80">
            <w:pPr>
              <w:spacing w:line="320" w:lineRule="exact"/>
              <w:ind w:left="0" w:leftChars="0" w:firstLine="0" w:firstLineChars="0"/>
              <w:jc w:val="left"/>
              <w:rPr>
                <w:rFonts w:ascii="微软雅黑" w:hAnsi="微软雅黑" w:eastAsia="微软雅黑" w:cs="Times New Roman"/>
                <w:b w:val="0"/>
                <w:sz w:val="18"/>
                <w:szCs w:val="18"/>
                <w:highlight w:val="red"/>
              </w:rPr>
            </w:pPr>
          </w:p>
        </w:tc>
      </w:tr>
      <w:tr w14:paraId="39661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791" w:type="dxa"/>
            <w:vAlign w:val="center"/>
          </w:tcPr>
          <w:p w14:paraId="672152DE">
            <w:pPr>
              <w:widowControl/>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55</w:t>
            </w:r>
          </w:p>
        </w:tc>
        <w:tc>
          <w:tcPr>
            <w:tcW w:w="1418" w:type="dxa"/>
            <w:vMerge w:val="continue"/>
            <w:vAlign w:val="center"/>
          </w:tcPr>
          <w:p w14:paraId="603A0964">
            <w:pPr>
              <w:spacing w:line="320" w:lineRule="exact"/>
              <w:ind w:left="0" w:leftChars="0" w:firstLine="0" w:firstLineChars="0"/>
              <w:jc w:val="left"/>
              <w:rPr>
                <w:rFonts w:ascii="宋体" w:hAnsi="宋体" w:eastAsia="宋体" w:cs="Times New Roman"/>
                <w:b w:val="0"/>
                <w:sz w:val="24"/>
                <w:szCs w:val="24"/>
              </w:rPr>
            </w:pPr>
          </w:p>
        </w:tc>
        <w:tc>
          <w:tcPr>
            <w:tcW w:w="3661" w:type="dxa"/>
            <w:vAlign w:val="center"/>
          </w:tcPr>
          <w:p w14:paraId="25457819">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充装场地未具有良好的通风条件或未设有足够能力的换风通风装置；缺少如充装场地环境温度、气体浓度控制等安全措施</w:t>
            </w:r>
          </w:p>
        </w:tc>
        <w:tc>
          <w:tcPr>
            <w:tcW w:w="4649" w:type="dxa"/>
            <w:vAlign w:val="center"/>
          </w:tcPr>
          <w:p w14:paraId="09268D10">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1.按规范要求设置换风通风装置；</w:t>
            </w:r>
          </w:p>
          <w:p w14:paraId="036E913A">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2.根据充装气体的危险特性，增加如充装场地环境温度控制等安全措施；</w:t>
            </w:r>
          </w:p>
          <w:p w14:paraId="21FB51A4">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3.易燃、易爆、有毒介质的充装单位，严格按规定装设气体浓度监测报警装置</w:t>
            </w:r>
          </w:p>
        </w:tc>
        <w:tc>
          <w:tcPr>
            <w:tcW w:w="1425" w:type="dxa"/>
            <w:vMerge w:val="continue"/>
            <w:vAlign w:val="center"/>
          </w:tcPr>
          <w:p w14:paraId="174B75A7">
            <w:pPr>
              <w:spacing w:line="320" w:lineRule="exact"/>
              <w:ind w:left="0" w:leftChars="0" w:firstLine="0" w:firstLineChars="0"/>
              <w:jc w:val="left"/>
              <w:rPr>
                <w:rFonts w:ascii="宋体" w:hAnsi="宋体" w:eastAsia="宋体" w:cs="Times New Roman"/>
                <w:b w:val="0"/>
                <w:sz w:val="24"/>
                <w:szCs w:val="24"/>
              </w:rPr>
            </w:pPr>
          </w:p>
        </w:tc>
        <w:tc>
          <w:tcPr>
            <w:tcW w:w="1290" w:type="dxa"/>
            <w:vMerge w:val="continue"/>
            <w:vAlign w:val="center"/>
          </w:tcPr>
          <w:p w14:paraId="70009972">
            <w:pPr>
              <w:spacing w:line="320" w:lineRule="exact"/>
              <w:ind w:left="0" w:leftChars="0" w:firstLine="0" w:firstLineChars="0"/>
              <w:jc w:val="left"/>
              <w:rPr>
                <w:rFonts w:ascii="宋体" w:hAnsi="宋体" w:eastAsia="宋体" w:cs="Times New Roman"/>
                <w:b w:val="0"/>
                <w:sz w:val="24"/>
                <w:szCs w:val="24"/>
              </w:rPr>
            </w:pPr>
          </w:p>
        </w:tc>
        <w:tc>
          <w:tcPr>
            <w:tcW w:w="934" w:type="dxa"/>
            <w:vAlign w:val="center"/>
          </w:tcPr>
          <w:p w14:paraId="2AAEFBA5">
            <w:pPr>
              <w:spacing w:line="320" w:lineRule="exact"/>
              <w:ind w:left="0" w:leftChars="0" w:firstLine="0" w:firstLineChars="0"/>
              <w:jc w:val="left"/>
              <w:rPr>
                <w:rFonts w:ascii="微软雅黑" w:hAnsi="微软雅黑" w:eastAsia="微软雅黑" w:cs="Times New Roman"/>
                <w:b w:val="0"/>
                <w:sz w:val="18"/>
                <w:szCs w:val="18"/>
                <w:highlight w:val="red"/>
              </w:rPr>
            </w:pPr>
          </w:p>
        </w:tc>
      </w:tr>
    </w:tbl>
    <w:p w14:paraId="280BABFB">
      <w:pPr>
        <w:spacing w:line="400" w:lineRule="exact"/>
        <w:ind w:left="0" w:leftChars="0" w:firstLine="0" w:firstLineChars="0"/>
        <w:jc w:val="left"/>
        <w:rPr>
          <w:rFonts w:ascii="宋体" w:hAnsi="宋体" w:eastAsia="宋体" w:cs="宋体"/>
          <w:b/>
          <w:bCs/>
          <w:sz w:val="24"/>
          <w:szCs w:val="24"/>
        </w:rPr>
      </w:pPr>
      <w:r>
        <w:rPr>
          <w:rFonts w:hint="eastAsia" w:ascii="宋体" w:hAnsi="宋体" w:eastAsia="宋体" w:cs="宋体"/>
          <w:b/>
          <w:bCs/>
          <w:sz w:val="24"/>
          <w:szCs w:val="24"/>
        </w:rPr>
        <w:t>备注：本清单为推荐性格式，仅规定了应当进行日管控、周排查、月调度的基本项目，压力容器使用单位应当结合本单位实际，细化风险管控清单，合理调整管控形式。</w:t>
      </w:r>
    </w:p>
    <w:p w14:paraId="74E2EBE8">
      <w:pPr>
        <w:rPr>
          <w:rFonts w:hint="eastAsia" w:ascii="宋体" w:hAnsi="宋体" w:eastAsia="宋体" w:cs="宋体"/>
          <w:b/>
          <w:kern w:val="0"/>
          <w:sz w:val="36"/>
          <w:szCs w:val="36"/>
        </w:rPr>
      </w:pPr>
      <w:r>
        <w:rPr>
          <w:rFonts w:hint="eastAsia" w:ascii="宋体" w:hAnsi="宋体" w:eastAsia="宋体" w:cs="宋体"/>
          <w:b/>
          <w:kern w:val="0"/>
          <w:sz w:val="36"/>
          <w:szCs w:val="36"/>
        </w:rPr>
        <w:br w:type="page"/>
      </w:r>
    </w:p>
    <w:p w14:paraId="5C1371A8">
      <w:pPr>
        <w:topLinePunct/>
        <w:snapToGrid w:val="0"/>
        <w:spacing w:line="520" w:lineRule="exact"/>
        <w:ind w:left="0" w:leftChars="0" w:firstLine="0" w:firstLineChars="0"/>
        <w:jc w:val="center"/>
        <w:rPr>
          <w:rFonts w:ascii="仿宋_GB2312" w:hAnsi="宋体" w:eastAsia="仿宋_GB2312" w:cs="宋体"/>
          <w:b/>
          <w:kern w:val="0"/>
          <w:sz w:val="44"/>
          <w:szCs w:val="44"/>
        </w:rPr>
      </w:pPr>
      <w:r>
        <w:rPr>
          <w:rFonts w:hint="eastAsia" w:ascii="宋体" w:hAnsi="宋体" w:eastAsia="宋体" w:cs="宋体"/>
          <w:b/>
          <w:kern w:val="0"/>
          <w:sz w:val="36"/>
          <w:szCs w:val="36"/>
        </w:rPr>
        <w:t>气瓶充装风险管控清单</w:t>
      </w:r>
      <w:r>
        <w:rPr>
          <w:rFonts w:hint="eastAsia" w:ascii="Calibri" w:hAnsi="Calibri" w:eastAsia="宋体" w:cs="Times New Roman"/>
          <w:b/>
          <w:sz w:val="36"/>
          <w:szCs w:val="36"/>
          <w:lang w:eastAsia="zh-CN"/>
        </w:rPr>
        <w:t>（供参考）</w:t>
      </w:r>
    </w:p>
    <w:tbl>
      <w:tblPr>
        <w:tblStyle w:val="16"/>
        <w:tblW w:w="147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8"/>
        <w:gridCol w:w="3749"/>
        <w:gridCol w:w="5146"/>
        <w:gridCol w:w="1530"/>
        <w:gridCol w:w="1245"/>
        <w:gridCol w:w="890"/>
      </w:tblGrid>
      <w:tr w14:paraId="76C6B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29" w:hRule="exact"/>
          <w:tblHeader/>
        </w:trPr>
        <w:tc>
          <w:tcPr>
            <w:tcW w:w="824" w:type="dxa"/>
            <w:shd w:val="clear" w:color="auto" w:fill="BEBEBE"/>
            <w:vAlign w:val="center"/>
          </w:tcPr>
          <w:p w14:paraId="64B2BCC8">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序号</w:t>
            </w:r>
          </w:p>
        </w:tc>
        <w:tc>
          <w:tcPr>
            <w:tcW w:w="1358" w:type="dxa"/>
            <w:shd w:val="clear" w:color="auto" w:fill="BEBEBE"/>
            <w:vAlign w:val="center"/>
          </w:tcPr>
          <w:p w14:paraId="7FB791E9">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风险类别</w:t>
            </w:r>
          </w:p>
        </w:tc>
        <w:tc>
          <w:tcPr>
            <w:tcW w:w="3749" w:type="dxa"/>
            <w:shd w:val="clear" w:color="auto" w:fill="BEBEBE"/>
            <w:vAlign w:val="center"/>
          </w:tcPr>
          <w:p w14:paraId="445F5DED">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风险指标</w:t>
            </w:r>
          </w:p>
        </w:tc>
        <w:tc>
          <w:tcPr>
            <w:tcW w:w="5146" w:type="dxa"/>
            <w:shd w:val="clear" w:color="auto" w:fill="BEBEBE"/>
            <w:vAlign w:val="center"/>
          </w:tcPr>
          <w:p w14:paraId="15F0B49D">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风险管控措施</w:t>
            </w:r>
          </w:p>
        </w:tc>
        <w:tc>
          <w:tcPr>
            <w:tcW w:w="1530" w:type="dxa"/>
            <w:shd w:val="clear" w:color="auto" w:fill="BEBEBE"/>
            <w:vAlign w:val="center"/>
          </w:tcPr>
          <w:p w14:paraId="737FBBD1">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管控形式</w:t>
            </w:r>
          </w:p>
        </w:tc>
        <w:tc>
          <w:tcPr>
            <w:tcW w:w="1245" w:type="dxa"/>
            <w:shd w:val="clear" w:color="auto" w:fill="BEBEBE"/>
            <w:vAlign w:val="center"/>
          </w:tcPr>
          <w:p w14:paraId="2ACA87E0">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责任人</w:t>
            </w:r>
          </w:p>
        </w:tc>
        <w:tc>
          <w:tcPr>
            <w:tcW w:w="890" w:type="dxa"/>
            <w:shd w:val="clear" w:color="auto" w:fill="BEBEBE"/>
            <w:vAlign w:val="center"/>
          </w:tcPr>
          <w:p w14:paraId="49A3E7CD">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备注</w:t>
            </w:r>
          </w:p>
        </w:tc>
      </w:tr>
      <w:tr w14:paraId="1B7FD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824" w:type="dxa"/>
            <w:vAlign w:val="center"/>
          </w:tcPr>
          <w:p w14:paraId="5E02B424">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w:t>
            </w:r>
          </w:p>
        </w:tc>
        <w:tc>
          <w:tcPr>
            <w:tcW w:w="1358" w:type="dxa"/>
            <w:vMerge w:val="restart"/>
            <w:vAlign w:val="center"/>
          </w:tcPr>
          <w:p w14:paraId="502ED52D">
            <w:pPr>
              <w:autoSpaceDE w:val="0"/>
              <w:autoSpaceDN w:val="0"/>
              <w:spacing w:before="113" w:line="320" w:lineRule="exact"/>
              <w:ind w:left="76"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人员</w:t>
            </w:r>
          </w:p>
        </w:tc>
        <w:tc>
          <w:tcPr>
            <w:tcW w:w="3749" w:type="dxa"/>
            <w:vAlign w:val="center"/>
          </w:tcPr>
          <w:p w14:paraId="79074C0B">
            <w:pPr>
              <w:autoSpaceDE w:val="0"/>
              <w:autoSpaceDN w:val="0"/>
              <w:spacing w:before="113"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每班充装人员及持证检查人员不符合要求</w:t>
            </w:r>
          </w:p>
        </w:tc>
        <w:tc>
          <w:tcPr>
            <w:tcW w:w="5146" w:type="dxa"/>
            <w:vAlign w:val="center"/>
          </w:tcPr>
          <w:p w14:paraId="34F23A63">
            <w:pPr>
              <w:autoSpaceDE w:val="0"/>
              <w:autoSpaceDN w:val="0"/>
              <w:spacing w:before="69" w:line="320" w:lineRule="exact"/>
              <w:ind w:left="28"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1.</w:t>
            </w:r>
            <w:r>
              <w:rPr>
                <w:rFonts w:ascii="宋体" w:hAnsi="宋体" w:eastAsia="宋体" w:cs="宋体"/>
                <w:b w:val="0"/>
                <w:kern w:val="0"/>
                <w:sz w:val="24"/>
                <w:szCs w:val="24"/>
              </w:rPr>
              <w:t>每个充装地址持证充装人员每个班次不少于2人，在气瓶充装作业时，不得同时兼任检查人员</w:t>
            </w:r>
            <w:r>
              <w:rPr>
                <w:rFonts w:hint="eastAsia" w:ascii="宋体" w:hAnsi="宋体" w:eastAsia="宋体" w:cs="宋体"/>
                <w:b w:val="0"/>
                <w:kern w:val="0"/>
                <w:sz w:val="24"/>
                <w:szCs w:val="24"/>
              </w:rPr>
              <w:t>；</w:t>
            </w:r>
            <w:r>
              <w:rPr>
                <w:rFonts w:ascii="宋体" w:hAnsi="宋体" w:eastAsia="宋体" w:cs="宋体"/>
                <w:b w:val="0"/>
                <w:kern w:val="0"/>
                <w:sz w:val="24"/>
                <w:szCs w:val="24"/>
              </w:rPr>
              <w:br w:type="textWrapping"/>
            </w:r>
            <w:r>
              <w:rPr>
                <w:rFonts w:ascii="宋体" w:hAnsi="宋体" w:eastAsia="宋体" w:cs="宋体"/>
                <w:b w:val="0"/>
                <w:bCs/>
                <w:sz w:val="24"/>
                <w:szCs w:val="24"/>
              </w:rPr>
              <w:t>2.</w:t>
            </w:r>
            <w:r>
              <w:rPr>
                <w:rFonts w:ascii="宋体" w:hAnsi="宋体" w:eastAsia="宋体" w:cs="宋体"/>
                <w:b w:val="0"/>
                <w:kern w:val="0"/>
                <w:sz w:val="24"/>
                <w:szCs w:val="24"/>
              </w:rPr>
              <w:t>每个充装地址持证检查人员每个班次不少于1人</w:t>
            </w:r>
          </w:p>
        </w:tc>
        <w:tc>
          <w:tcPr>
            <w:tcW w:w="1530" w:type="dxa"/>
            <w:vAlign w:val="center"/>
          </w:tcPr>
          <w:p w14:paraId="6B93A911">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vAlign w:val="center"/>
          </w:tcPr>
          <w:p w14:paraId="212EC2CC">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vAlign w:val="center"/>
          </w:tcPr>
          <w:p w14:paraId="2A81ABD6">
            <w:pPr>
              <w:spacing w:line="320" w:lineRule="exact"/>
              <w:ind w:left="0" w:leftChars="0" w:firstLine="0" w:firstLineChars="0"/>
              <w:jc w:val="left"/>
              <w:rPr>
                <w:rFonts w:ascii="宋体" w:hAnsi="宋体" w:eastAsia="宋体" w:cs="宋体"/>
                <w:b w:val="0"/>
                <w:bCs/>
                <w:sz w:val="24"/>
                <w:szCs w:val="24"/>
              </w:rPr>
            </w:pPr>
          </w:p>
        </w:tc>
      </w:tr>
      <w:tr w14:paraId="4B7C3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trPr>
        <w:tc>
          <w:tcPr>
            <w:tcW w:w="824" w:type="dxa"/>
            <w:vAlign w:val="center"/>
          </w:tcPr>
          <w:p w14:paraId="5499D113">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w:t>
            </w:r>
          </w:p>
        </w:tc>
        <w:tc>
          <w:tcPr>
            <w:tcW w:w="1358" w:type="dxa"/>
            <w:vMerge w:val="continue"/>
            <w:vAlign w:val="center"/>
          </w:tcPr>
          <w:p w14:paraId="215FFE51">
            <w:pPr>
              <w:autoSpaceDE w:val="0"/>
              <w:autoSpaceDN w:val="0"/>
              <w:spacing w:before="113" w:line="320" w:lineRule="exact"/>
              <w:ind w:left="76" w:leftChars="0" w:firstLine="0" w:firstLineChars="0"/>
              <w:jc w:val="left"/>
              <w:rPr>
                <w:rFonts w:ascii="宋体" w:hAnsi="宋体" w:eastAsia="宋体" w:cs="宋体"/>
                <w:b w:val="0"/>
                <w:bCs/>
                <w:sz w:val="24"/>
                <w:szCs w:val="24"/>
              </w:rPr>
            </w:pPr>
          </w:p>
        </w:tc>
        <w:tc>
          <w:tcPr>
            <w:tcW w:w="3749" w:type="dxa"/>
            <w:vAlign w:val="center"/>
          </w:tcPr>
          <w:p w14:paraId="55A68B5E">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未按规定配置技术负责人、安全总监、相应数量的安全员、特种设备安全管理人员、气瓶作业人员</w:t>
            </w:r>
          </w:p>
        </w:tc>
        <w:tc>
          <w:tcPr>
            <w:tcW w:w="5146" w:type="dxa"/>
            <w:tcBorders>
              <w:bottom w:val="single" w:color="auto" w:sz="4" w:space="0"/>
            </w:tcBorders>
            <w:vAlign w:val="center"/>
          </w:tcPr>
          <w:p w14:paraId="2F0B9889">
            <w:pPr>
              <w:widowControl/>
              <w:spacing w:line="320" w:lineRule="exact"/>
              <w:ind w:left="0" w:leftChars="0" w:firstLine="0" w:firstLineChars="0"/>
              <w:jc w:val="left"/>
              <w:rPr>
                <w:rFonts w:ascii="宋体" w:hAnsi="宋体" w:eastAsia="宋体" w:cs="宋体"/>
                <w:b w:val="0"/>
                <w:bCs/>
                <w:sz w:val="24"/>
                <w:szCs w:val="24"/>
              </w:rPr>
            </w:pPr>
            <w:r>
              <w:rPr>
                <w:rFonts w:ascii="宋体" w:hAnsi="宋体" w:eastAsia="宋体" w:cs="宋体"/>
                <w:b w:val="0"/>
                <w:bCs/>
                <w:sz w:val="24"/>
                <w:szCs w:val="24"/>
              </w:rPr>
              <w:t>1</w:t>
            </w:r>
            <w:r>
              <w:rPr>
                <w:rFonts w:hint="eastAsia" w:ascii="宋体" w:hAnsi="宋体" w:eastAsia="宋体" w:cs="宋体"/>
                <w:b w:val="0"/>
                <w:bCs/>
                <w:sz w:val="24"/>
                <w:szCs w:val="24"/>
              </w:rPr>
              <w:t>.建立特种设备安全管理人员与作业人员管理制度；</w:t>
            </w:r>
            <w:r>
              <w:rPr>
                <w:rFonts w:ascii="宋体" w:hAnsi="宋体" w:eastAsia="宋体" w:cs="宋体"/>
                <w:b w:val="0"/>
                <w:bCs/>
                <w:sz w:val="24"/>
                <w:szCs w:val="24"/>
              </w:rPr>
              <w:br w:type="textWrapping"/>
            </w:r>
            <w:r>
              <w:rPr>
                <w:rFonts w:hint="eastAsia" w:ascii="宋体" w:hAnsi="宋体" w:eastAsia="宋体" w:cs="宋体"/>
                <w:b w:val="0"/>
                <w:bCs/>
                <w:sz w:val="24"/>
                <w:szCs w:val="24"/>
              </w:rPr>
              <w:t>2.按规定配备相关人员，建立台账</w:t>
            </w:r>
          </w:p>
        </w:tc>
        <w:tc>
          <w:tcPr>
            <w:tcW w:w="1530" w:type="dxa"/>
            <w:tcBorders>
              <w:bottom w:val="single" w:color="auto" w:sz="4" w:space="0"/>
            </w:tcBorders>
            <w:vAlign w:val="center"/>
          </w:tcPr>
          <w:p w14:paraId="163A058B">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bottom w:val="single" w:color="auto" w:sz="4" w:space="0"/>
            </w:tcBorders>
            <w:vAlign w:val="center"/>
          </w:tcPr>
          <w:p w14:paraId="1E9E1654">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203632B8">
            <w:pPr>
              <w:spacing w:line="320" w:lineRule="exact"/>
              <w:ind w:left="0" w:leftChars="0" w:firstLine="0" w:firstLineChars="0"/>
              <w:jc w:val="left"/>
              <w:rPr>
                <w:rFonts w:ascii="宋体" w:hAnsi="宋体" w:eastAsia="宋体" w:cs="宋体"/>
                <w:b w:val="0"/>
                <w:bCs/>
                <w:sz w:val="24"/>
                <w:szCs w:val="24"/>
              </w:rPr>
            </w:pPr>
          </w:p>
        </w:tc>
      </w:tr>
      <w:tr w14:paraId="67413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exact"/>
        </w:trPr>
        <w:tc>
          <w:tcPr>
            <w:tcW w:w="824" w:type="dxa"/>
            <w:vAlign w:val="center"/>
          </w:tcPr>
          <w:p w14:paraId="0D9CF0E0">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w:t>
            </w:r>
          </w:p>
        </w:tc>
        <w:tc>
          <w:tcPr>
            <w:tcW w:w="1358" w:type="dxa"/>
            <w:vMerge w:val="continue"/>
            <w:vAlign w:val="center"/>
          </w:tcPr>
          <w:p w14:paraId="39606036">
            <w:pPr>
              <w:autoSpaceDE w:val="0"/>
              <w:autoSpaceDN w:val="0"/>
              <w:spacing w:before="113" w:line="320" w:lineRule="exact"/>
              <w:ind w:left="76" w:leftChars="0" w:firstLine="0" w:firstLineChars="0"/>
              <w:jc w:val="left"/>
              <w:rPr>
                <w:rFonts w:ascii="宋体" w:hAnsi="宋体" w:eastAsia="宋体" w:cs="宋体"/>
                <w:b w:val="0"/>
                <w:bCs/>
                <w:sz w:val="24"/>
                <w:szCs w:val="24"/>
              </w:rPr>
            </w:pPr>
          </w:p>
        </w:tc>
        <w:tc>
          <w:tcPr>
            <w:tcW w:w="3749" w:type="dxa"/>
            <w:vAlign w:val="center"/>
          </w:tcPr>
          <w:p w14:paraId="4CC045C2">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作业人员无相应的资格证书或证书超期的</w:t>
            </w:r>
          </w:p>
        </w:tc>
        <w:tc>
          <w:tcPr>
            <w:tcW w:w="5146" w:type="dxa"/>
            <w:tcBorders>
              <w:top w:val="single" w:color="auto" w:sz="4" w:space="0"/>
            </w:tcBorders>
            <w:vAlign w:val="center"/>
          </w:tcPr>
          <w:p w14:paraId="5201654E">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定期检查作业人员证件</w:t>
            </w:r>
          </w:p>
        </w:tc>
        <w:tc>
          <w:tcPr>
            <w:tcW w:w="1530" w:type="dxa"/>
            <w:tcBorders>
              <w:top w:val="single" w:color="auto" w:sz="4" w:space="0"/>
              <w:bottom w:val="single" w:color="auto" w:sz="4" w:space="0"/>
            </w:tcBorders>
            <w:vAlign w:val="center"/>
          </w:tcPr>
          <w:p w14:paraId="001BFBC7">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18DAC21B">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1C2B16CB">
            <w:pPr>
              <w:spacing w:line="320" w:lineRule="exact"/>
              <w:ind w:left="0" w:leftChars="0" w:firstLine="0" w:firstLineChars="0"/>
              <w:jc w:val="left"/>
              <w:rPr>
                <w:rFonts w:ascii="宋体" w:hAnsi="宋体" w:eastAsia="宋体" w:cs="宋体"/>
                <w:b w:val="0"/>
                <w:bCs/>
                <w:sz w:val="24"/>
                <w:szCs w:val="24"/>
              </w:rPr>
            </w:pPr>
          </w:p>
        </w:tc>
      </w:tr>
      <w:tr w14:paraId="44BE2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exact"/>
        </w:trPr>
        <w:tc>
          <w:tcPr>
            <w:tcW w:w="824" w:type="dxa"/>
            <w:vAlign w:val="center"/>
          </w:tcPr>
          <w:p w14:paraId="3F5CD70E">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w:t>
            </w:r>
          </w:p>
        </w:tc>
        <w:tc>
          <w:tcPr>
            <w:tcW w:w="1358" w:type="dxa"/>
            <w:vMerge w:val="continue"/>
            <w:vAlign w:val="center"/>
          </w:tcPr>
          <w:p w14:paraId="10722134">
            <w:pPr>
              <w:autoSpaceDE w:val="0"/>
              <w:autoSpaceDN w:val="0"/>
              <w:spacing w:before="113" w:line="320" w:lineRule="exact"/>
              <w:ind w:left="76" w:leftChars="0" w:firstLine="0" w:firstLineChars="0"/>
              <w:jc w:val="left"/>
              <w:rPr>
                <w:rFonts w:ascii="宋体" w:hAnsi="宋体" w:eastAsia="宋体" w:cs="宋体"/>
                <w:b w:val="0"/>
                <w:bCs/>
                <w:sz w:val="24"/>
                <w:szCs w:val="24"/>
              </w:rPr>
            </w:pPr>
          </w:p>
        </w:tc>
        <w:tc>
          <w:tcPr>
            <w:tcW w:w="3749" w:type="dxa"/>
            <w:vAlign w:val="center"/>
          </w:tcPr>
          <w:p w14:paraId="416576F8">
            <w:pPr>
              <w:autoSpaceDE w:val="0"/>
              <w:autoSpaceDN w:val="0"/>
              <w:spacing w:before="113"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未对从业人员进行相关能力知识的培训和考核</w:t>
            </w:r>
          </w:p>
        </w:tc>
        <w:tc>
          <w:tcPr>
            <w:tcW w:w="5146" w:type="dxa"/>
            <w:vAlign w:val="center"/>
          </w:tcPr>
          <w:p w14:paraId="5F083016">
            <w:pPr>
              <w:autoSpaceDE w:val="0"/>
              <w:autoSpaceDN w:val="0"/>
              <w:spacing w:before="69" w:line="320" w:lineRule="exact"/>
              <w:ind w:left="28" w:leftChars="0" w:firstLine="0" w:firstLineChars="0"/>
              <w:jc w:val="left"/>
              <w:rPr>
                <w:rFonts w:ascii="宋体" w:hAnsi="宋体" w:eastAsia="宋体" w:cs="宋体"/>
                <w:b w:val="0"/>
                <w:bCs/>
                <w:kern w:val="0"/>
                <w:sz w:val="24"/>
                <w:szCs w:val="24"/>
              </w:rPr>
            </w:pPr>
            <w:r>
              <w:rPr>
                <w:rFonts w:hint="eastAsia" w:ascii="宋体" w:hAnsi="宋体" w:eastAsia="宋体" w:cs="宋体"/>
                <w:b w:val="0"/>
                <w:bCs/>
                <w:sz w:val="24"/>
                <w:szCs w:val="24"/>
              </w:rPr>
              <w:t>对从业人员进行相关能力知识的培训和考核，并且考核合格</w:t>
            </w:r>
          </w:p>
        </w:tc>
        <w:tc>
          <w:tcPr>
            <w:tcW w:w="1530" w:type="dxa"/>
            <w:tcBorders>
              <w:top w:val="single" w:color="auto" w:sz="4" w:space="0"/>
            </w:tcBorders>
            <w:vAlign w:val="center"/>
          </w:tcPr>
          <w:p w14:paraId="5DBD912D">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tcBorders>
            <w:vAlign w:val="center"/>
          </w:tcPr>
          <w:p w14:paraId="450406E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47EB04D3">
            <w:pPr>
              <w:spacing w:line="320" w:lineRule="exact"/>
              <w:ind w:left="0" w:leftChars="0" w:firstLine="0" w:firstLineChars="0"/>
              <w:jc w:val="left"/>
              <w:rPr>
                <w:rFonts w:ascii="宋体" w:hAnsi="宋体" w:eastAsia="宋体" w:cs="宋体"/>
                <w:b w:val="0"/>
                <w:bCs/>
                <w:sz w:val="24"/>
                <w:szCs w:val="24"/>
              </w:rPr>
            </w:pPr>
          </w:p>
        </w:tc>
      </w:tr>
      <w:tr w14:paraId="7AFA8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trPr>
        <w:tc>
          <w:tcPr>
            <w:tcW w:w="824" w:type="dxa"/>
            <w:vAlign w:val="center"/>
          </w:tcPr>
          <w:p w14:paraId="4BE39049">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w:t>
            </w:r>
          </w:p>
        </w:tc>
        <w:tc>
          <w:tcPr>
            <w:tcW w:w="1358" w:type="dxa"/>
            <w:vMerge w:val="restart"/>
            <w:vAlign w:val="center"/>
          </w:tcPr>
          <w:p w14:paraId="5C915125">
            <w:pPr>
              <w:autoSpaceDE w:val="0"/>
              <w:autoSpaceDN w:val="0"/>
              <w:spacing w:line="320" w:lineRule="exact"/>
              <w:ind w:left="0" w:leftChars="0" w:firstLine="480" w:firstLineChars="200"/>
              <w:jc w:val="both"/>
              <w:rPr>
                <w:rFonts w:ascii="宋体" w:hAnsi="宋体" w:eastAsia="宋体" w:cs="宋体"/>
                <w:b w:val="0"/>
                <w:bCs/>
                <w:kern w:val="0"/>
                <w:sz w:val="24"/>
                <w:szCs w:val="24"/>
                <w:lang w:eastAsia="en-US"/>
              </w:rPr>
            </w:pPr>
            <w:r>
              <w:rPr>
                <w:rFonts w:hint="eastAsia" w:ascii="宋体" w:hAnsi="宋体" w:eastAsia="宋体" w:cs="宋体"/>
                <w:b w:val="0"/>
                <w:bCs/>
                <w:color w:val="000000"/>
                <w:kern w:val="0"/>
                <w:sz w:val="24"/>
                <w:szCs w:val="24"/>
              </w:rPr>
              <w:t>管理</w:t>
            </w:r>
          </w:p>
        </w:tc>
        <w:tc>
          <w:tcPr>
            <w:tcW w:w="3749" w:type="dxa"/>
            <w:vAlign w:val="center"/>
          </w:tcPr>
          <w:p w14:paraId="7399A55D">
            <w:pPr>
              <w:widowControl/>
              <w:spacing w:line="320" w:lineRule="exact"/>
              <w:ind w:left="0" w:leftChars="0"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sz w:val="24"/>
                <w:szCs w:val="24"/>
              </w:rPr>
              <w:t>超许可范围充装的</w:t>
            </w:r>
          </w:p>
        </w:tc>
        <w:tc>
          <w:tcPr>
            <w:tcW w:w="5146" w:type="dxa"/>
            <w:vAlign w:val="center"/>
          </w:tcPr>
          <w:p w14:paraId="126CD014">
            <w:pPr>
              <w:widowControl/>
              <w:spacing w:line="320" w:lineRule="exact"/>
              <w:ind w:left="0" w:leftChars="0"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sz w:val="24"/>
                <w:szCs w:val="24"/>
              </w:rPr>
              <w:t>加强许可管理，严禁超范围充装</w:t>
            </w:r>
          </w:p>
        </w:tc>
        <w:tc>
          <w:tcPr>
            <w:tcW w:w="1530" w:type="dxa"/>
            <w:vMerge w:val="restart"/>
            <w:vAlign w:val="center"/>
          </w:tcPr>
          <w:p w14:paraId="0E8280C6">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日管控</w:t>
            </w:r>
          </w:p>
        </w:tc>
        <w:tc>
          <w:tcPr>
            <w:tcW w:w="1245" w:type="dxa"/>
            <w:vMerge w:val="restart"/>
            <w:vAlign w:val="center"/>
          </w:tcPr>
          <w:p w14:paraId="6964C16C">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安全员</w:t>
            </w:r>
          </w:p>
        </w:tc>
        <w:tc>
          <w:tcPr>
            <w:tcW w:w="890" w:type="dxa"/>
            <w:vAlign w:val="center"/>
          </w:tcPr>
          <w:p w14:paraId="0FAD7C0E">
            <w:pPr>
              <w:spacing w:line="320" w:lineRule="exact"/>
              <w:ind w:left="0" w:leftChars="0" w:firstLine="0" w:firstLineChars="0"/>
              <w:jc w:val="left"/>
              <w:rPr>
                <w:rFonts w:ascii="宋体" w:hAnsi="宋体" w:eastAsia="宋体" w:cs="宋体"/>
                <w:b w:val="0"/>
                <w:bCs/>
                <w:color w:val="000000"/>
                <w:sz w:val="24"/>
                <w:szCs w:val="24"/>
              </w:rPr>
            </w:pPr>
          </w:p>
        </w:tc>
      </w:tr>
      <w:tr w14:paraId="7F8D0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trPr>
        <w:tc>
          <w:tcPr>
            <w:tcW w:w="824" w:type="dxa"/>
            <w:vAlign w:val="center"/>
          </w:tcPr>
          <w:p w14:paraId="0EC3AFF8">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6</w:t>
            </w:r>
          </w:p>
        </w:tc>
        <w:tc>
          <w:tcPr>
            <w:tcW w:w="1358" w:type="dxa"/>
            <w:vMerge w:val="continue"/>
            <w:vAlign w:val="center"/>
          </w:tcPr>
          <w:p w14:paraId="1BED816E">
            <w:pPr>
              <w:spacing w:line="320" w:lineRule="exact"/>
              <w:ind w:left="0" w:leftChars="0" w:firstLine="0" w:firstLineChars="0"/>
              <w:jc w:val="center"/>
              <w:rPr>
                <w:rFonts w:ascii="宋体" w:hAnsi="宋体" w:eastAsia="宋体" w:cs="宋体"/>
                <w:b w:val="0"/>
                <w:bCs/>
                <w:color w:val="000000"/>
                <w:sz w:val="24"/>
                <w:szCs w:val="24"/>
              </w:rPr>
            </w:pPr>
          </w:p>
        </w:tc>
        <w:tc>
          <w:tcPr>
            <w:tcW w:w="3749" w:type="dxa"/>
            <w:vAlign w:val="center"/>
          </w:tcPr>
          <w:p w14:paraId="5C67D029">
            <w:pPr>
              <w:autoSpaceDE w:val="0"/>
              <w:autoSpaceDN w:val="0"/>
              <w:spacing w:before="113" w:line="320" w:lineRule="exact"/>
              <w:ind w:left="0" w:leftChars="0"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sz w:val="24"/>
                <w:szCs w:val="24"/>
              </w:rPr>
              <w:t>未对气瓶进行检查和维护保养</w:t>
            </w:r>
          </w:p>
        </w:tc>
        <w:tc>
          <w:tcPr>
            <w:tcW w:w="5146" w:type="dxa"/>
            <w:vAlign w:val="center"/>
          </w:tcPr>
          <w:p w14:paraId="25E0ECF6">
            <w:pPr>
              <w:autoSpaceDE w:val="0"/>
              <w:autoSpaceDN w:val="0"/>
              <w:spacing w:before="69" w:line="320" w:lineRule="exact"/>
              <w:ind w:left="28" w:leftChars="0" w:firstLine="0" w:firstLineChars="0"/>
              <w:jc w:val="left"/>
              <w:rPr>
                <w:rFonts w:ascii="宋体" w:hAnsi="宋体" w:eastAsia="宋体" w:cs="宋体"/>
                <w:b w:val="0"/>
                <w:bCs/>
                <w:color w:val="000000"/>
                <w:kern w:val="0"/>
                <w:sz w:val="24"/>
                <w:szCs w:val="24"/>
              </w:rPr>
            </w:pPr>
            <w:r>
              <w:rPr>
                <w:rFonts w:hint="eastAsia" w:ascii="宋体" w:hAnsi="宋体" w:eastAsia="宋体" w:cs="宋体"/>
                <w:b w:val="0"/>
                <w:bCs/>
                <w:color w:val="000000"/>
                <w:sz w:val="24"/>
                <w:szCs w:val="24"/>
              </w:rPr>
              <w:t>对气瓶进行检查和维护保养</w:t>
            </w:r>
          </w:p>
        </w:tc>
        <w:tc>
          <w:tcPr>
            <w:tcW w:w="1530" w:type="dxa"/>
            <w:vMerge w:val="continue"/>
            <w:vAlign w:val="center"/>
          </w:tcPr>
          <w:p w14:paraId="18586D0B">
            <w:pPr>
              <w:spacing w:line="320" w:lineRule="exact"/>
              <w:ind w:left="0" w:leftChars="0" w:firstLine="0" w:firstLineChars="0"/>
              <w:jc w:val="center"/>
              <w:rPr>
                <w:rFonts w:ascii="宋体" w:hAnsi="宋体" w:eastAsia="宋体" w:cs="宋体"/>
                <w:b w:val="0"/>
                <w:bCs/>
                <w:color w:val="000000"/>
                <w:sz w:val="24"/>
                <w:szCs w:val="24"/>
              </w:rPr>
            </w:pPr>
          </w:p>
        </w:tc>
        <w:tc>
          <w:tcPr>
            <w:tcW w:w="1245" w:type="dxa"/>
            <w:vMerge w:val="continue"/>
            <w:vAlign w:val="center"/>
          </w:tcPr>
          <w:p w14:paraId="44630CBE">
            <w:pPr>
              <w:spacing w:line="320" w:lineRule="exact"/>
              <w:ind w:left="0" w:leftChars="0" w:firstLine="0" w:firstLineChars="0"/>
              <w:jc w:val="center"/>
              <w:rPr>
                <w:rFonts w:ascii="宋体" w:hAnsi="宋体" w:eastAsia="宋体" w:cs="宋体"/>
                <w:b w:val="0"/>
                <w:bCs/>
                <w:color w:val="000000"/>
                <w:sz w:val="24"/>
                <w:szCs w:val="24"/>
              </w:rPr>
            </w:pPr>
          </w:p>
        </w:tc>
        <w:tc>
          <w:tcPr>
            <w:tcW w:w="890" w:type="dxa"/>
            <w:vAlign w:val="center"/>
          </w:tcPr>
          <w:p w14:paraId="730EA9AD">
            <w:pPr>
              <w:spacing w:line="320" w:lineRule="exact"/>
              <w:ind w:left="0" w:leftChars="0" w:firstLine="0" w:firstLineChars="0"/>
              <w:jc w:val="left"/>
              <w:rPr>
                <w:rFonts w:ascii="宋体" w:hAnsi="宋体" w:eastAsia="宋体" w:cs="宋体"/>
                <w:b w:val="0"/>
                <w:bCs/>
                <w:color w:val="000000"/>
                <w:sz w:val="24"/>
                <w:szCs w:val="24"/>
              </w:rPr>
            </w:pPr>
          </w:p>
        </w:tc>
      </w:tr>
      <w:tr w14:paraId="72E32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exact"/>
        </w:trPr>
        <w:tc>
          <w:tcPr>
            <w:tcW w:w="824" w:type="dxa"/>
            <w:vAlign w:val="center"/>
          </w:tcPr>
          <w:p w14:paraId="2CFC4231">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7</w:t>
            </w:r>
          </w:p>
        </w:tc>
        <w:tc>
          <w:tcPr>
            <w:tcW w:w="1358" w:type="dxa"/>
            <w:vMerge w:val="continue"/>
            <w:vAlign w:val="center"/>
          </w:tcPr>
          <w:p w14:paraId="783BC0C6">
            <w:pPr>
              <w:autoSpaceDE w:val="0"/>
              <w:autoSpaceDN w:val="0"/>
              <w:spacing w:line="320" w:lineRule="exact"/>
              <w:ind w:left="0" w:leftChars="0" w:firstLine="0" w:firstLineChars="0"/>
              <w:jc w:val="center"/>
              <w:rPr>
                <w:rFonts w:ascii="宋体" w:hAnsi="宋体" w:eastAsia="宋体" w:cs="宋体"/>
                <w:b w:val="0"/>
                <w:color w:val="000000"/>
                <w:kern w:val="0"/>
                <w:sz w:val="24"/>
                <w:szCs w:val="24"/>
                <w:lang w:eastAsia="en-US"/>
              </w:rPr>
            </w:pPr>
          </w:p>
        </w:tc>
        <w:tc>
          <w:tcPr>
            <w:tcW w:w="3749" w:type="dxa"/>
            <w:vAlign w:val="center"/>
          </w:tcPr>
          <w:p w14:paraId="28880A29">
            <w:pPr>
              <w:autoSpaceDE w:val="0"/>
              <w:autoSpaceDN w:val="0"/>
              <w:spacing w:before="113" w:line="320" w:lineRule="exact"/>
              <w:ind w:left="0" w:leftChars="0"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kern w:val="0"/>
                <w:sz w:val="24"/>
                <w:szCs w:val="24"/>
              </w:rPr>
              <w:t>未对不合格的气瓶进行处理</w:t>
            </w:r>
          </w:p>
        </w:tc>
        <w:tc>
          <w:tcPr>
            <w:tcW w:w="5146" w:type="dxa"/>
            <w:tcBorders>
              <w:bottom w:val="single" w:color="auto" w:sz="4" w:space="0"/>
            </w:tcBorders>
            <w:vAlign w:val="center"/>
          </w:tcPr>
          <w:p w14:paraId="00E753E2">
            <w:pPr>
              <w:autoSpaceDE w:val="0"/>
              <w:autoSpaceDN w:val="0"/>
              <w:spacing w:before="69" w:line="320" w:lineRule="exact"/>
              <w:ind w:left="28" w:leftChars="0" w:firstLine="0" w:firstLineChars="0"/>
              <w:jc w:val="left"/>
              <w:rPr>
                <w:rFonts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对存在严重事故隐患、经检验不合格或者应当予以报废的不合格气瓶进行消除使用功能的报废处理</w:t>
            </w:r>
          </w:p>
        </w:tc>
        <w:tc>
          <w:tcPr>
            <w:tcW w:w="1530" w:type="dxa"/>
            <w:tcBorders>
              <w:bottom w:val="single" w:color="auto" w:sz="4" w:space="0"/>
            </w:tcBorders>
            <w:vAlign w:val="center"/>
          </w:tcPr>
          <w:p w14:paraId="4148B78A">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日管控</w:t>
            </w:r>
          </w:p>
        </w:tc>
        <w:tc>
          <w:tcPr>
            <w:tcW w:w="1245" w:type="dxa"/>
            <w:tcBorders>
              <w:bottom w:val="single" w:color="auto" w:sz="4" w:space="0"/>
            </w:tcBorders>
            <w:vAlign w:val="center"/>
          </w:tcPr>
          <w:p w14:paraId="690CAEEE">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安全员</w:t>
            </w:r>
          </w:p>
        </w:tc>
        <w:tc>
          <w:tcPr>
            <w:tcW w:w="890" w:type="dxa"/>
            <w:vAlign w:val="center"/>
          </w:tcPr>
          <w:p w14:paraId="4868BC51">
            <w:pPr>
              <w:spacing w:line="320" w:lineRule="exact"/>
              <w:ind w:left="0" w:leftChars="0" w:firstLine="0" w:firstLineChars="0"/>
              <w:jc w:val="left"/>
              <w:rPr>
                <w:rFonts w:ascii="宋体" w:hAnsi="宋体" w:eastAsia="宋体" w:cs="宋体"/>
                <w:b w:val="0"/>
                <w:bCs/>
                <w:color w:val="000000"/>
                <w:sz w:val="24"/>
                <w:szCs w:val="24"/>
              </w:rPr>
            </w:pPr>
          </w:p>
        </w:tc>
      </w:tr>
      <w:tr w14:paraId="4861C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824" w:type="dxa"/>
            <w:vAlign w:val="center"/>
          </w:tcPr>
          <w:p w14:paraId="32729AFD">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8</w:t>
            </w:r>
          </w:p>
        </w:tc>
        <w:tc>
          <w:tcPr>
            <w:tcW w:w="1358" w:type="dxa"/>
            <w:vMerge w:val="continue"/>
            <w:vAlign w:val="center"/>
          </w:tcPr>
          <w:p w14:paraId="0A40B258">
            <w:pPr>
              <w:spacing w:line="320" w:lineRule="exact"/>
              <w:ind w:left="0" w:leftChars="0" w:firstLine="0" w:firstLineChars="0"/>
              <w:jc w:val="center"/>
              <w:rPr>
                <w:rFonts w:ascii="宋体" w:hAnsi="宋体" w:eastAsia="宋体" w:cs="宋体"/>
                <w:b w:val="0"/>
                <w:bCs/>
                <w:color w:val="000000"/>
                <w:sz w:val="24"/>
                <w:szCs w:val="24"/>
              </w:rPr>
            </w:pPr>
          </w:p>
        </w:tc>
        <w:tc>
          <w:tcPr>
            <w:tcW w:w="3749" w:type="dxa"/>
            <w:vAlign w:val="center"/>
          </w:tcPr>
          <w:p w14:paraId="5DAB36F9">
            <w:pPr>
              <w:autoSpaceDE w:val="0"/>
              <w:autoSpaceDN w:val="0"/>
              <w:spacing w:before="113" w:line="320" w:lineRule="exact"/>
              <w:ind w:left="0" w:leftChars="0" w:firstLine="0" w:firstLineChars="0"/>
              <w:jc w:val="left"/>
              <w:rPr>
                <w:rFonts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超量、超压充装</w:t>
            </w:r>
          </w:p>
        </w:tc>
        <w:tc>
          <w:tcPr>
            <w:tcW w:w="5146" w:type="dxa"/>
            <w:tcBorders>
              <w:top w:val="single" w:color="auto" w:sz="4" w:space="0"/>
            </w:tcBorders>
            <w:vAlign w:val="center"/>
          </w:tcPr>
          <w:p w14:paraId="7F89F917">
            <w:pPr>
              <w:autoSpaceDE w:val="0"/>
              <w:autoSpaceDN w:val="0"/>
              <w:spacing w:before="69" w:line="320" w:lineRule="exact"/>
              <w:ind w:left="28" w:leftChars="0" w:firstLine="0" w:firstLineChars="0"/>
              <w:jc w:val="left"/>
              <w:rPr>
                <w:rFonts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严格按规定要求充装</w:t>
            </w:r>
          </w:p>
        </w:tc>
        <w:tc>
          <w:tcPr>
            <w:tcW w:w="1530" w:type="dxa"/>
            <w:tcBorders>
              <w:top w:val="single" w:color="auto" w:sz="4" w:space="0"/>
              <w:bottom w:val="single" w:color="auto" w:sz="4" w:space="0"/>
            </w:tcBorders>
            <w:vAlign w:val="center"/>
          </w:tcPr>
          <w:p w14:paraId="2286A549">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日管控</w:t>
            </w:r>
          </w:p>
        </w:tc>
        <w:tc>
          <w:tcPr>
            <w:tcW w:w="1245" w:type="dxa"/>
            <w:tcBorders>
              <w:top w:val="single" w:color="auto" w:sz="4" w:space="0"/>
              <w:bottom w:val="single" w:color="auto" w:sz="4" w:space="0"/>
            </w:tcBorders>
            <w:vAlign w:val="center"/>
          </w:tcPr>
          <w:p w14:paraId="4266BBFB">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安全员</w:t>
            </w:r>
          </w:p>
        </w:tc>
        <w:tc>
          <w:tcPr>
            <w:tcW w:w="890" w:type="dxa"/>
            <w:vAlign w:val="center"/>
          </w:tcPr>
          <w:p w14:paraId="297F3EA0">
            <w:pPr>
              <w:spacing w:line="320" w:lineRule="exact"/>
              <w:ind w:left="0" w:leftChars="0" w:firstLine="0" w:firstLineChars="0"/>
              <w:jc w:val="left"/>
              <w:rPr>
                <w:rFonts w:ascii="宋体" w:hAnsi="宋体" w:eastAsia="宋体" w:cs="宋体"/>
                <w:b w:val="0"/>
                <w:bCs/>
                <w:color w:val="000000"/>
                <w:sz w:val="24"/>
                <w:szCs w:val="24"/>
              </w:rPr>
            </w:pPr>
          </w:p>
        </w:tc>
      </w:tr>
      <w:tr w14:paraId="09BE9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29014812">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9</w:t>
            </w:r>
          </w:p>
        </w:tc>
        <w:tc>
          <w:tcPr>
            <w:tcW w:w="1358" w:type="dxa"/>
            <w:vMerge w:val="continue"/>
            <w:vAlign w:val="center"/>
          </w:tcPr>
          <w:p w14:paraId="6EFFE56C">
            <w:pPr>
              <w:spacing w:line="320" w:lineRule="exact"/>
              <w:ind w:left="0" w:leftChars="0" w:firstLine="0" w:firstLineChars="0"/>
              <w:jc w:val="center"/>
              <w:rPr>
                <w:rFonts w:ascii="宋体" w:hAnsi="宋体" w:eastAsia="宋体" w:cs="Times New Roman"/>
                <w:b w:val="0"/>
                <w:color w:val="000000"/>
                <w:kern w:val="0"/>
                <w:sz w:val="24"/>
                <w:szCs w:val="24"/>
              </w:rPr>
            </w:pPr>
          </w:p>
        </w:tc>
        <w:tc>
          <w:tcPr>
            <w:tcW w:w="3749" w:type="dxa"/>
            <w:vAlign w:val="center"/>
          </w:tcPr>
          <w:p w14:paraId="307ADDDF">
            <w:pPr>
              <w:spacing w:line="320" w:lineRule="exact"/>
              <w:ind w:left="0" w:leftChars="0" w:firstLine="0" w:firstLineChars="0"/>
              <w:jc w:val="left"/>
              <w:rPr>
                <w:rFonts w:ascii="宋体" w:hAnsi="宋体" w:eastAsia="宋体" w:cs="Times New Roman"/>
                <w:b w:val="0"/>
                <w:color w:val="000000"/>
                <w:spacing w:val="6"/>
                <w:sz w:val="24"/>
                <w:szCs w:val="24"/>
              </w:rPr>
            </w:pPr>
            <w:r>
              <w:rPr>
                <w:rFonts w:hint="eastAsia" w:ascii="宋体" w:hAnsi="宋体" w:eastAsia="宋体" w:cs="Times New Roman"/>
                <w:b w:val="0"/>
                <w:color w:val="000000"/>
                <w:spacing w:val="6"/>
                <w:sz w:val="24"/>
                <w:szCs w:val="24"/>
              </w:rPr>
              <w:t>移动式压力容器未严格执行卸载前后检查、卸载过程控制，装卸记录不规范</w:t>
            </w:r>
          </w:p>
        </w:tc>
        <w:tc>
          <w:tcPr>
            <w:tcW w:w="5146" w:type="dxa"/>
            <w:vAlign w:val="center"/>
          </w:tcPr>
          <w:p w14:paraId="0AF2D390">
            <w:pPr>
              <w:spacing w:line="320" w:lineRule="exact"/>
              <w:ind w:left="0" w:leftChars="0" w:firstLine="0" w:firstLineChars="0"/>
              <w:jc w:val="left"/>
              <w:rPr>
                <w:rFonts w:ascii="宋体" w:hAnsi="宋体" w:eastAsia="宋体" w:cs="Times New Roman"/>
                <w:b w:val="0"/>
                <w:color w:val="000000"/>
                <w:sz w:val="24"/>
                <w:szCs w:val="24"/>
              </w:rPr>
            </w:pPr>
            <w:r>
              <w:rPr>
                <w:rFonts w:hint="eastAsia" w:ascii="宋体" w:hAnsi="宋体" w:eastAsia="宋体" w:cs="Times New Roman"/>
                <w:b w:val="0"/>
                <w:color w:val="000000"/>
                <w:sz w:val="24"/>
                <w:szCs w:val="24"/>
              </w:rPr>
              <w:t>1</w:t>
            </w:r>
            <w:r>
              <w:rPr>
                <w:rFonts w:ascii="宋体" w:hAnsi="宋体" w:eastAsia="宋体" w:cs="Times New Roman"/>
                <w:b w:val="0"/>
                <w:color w:val="000000"/>
                <w:sz w:val="24"/>
                <w:szCs w:val="24"/>
              </w:rPr>
              <w:t>.</w:t>
            </w:r>
            <w:r>
              <w:rPr>
                <w:rFonts w:hint="eastAsia" w:ascii="宋体" w:hAnsi="宋体" w:eastAsia="宋体" w:cs="Times New Roman"/>
                <w:b w:val="0"/>
                <w:color w:val="000000"/>
                <w:sz w:val="24"/>
                <w:szCs w:val="24"/>
              </w:rPr>
              <w:t>根据安全技术规范与企业实际情况编制卸载检查记录表并实施；</w:t>
            </w:r>
            <w:r>
              <w:rPr>
                <w:rFonts w:ascii="宋体" w:hAnsi="宋体" w:eastAsia="宋体" w:cs="Times New Roman"/>
                <w:b w:val="0"/>
                <w:color w:val="000000"/>
                <w:sz w:val="24"/>
                <w:szCs w:val="24"/>
              </w:rPr>
              <w:br w:type="textWrapping"/>
            </w:r>
            <w:r>
              <w:rPr>
                <w:rFonts w:hint="eastAsia" w:ascii="宋体" w:hAnsi="宋体" w:eastAsia="宋体" w:cs="Times New Roman"/>
                <w:b w:val="0"/>
                <w:color w:val="000000"/>
                <w:sz w:val="24"/>
                <w:szCs w:val="24"/>
              </w:rPr>
              <w:t>2</w:t>
            </w:r>
            <w:r>
              <w:rPr>
                <w:rFonts w:ascii="宋体" w:hAnsi="宋体" w:eastAsia="宋体" w:cs="Times New Roman"/>
                <w:b w:val="0"/>
                <w:color w:val="000000"/>
                <w:sz w:val="24"/>
                <w:szCs w:val="24"/>
              </w:rPr>
              <w:t>.</w:t>
            </w:r>
            <w:r>
              <w:rPr>
                <w:rFonts w:hint="eastAsia" w:ascii="宋体" w:hAnsi="宋体" w:eastAsia="宋体" w:cs="Times New Roman"/>
                <w:b w:val="0"/>
                <w:color w:val="000000"/>
                <w:sz w:val="24"/>
                <w:szCs w:val="24"/>
              </w:rPr>
              <w:t>编制卸载作业规程并严格实施</w:t>
            </w:r>
          </w:p>
        </w:tc>
        <w:tc>
          <w:tcPr>
            <w:tcW w:w="1530" w:type="dxa"/>
            <w:tcBorders>
              <w:top w:val="single" w:color="auto" w:sz="4" w:space="0"/>
              <w:bottom w:val="single" w:color="auto" w:sz="4" w:space="0"/>
            </w:tcBorders>
            <w:vAlign w:val="center"/>
          </w:tcPr>
          <w:p w14:paraId="28F2880E">
            <w:pPr>
              <w:spacing w:line="320" w:lineRule="exact"/>
              <w:ind w:left="0" w:leftChars="0" w:firstLine="0" w:firstLineChars="0"/>
              <w:jc w:val="center"/>
              <w:rPr>
                <w:rFonts w:ascii="宋体" w:hAnsi="宋体" w:eastAsia="宋体" w:cs="Times New Roman"/>
                <w:b w:val="0"/>
                <w:color w:val="000000"/>
                <w:sz w:val="24"/>
                <w:szCs w:val="24"/>
              </w:rPr>
            </w:pPr>
            <w:r>
              <w:rPr>
                <w:rFonts w:hint="eastAsia" w:ascii="宋体" w:hAnsi="宋体" w:eastAsia="宋体" w:cs="宋体"/>
                <w:b w:val="0"/>
                <w:bCs/>
                <w:color w:val="000000"/>
                <w:sz w:val="24"/>
                <w:szCs w:val="24"/>
              </w:rPr>
              <w:t>日管控</w:t>
            </w:r>
          </w:p>
        </w:tc>
        <w:tc>
          <w:tcPr>
            <w:tcW w:w="1245" w:type="dxa"/>
            <w:tcBorders>
              <w:top w:val="single" w:color="auto" w:sz="4" w:space="0"/>
              <w:bottom w:val="single" w:color="auto" w:sz="4" w:space="0"/>
            </w:tcBorders>
            <w:vAlign w:val="center"/>
          </w:tcPr>
          <w:p w14:paraId="56484576">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安全员</w:t>
            </w:r>
          </w:p>
        </w:tc>
        <w:tc>
          <w:tcPr>
            <w:tcW w:w="890" w:type="dxa"/>
            <w:vAlign w:val="center"/>
          </w:tcPr>
          <w:p w14:paraId="4EAB462B">
            <w:pPr>
              <w:spacing w:line="320" w:lineRule="exact"/>
              <w:ind w:left="0" w:leftChars="0" w:firstLine="0" w:firstLineChars="0"/>
              <w:jc w:val="left"/>
              <w:rPr>
                <w:rFonts w:ascii="宋体" w:hAnsi="宋体" w:eastAsia="宋体" w:cs="宋体"/>
                <w:b w:val="0"/>
                <w:bCs/>
                <w:color w:val="000000"/>
                <w:sz w:val="24"/>
                <w:szCs w:val="24"/>
              </w:rPr>
            </w:pPr>
          </w:p>
        </w:tc>
      </w:tr>
      <w:tr w14:paraId="5EB0D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8" w:hRule="atLeast"/>
        </w:trPr>
        <w:tc>
          <w:tcPr>
            <w:tcW w:w="824" w:type="dxa"/>
            <w:vAlign w:val="center"/>
          </w:tcPr>
          <w:p w14:paraId="2842E970">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10</w:t>
            </w:r>
          </w:p>
        </w:tc>
        <w:tc>
          <w:tcPr>
            <w:tcW w:w="1358" w:type="dxa"/>
            <w:vMerge w:val="continue"/>
            <w:vAlign w:val="center"/>
          </w:tcPr>
          <w:p w14:paraId="414AE4C6">
            <w:pPr>
              <w:spacing w:line="320" w:lineRule="exact"/>
              <w:ind w:left="0" w:leftChars="0" w:firstLine="0" w:firstLineChars="0"/>
              <w:jc w:val="center"/>
              <w:rPr>
                <w:rFonts w:ascii="宋体" w:hAnsi="宋体" w:eastAsia="宋体" w:cs="宋体"/>
                <w:b w:val="0"/>
                <w:bCs/>
                <w:color w:val="000000"/>
                <w:sz w:val="24"/>
                <w:szCs w:val="24"/>
              </w:rPr>
            </w:pPr>
          </w:p>
        </w:tc>
        <w:tc>
          <w:tcPr>
            <w:tcW w:w="3749" w:type="dxa"/>
            <w:vAlign w:val="center"/>
          </w:tcPr>
          <w:p w14:paraId="51997FCC">
            <w:pPr>
              <w:tabs>
                <w:tab w:val="left" w:pos="1011"/>
              </w:tabs>
              <w:spacing w:line="320" w:lineRule="exact"/>
              <w:ind w:left="0" w:leftChars="0" w:firstLine="0" w:firstLineChars="0"/>
              <w:jc w:val="left"/>
              <w:rPr>
                <w:rFonts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未建立气瓶充装质量追溯信息系统</w:t>
            </w:r>
          </w:p>
        </w:tc>
        <w:tc>
          <w:tcPr>
            <w:tcW w:w="5146" w:type="dxa"/>
            <w:vAlign w:val="center"/>
          </w:tcPr>
          <w:p w14:paraId="6FEE15C2">
            <w:pPr>
              <w:autoSpaceDE w:val="0"/>
              <w:autoSpaceDN w:val="0"/>
              <w:spacing w:before="69" w:line="320" w:lineRule="exact"/>
              <w:ind w:left="28" w:leftChars="0" w:firstLine="0" w:firstLineChars="0"/>
              <w:jc w:val="left"/>
              <w:rPr>
                <w:rFonts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1</w:t>
            </w:r>
            <w:r>
              <w:rPr>
                <w:rFonts w:ascii="宋体" w:hAnsi="宋体" w:eastAsia="宋体" w:cs="宋体"/>
                <w:b w:val="0"/>
                <w:bCs/>
                <w:color w:val="000000"/>
                <w:kern w:val="0"/>
                <w:sz w:val="24"/>
                <w:szCs w:val="24"/>
              </w:rPr>
              <w:t>.</w:t>
            </w:r>
            <w:r>
              <w:rPr>
                <w:rFonts w:hint="eastAsia" w:ascii="宋体" w:hAnsi="宋体" w:eastAsia="宋体" w:cs="宋体"/>
                <w:b w:val="0"/>
                <w:bCs/>
                <w:color w:val="000000"/>
                <w:kern w:val="0"/>
                <w:sz w:val="24"/>
                <w:szCs w:val="24"/>
              </w:rPr>
              <w:t>按安全技术规范要求建立并使用气瓶充装质量追溯信息系统及气瓶充装电子档案；</w:t>
            </w:r>
            <w:r>
              <w:rPr>
                <w:rFonts w:ascii="宋体" w:hAnsi="宋体" w:eastAsia="宋体" w:cs="宋体"/>
                <w:b w:val="0"/>
                <w:bCs/>
                <w:color w:val="000000"/>
                <w:kern w:val="0"/>
                <w:sz w:val="24"/>
                <w:szCs w:val="24"/>
              </w:rPr>
              <w:br w:type="textWrapping"/>
            </w:r>
            <w:r>
              <w:rPr>
                <w:rFonts w:ascii="宋体" w:hAnsi="宋体" w:eastAsia="宋体" w:cs="宋体"/>
                <w:b w:val="0"/>
                <w:bCs/>
                <w:color w:val="000000"/>
                <w:kern w:val="0"/>
                <w:sz w:val="24"/>
                <w:szCs w:val="24"/>
              </w:rPr>
              <w:t>2.</w:t>
            </w:r>
            <w:r>
              <w:rPr>
                <w:rFonts w:hint="eastAsia" w:ascii="宋体" w:hAnsi="宋体" w:eastAsia="宋体" w:cs="宋体"/>
                <w:b w:val="0"/>
                <w:bCs/>
                <w:color w:val="000000"/>
                <w:kern w:val="0"/>
                <w:sz w:val="24"/>
                <w:szCs w:val="24"/>
              </w:rPr>
              <w:t>气瓶充装及检查的相关信息应上传到气瓶信息平台上保存</w:t>
            </w:r>
          </w:p>
        </w:tc>
        <w:tc>
          <w:tcPr>
            <w:tcW w:w="1530" w:type="dxa"/>
            <w:tcBorders>
              <w:top w:val="single" w:color="auto" w:sz="4" w:space="0"/>
            </w:tcBorders>
            <w:vAlign w:val="center"/>
          </w:tcPr>
          <w:p w14:paraId="633F58C3">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日管控</w:t>
            </w:r>
          </w:p>
        </w:tc>
        <w:tc>
          <w:tcPr>
            <w:tcW w:w="1245" w:type="dxa"/>
            <w:tcBorders>
              <w:top w:val="single" w:color="auto" w:sz="4" w:space="0"/>
            </w:tcBorders>
            <w:vAlign w:val="center"/>
          </w:tcPr>
          <w:p w14:paraId="0058C8A0">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安全员</w:t>
            </w:r>
          </w:p>
        </w:tc>
        <w:tc>
          <w:tcPr>
            <w:tcW w:w="890" w:type="dxa"/>
            <w:vAlign w:val="center"/>
          </w:tcPr>
          <w:p w14:paraId="20497352">
            <w:pPr>
              <w:spacing w:line="320" w:lineRule="exact"/>
              <w:ind w:left="0" w:leftChars="0" w:firstLine="0" w:firstLineChars="0"/>
              <w:jc w:val="left"/>
              <w:rPr>
                <w:rFonts w:ascii="宋体" w:hAnsi="宋体" w:eastAsia="宋体" w:cs="宋体"/>
                <w:b w:val="0"/>
                <w:bCs/>
                <w:color w:val="000000"/>
                <w:sz w:val="24"/>
                <w:szCs w:val="24"/>
              </w:rPr>
            </w:pPr>
          </w:p>
        </w:tc>
      </w:tr>
      <w:tr w14:paraId="6F44E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824" w:type="dxa"/>
            <w:tcBorders>
              <w:bottom w:val="single" w:color="auto" w:sz="4" w:space="0"/>
            </w:tcBorders>
            <w:vAlign w:val="center"/>
          </w:tcPr>
          <w:p w14:paraId="23EAEB20">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11</w:t>
            </w:r>
          </w:p>
        </w:tc>
        <w:tc>
          <w:tcPr>
            <w:tcW w:w="1358" w:type="dxa"/>
            <w:vMerge w:val="continue"/>
            <w:vAlign w:val="center"/>
          </w:tcPr>
          <w:p w14:paraId="3E6CA643">
            <w:pPr>
              <w:spacing w:line="320" w:lineRule="exact"/>
              <w:ind w:left="0" w:leftChars="0" w:firstLine="0" w:firstLineChars="0"/>
              <w:jc w:val="center"/>
              <w:rPr>
                <w:rFonts w:ascii="宋体" w:hAnsi="宋体" w:eastAsia="宋体" w:cs="宋体"/>
                <w:b w:val="0"/>
                <w:bCs/>
                <w:color w:val="000000"/>
                <w:sz w:val="24"/>
                <w:szCs w:val="24"/>
              </w:rPr>
            </w:pPr>
          </w:p>
        </w:tc>
        <w:tc>
          <w:tcPr>
            <w:tcW w:w="3749" w:type="dxa"/>
            <w:vAlign w:val="center"/>
          </w:tcPr>
          <w:p w14:paraId="70CF03B0">
            <w:pPr>
              <w:widowControl/>
              <w:spacing w:line="320" w:lineRule="exact"/>
              <w:ind w:left="0" w:leftChars="0"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sz w:val="24"/>
                <w:szCs w:val="24"/>
              </w:rPr>
              <w:t>未建立、健全安全技术档案</w:t>
            </w:r>
          </w:p>
        </w:tc>
        <w:tc>
          <w:tcPr>
            <w:tcW w:w="5146" w:type="dxa"/>
            <w:vAlign w:val="center"/>
          </w:tcPr>
          <w:p w14:paraId="34DF9D18">
            <w:pPr>
              <w:widowControl/>
              <w:spacing w:line="320" w:lineRule="exact"/>
              <w:ind w:left="0" w:leftChars="0"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sz w:val="24"/>
                <w:szCs w:val="24"/>
              </w:rPr>
              <w:t>建立健全安全技术档案</w:t>
            </w:r>
          </w:p>
        </w:tc>
        <w:tc>
          <w:tcPr>
            <w:tcW w:w="1530" w:type="dxa"/>
            <w:tcBorders>
              <w:bottom w:val="single" w:color="auto" w:sz="4" w:space="0"/>
            </w:tcBorders>
            <w:vAlign w:val="center"/>
          </w:tcPr>
          <w:p w14:paraId="7C23EDCE">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周排查</w:t>
            </w:r>
          </w:p>
        </w:tc>
        <w:tc>
          <w:tcPr>
            <w:tcW w:w="1245" w:type="dxa"/>
            <w:tcBorders>
              <w:bottom w:val="single" w:color="auto" w:sz="4" w:space="0"/>
            </w:tcBorders>
            <w:vAlign w:val="center"/>
          </w:tcPr>
          <w:p w14:paraId="3BE43BAE">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安全总监</w:t>
            </w:r>
          </w:p>
        </w:tc>
        <w:tc>
          <w:tcPr>
            <w:tcW w:w="890" w:type="dxa"/>
            <w:vAlign w:val="center"/>
          </w:tcPr>
          <w:p w14:paraId="3665B204">
            <w:pPr>
              <w:spacing w:line="320" w:lineRule="exact"/>
              <w:ind w:left="0" w:leftChars="0" w:firstLine="0" w:firstLineChars="0"/>
              <w:jc w:val="left"/>
              <w:rPr>
                <w:rFonts w:ascii="宋体" w:hAnsi="宋体" w:eastAsia="宋体" w:cs="宋体"/>
                <w:b w:val="0"/>
                <w:bCs/>
                <w:color w:val="000000"/>
                <w:sz w:val="24"/>
                <w:szCs w:val="24"/>
              </w:rPr>
            </w:pPr>
          </w:p>
        </w:tc>
      </w:tr>
      <w:tr w14:paraId="5232E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3" w:hRule="exact"/>
        </w:trPr>
        <w:tc>
          <w:tcPr>
            <w:tcW w:w="824" w:type="dxa"/>
            <w:tcBorders>
              <w:top w:val="single" w:color="auto" w:sz="4" w:space="0"/>
              <w:bottom w:val="single" w:color="auto" w:sz="4" w:space="0"/>
            </w:tcBorders>
            <w:vAlign w:val="center"/>
          </w:tcPr>
          <w:p w14:paraId="7B96CD1F">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12</w:t>
            </w:r>
          </w:p>
        </w:tc>
        <w:tc>
          <w:tcPr>
            <w:tcW w:w="1358" w:type="dxa"/>
            <w:vMerge w:val="continue"/>
            <w:vAlign w:val="center"/>
          </w:tcPr>
          <w:p w14:paraId="4469FFF9">
            <w:pPr>
              <w:autoSpaceDE w:val="0"/>
              <w:autoSpaceDN w:val="0"/>
              <w:spacing w:line="320" w:lineRule="exact"/>
              <w:ind w:left="0" w:leftChars="0" w:firstLine="0" w:firstLineChars="0"/>
              <w:jc w:val="center"/>
              <w:rPr>
                <w:rFonts w:ascii="宋体" w:hAnsi="宋体" w:eastAsia="宋体" w:cs="宋体"/>
                <w:b w:val="0"/>
                <w:bCs/>
                <w:kern w:val="0"/>
                <w:sz w:val="24"/>
                <w:szCs w:val="24"/>
                <w:lang w:eastAsia="en-US"/>
              </w:rPr>
            </w:pPr>
          </w:p>
        </w:tc>
        <w:tc>
          <w:tcPr>
            <w:tcW w:w="3749" w:type="dxa"/>
            <w:vAlign w:val="center"/>
          </w:tcPr>
          <w:p w14:paraId="5E82D74B">
            <w:pPr>
              <w:autoSpaceDE w:val="0"/>
              <w:autoSpaceDN w:val="0"/>
              <w:spacing w:before="4" w:line="320" w:lineRule="exact"/>
              <w:ind w:left="39" w:leftChars="0" w:right="142"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sz w:val="24"/>
                <w:szCs w:val="24"/>
              </w:rPr>
              <w:t>未设置气瓶待检区、不合格瓶区、待充装区和充装合格区，无明显隔离措施，且不符合安全技术要求</w:t>
            </w:r>
          </w:p>
        </w:tc>
        <w:tc>
          <w:tcPr>
            <w:tcW w:w="5146" w:type="dxa"/>
            <w:tcBorders>
              <w:bottom w:val="single" w:color="auto" w:sz="4" w:space="0"/>
            </w:tcBorders>
            <w:vAlign w:val="center"/>
          </w:tcPr>
          <w:p w14:paraId="062AE6D7">
            <w:pPr>
              <w:autoSpaceDE w:val="0"/>
              <w:autoSpaceDN w:val="0"/>
              <w:spacing w:before="4" w:line="320" w:lineRule="exact"/>
              <w:ind w:left="39" w:leftChars="0" w:right="142"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sz w:val="24"/>
                <w:szCs w:val="24"/>
              </w:rPr>
              <w:t>按安全技术要求合理设置气瓶待检区、不合格瓶区、待充装区和充装合格区等明显隔离措施</w:t>
            </w:r>
          </w:p>
        </w:tc>
        <w:tc>
          <w:tcPr>
            <w:tcW w:w="1530" w:type="dxa"/>
            <w:tcBorders>
              <w:top w:val="single" w:color="auto" w:sz="4" w:space="0"/>
              <w:bottom w:val="single" w:color="auto" w:sz="4" w:space="0"/>
            </w:tcBorders>
            <w:vAlign w:val="center"/>
          </w:tcPr>
          <w:p w14:paraId="4DB1BE45">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周排查</w:t>
            </w:r>
          </w:p>
        </w:tc>
        <w:tc>
          <w:tcPr>
            <w:tcW w:w="1245" w:type="dxa"/>
            <w:tcBorders>
              <w:top w:val="single" w:color="auto" w:sz="4" w:space="0"/>
              <w:bottom w:val="single" w:color="auto" w:sz="4" w:space="0"/>
            </w:tcBorders>
            <w:vAlign w:val="center"/>
          </w:tcPr>
          <w:p w14:paraId="09B32DD0">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安全总监</w:t>
            </w:r>
          </w:p>
        </w:tc>
        <w:tc>
          <w:tcPr>
            <w:tcW w:w="890" w:type="dxa"/>
            <w:vAlign w:val="center"/>
          </w:tcPr>
          <w:p w14:paraId="2A833C43">
            <w:pPr>
              <w:spacing w:line="320" w:lineRule="exact"/>
              <w:ind w:left="0" w:leftChars="0" w:firstLine="0" w:firstLineChars="0"/>
              <w:jc w:val="left"/>
              <w:rPr>
                <w:rFonts w:ascii="宋体" w:hAnsi="宋体" w:eastAsia="宋体" w:cs="宋体"/>
                <w:b w:val="0"/>
                <w:bCs/>
                <w:color w:val="000000"/>
                <w:sz w:val="24"/>
                <w:szCs w:val="24"/>
              </w:rPr>
            </w:pPr>
          </w:p>
        </w:tc>
      </w:tr>
      <w:tr w14:paraId="25D09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top w:val="single" w:color="auto" w:sz="4" w:space="0"/>
            </w:tcBorders>
            <w:vAlign w:val="center"/>
          </w:tcPr>
          <w:p w14:paraId="2677B77F">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13</w:t>
            </w:r>
          </w:p>
        </w:tc>
        <w:tc>
          <w:tcPr>
            <w:tcW w:w="1358" w:type="dxa"/>
            <w:vMerge w:val="continue"/>
            <w:vAlign w:val="center"/>
          </w:tcPr>
          <w:p w14:paraId="4492641F">
            <w:pPr>
              <w:autoSpaceDE w:val="0"/>
              <w:autoSpaceDN w:val="0"/>
              <w:spacing w:line="320" w:lineRule="exact"/>
              <w:ind w:left="0" w:leftChars="0" w:firstLine="0" w:firstLineChars="0"/>
              <w:jc w:val="center"/>
              <w:rPr>
                <w:rFonts w:ascii="宋体" w:hAnsi="宋体" w:eastAsia="宋体" w:cs="宋体"/>
                <w:b w:val="0"/>
                <w:color w:val="000000"/>
                <w:kern w:val="0"/>
                <w:sz w:val="24"/>
                <w:szCs w:val="24"/>
                <w:lang w:eastAsia="en-US"/>
              </w:rPr>
            </w:pPr>
          </w:p>
        </w:tc>
        <w:tc>
          <w:tcPr>
            <w:tcW w:w="3749" w:type="dxa"/>
            <w:tcBorders>
              <w:bottom w:val="single" w:color="auto" w:sz="4" w:space="0"/>
            </w:tcBorders>
            <w:vAlign w:val="center"/>
          </w:tcPr>
          <w:p w14:paraId="185D846A">
            <w:pPr>
              <w:spacing w:line="320" w:lineRule="exact"/>
              <w:ind w:left="0" w:leftChars="0" w:firstLine="0" w:firstLineChars="0"/>
              <w:jc w:val="left"/>
              <w:rPr>
                <w:rFonts w:ascii="宋体" w:hAnsi="宋体" w:eastAsia="宋体" w:cs="Times New Roman"/>
                <w:b w:val="0"/>
                <w:color w:val="000000"/>
                <w:spacing w:val="6"/>
                <w:sz w:val="24"/>
                <w:szCs w:val="24"/>
              </w:rPr>
            </w:pPr>
            <w:r>
              <w:rPr>
                <w:rFonts w:hint="eastAsia" w:ascii="宋体" w:hAnsi="宋体" w:eastAsia="宋体" w:cs="Times New Roman"/>
                <w:b w:val="0"/>
                <w:color w:val="000000"/>
                <w:spacing w:val="6"/>
                <w:sz w:val="24"/>
                <w:szCs w:val="24"/>
              </w:rPr>
              <w:t>发现异常情况未按规定采取应急措施，隐患未及时整改</w:t>
            </w:r>
          </w:p>
        </w:tc>
        <w:tc>
          <w:tcPr>
            <w:tcW w:w="5146" w:type="dxa"/>
            <w:tcBorders>
              <w:top w:val="single" w:color="auto" w:sz="4" w:space="0"/>
            </w:tcBorders>
            <w:vAlign w:val="center"/>
          </w:tcPr>
          <w:p w14:paraId="0A22FE67">
            <w:pPr>
              <w:spacing w:line="320" w:lineRule="exact"/>
              <w:ind w:left="0" w:leftChars="0" w:firstLine="0" w:firstLineChars="0"/>
              <w:jc w:val="left"/>
              <w:rPr>
                <w:rFonts w:ascii="宋体" w:hAnsi="宋体" w:eastAsia="宋体" w:cs="Times New Roman"/>
                <w:b w:val="0"/>
                <w:color w:val="000000"/>
                <w:kern w:val="0"/>
                <w:sz w:val="24"/>
                <w:szCs w:val="24"/>
              </w:rPr>
            </w:pPr>
            <w:r>
              <w:rPr>
                <w:rFonts w:ascii="宋体" w:hAnsi="宋体" w:eastAsia="宋体" w:cs="宋体"/>
                <w:b w:val="0"/>
                <w:color w:val="000000"/>
                <w:sz w:val="24"/>
                <w:szCs w:val="24"/>
              </w:rPr>
              <w:t>1.</w:t>
            </w:r>
            <w:r>
              <w:rPr>
                <w:rFonts w:hint="eastAsia" w:ascii="宋体" w:hAnsi="宋体" w:eastAsia="宋体" w:cs="Times New Roman"/>
                <w:b w:val="0"/>
                <w:color w:val="000000"/>
                <w:sz w:val="24"/>
                <w:szCs w:val="24"/>
              </w:rPr>
              <w:t>查明异常发生原因，及时采取应急措施和消除隐患；</w:t>
            </w:r>
            <w:r>
              <w:rPr>
                <w:rFonts w:ascii="宋体" w:hAnsi="宋体" w:eastAsia="宋体" w:cs="宋体"/>
                <w:b w:val="0"/>
                <w:color w:val="000000"/>
                <w:sz w:val="24"/>
                <w:szCs w:val="24"/>
              </w:rPr>
              <w:br w:type="textWrapping"/>
            </w:r>
            <w:r>
              <w:rPr>
                <w:rFonts w:hint="eastAsia" w:ascii="宋体" w:hAnsi="宋体" w:eastAsia="宋体" w:cs="宋体"/>
                <w:b w:val="0"/>
                <w:color w:val="000000"/>
                <w:sz w:val="24"/>
                <w:szCs w:val="24"/>
              </w:rPr>
              <w:t>2</w:t>
            </w:r>
            <w:r>
              <w:rPr>
                <w:rFonts w:ascii="宋体" w:hAnsi="宋体" w:eastAsia="宋体" w:cs="宋体"/>
                <w:b w:val="0"/>
                <w:color w:val="000000"/>
                <w:sz w:val="24"/>
                <w:szCs w:val="24"/>
              </w:rPr>
              <w:t>.</w:t>
            </w:r>
            <w:r>
              <w:rPr>
                <w:rFonts w:hint="eastAsia" w:ascii="宋体" w:hAnsi="宋体" w:eastAsia="宋体" w:cs="宋体"/>
                <w:b w:val="0"/>
                <w:color w:val="000000"/>
                <w:sz w:val="24"/>
                <w:szCs w:val="24"/>
              </w:rPr>
              <w:t>制定整改计划，明确整改措施及责任人</w:t>
            </w:r>
          </w:p>
        </w:tc>
        <w:tc>
          <w:tcPr>
            <w:tcW w:w="1530" w:type="dxa"/>
            <w:tcBorders>
              <w:top w:val="single" w:color="auto" w:sz="4" w:space="0"/>
            </w:tcBorders>
            <w:vAlign w:val="center"/>
          </w:tcPr>
          <w:p w14:paraId="6FA95DDD">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周排查</w:t>
            </w:r>
          </w:p>
        </w:tc>
        <w:tc>
          <w:tcPr>
            <w:tcW w:w="1245" w:type="dxa"/>
            <w:tcBorders>
              <w:top w:val="single" w:color="auto" w:sz="4" w:space="0"/>
            </w:tcBorders>
            <w:vAlign w:val="center"/>
          </w:tcPr>
          <w:p w14:paraId="1041AF19">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color w:val="000000"/>
                <w:sz w:val="24"/>
                <w:szCs w:val="24"/>
              </w:rPr>
              <w:t>安全总监</w:t>
            </w:r>
          </w:p>
        </w:tc>
        <w:tc>
          <w:tcPr>
            <w:tcW w:w="890" w:type="dxa"/>
            <w:vAlign w:val="center"/>
          </w:tcPr>
          <w:p w14:paraId="0A4F0141">
            <w:pPr>
              <w:spacing w:line="320" w:lineRule="exact"/>
              <w:ind w:left="0" w:leftChars="0" w:firstLine="0" w:firstLineChars="0"/>
              <w:jc w:val="left"/>
              <w:rPr>
                <w:rFonts w:ascii="宋体" w:hAnsi="宋体" w:eastAsia="宋体" w:cs="宋体"/>
                <w:b w:val="0"/>
                <w:bCs/>
                <w:color w:val="000000"/>
                <w:sz w:val="24"/>
                <w:szCs w:val="24"/>
              </w:rPr>
            </w:pPr>
          </w:p>
        </w:tc>
      </w:tr>
      <w:tr w14:paraId="13388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824" w:type="dxa"/>
            <w:vAlign w:val="center"/>
          </w:tcPr>
          <w:p w14:paraId="3C9A29EC">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14</w:t>
            </w:r>
          </w:p>
        </w:tc>
        <w:tc>
          <w:tcPr>
            <w:tcW w:w="1358" w:type="dxa"/>
            <w:vMerge w:val="continue"/>
            <w:vAlign w:val="center"/>
          </w:tcPr>
          <w:p w14:paraId="3659C6F2">
            <w:pPr>
              <w:autoSpaceDE w:val="0"/>
              <w:autoSpaceDN w:val="0"/>
              <w:spacing w:line="320" w:lineRule="exact"/>
              <w:ind w:left="0" w:leftChars="0" w:firstLine="0" w:firstLineChars="0"/>
              <w:jc w:val="center"/>
              <w:rPr>
                <w:rFonts w:ascii="宋体" w:hAnsi="宋体" w:eastAsia="宋体" w:cs="宋体"/>
                <w:b w:val="0"/>
                <w:bCs/>
                <w:kern w:val="0"/>
                <w:sz w:val="24"/>
                <w:szCs w:val="24"/>
                <w:lang w:eastAsia="en-US"/>
              </w:rPr>
            </w:pPr>
          </w:p>
        </w:tc>
        <w:tc>
          <w:tcPr>
            <w:tcW w:w="3749" w:type="dxa"/>
            <w:tcBorders>
              <w:top w:val="single" w:color="auto" w:sz="4" w:space="0"/>
            </w:tcBorders>
            <w:vAlign w:val="center"/>
          </w:tcPr>
          <w:p w14:paraId="403AE697">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无充装许可资质、许可证超期的，未及时办理变更手续。</w:t>
            </w:r>
          </w:p>
        </w:tc>
        <w:tc>
          <w:tcPr>
            <w:tcW w:w="5146" w:type="dxa"/>
            <w:vAlign w:val="center"/>
          </w:tcPr>
          <w:p w14:paraId="39664691">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1、立即停止充装，并严格按照规定取得许可；</w:t>
            </w:r>
          </w:p>
          <w:p w14:paraId="2E0FEA52">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2、加强许可管理，及时变更</w:t>
            </w:r>
          </w:p>
        </w:tc>
        <w:tc>
          <w:tcPr>
            <w:tcW w:w="1530" w:type="dxa"/>
            <w:tcBorders>
              <w:bottom w:val="single" w:color="auto" w:sz="4" w:space="0"/>
            </w:tcBorders>
            <w:vAlign w:val="center"/>
          </w:tcPr>
          <w:p w14:paraId="5CBC9E80">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bottom w:val="single" w:color="auto" w:sz="4" w:space="0"/>
            </w:tcBorders>
            <w:vAlign w:val="center"/>
          </w:tcPr>
          <w:p w14:paraId="2F881F35">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2F92A32F">
            <w:pPr>
              <w:spacing w:line="320" w:lineRule="exact"/>
              <w:ind w:left="0" w:leftChars="0" w:firstLine="0" w:firstLineChars="0"/>
              <w:jc w:val="left"/>
              <w:rPr>
                <w:rFonts w:ascii="宋体" w:hAnsi="宋体" w:eastAsia="宋体" w:cs="宋体"/>
                <w:b w:val="0"/>
                <w:bCs/>
                <w:sz w:val="24"/>
                <w:szCs w:val="24"/>
              </w:rPr>
            </w:pPr>
          </w:p>
        </w:tc>
      </w:tr>
      <w:tr w14:paraId="5BE3A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exact"/>
        </w:trPr>
        <w:tc>
          <w:tcPr>
            <w:tcW w:w="824" w:type="dxa"/>
            <w:vAlign w:val="center"/>
          </w:tcPr>
          <w:p w14:paraId="53AC1FAF">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15</w:t>
            </w:r>
          </w:p>
        </w:tc>
        <w:tc>
          <w:tcPr>
            <w:tcW w:w="1358" w:type="dxa"/>
            <w:vMerge w:val="continue"/>
            <w:vAlign w:val="center"/>
          </w:tcPr>
          <w:p w14:paraId="29AF9106">
            <w:pPr>
              <w:autoSpaceDE w:val="0"/>
              <w:autoSpaceDN w:val="0"/>
              <w:spacing w:line="320" w:lineRule="exact"/>
              <w:ind w:left="0" w:leftChars="0" w:firstLine="0" w:firstLineChars="0"/>
              <w:jc w:val="center"/>
              <w:rPr>
                <w:rFonts w:ascii="宋体" w:hAnsi="宋体" w:eastAsia="宋体" w:cs="宋体"/>
                <w:b w:val="0"/>
                <w:bCs/>
                <w:kern w:val="0"/>
                <w:sz w:val="24"/>
                <w:szCs w:val="24"/>
                <w:lang w:eastAsia="en-US"/>
              </w:rPr>
            </w:pPr>
          </w:p>
        </w:tc>
        <w:tc>
          <w:tcPr>
            <w:tcW w:w="3749" w:type="dxa"/>
            <w:vAlign w:val="center"/>
          </w:tcPr>
          <w:p w14:paraId="177CF12F">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未建立、健全或有效实施相关安全管理制度，未及时修订质保手册、更新相关法律法规标准</w:t>
            </w:r>
          </w:p>
        </w:tc>
        <w:tc>
          <w:tcPr>
            <w:tcW w:w="5146" w:type="dxa"/>
            <w:vAlign w:val="center"/>
          </w:tcPr>
          <w:p w14:paraId="09096456">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1</w:t>
            </w:r>
            <w:r>
              <w:rPr>
                <w:rFonts w:ascii="宋体" w:hAnsi="宋体" w:eastAsia="宋体" w:cs="宋体"/>
                <w:b w:val="0"/>
                <w:bCs/>
                <w:sz w:val="24"/>
                <w:szCs w:val="24"/>
              </w:rPr>
              <w:t>.</w:t>
            </w:r>
            <w:r>
              <w:rPr>
                <w:rFonts w:hint="eastAsia" w:ascii="宋体" w:hAnsi="宋体" w:eastAsia="宋体" w:cs="宋体"/>
                <w:b w:val="0"/>
                <w:bCs/>
                <w:sz w:val="24"/>
                <w:szCs w:val="24"/>
              </w:rPr>
              <w:t>建立健全并有效实施相关安全管理制度；</w:t>
            </w:r>
            <w:r>
              <w:rPr>
                <w:rFonts w:ascii="宋体" w:hAnsi="宋体" w:eastAsia="宋体" w:cs="宋体"/>
                <w:b w:val="0"/>
                <w:bCs/>
                <w:sz w:val="24"/>
                <w:szCs w:val="24"/>
              </w:rPr>
              <w:br w:type="textWrapping"/>
            </w:r>
            <w:r>
              <w:rPr>
                <w:rFonts w:hint="eastAsia" w:ascii="宋体" w:hAnsi="宋体" w:eastAsia="宋体" w:cs="宋体"/>
                <w:b w:val="0"/>
                <w:bCs/>
                <w:sz w:val="24"/>
                <w:szCs w:val="24"/>
              </w:rPr>
              <w:t>2</w:t>
            </w:r>
            <w:r>
              <w:rPr>
                <w:rFonts w:ascii="宋体" w:hAnsi="宋体" w:eastAsia="宋体" w:cs="宋体"/>
                <w:b w:val="0"/>
                <w:bCs/>
                <w:sz w:val="24"/>
                <w:szCs w:val="24"/>
              </w:rPr>
              <w:t>.</w:t>
            </w:r>
            <w:r>
              <w:rPr>
                <w:rFonts w:hint="eastAsia" w:ascii="宋体" w:hAnsi="宋体" w:eastAsia="宋体" w:cs="宋体"/>
                <w:b w:val="0"/>
                <w:bCs/>
                <w:sz w:val="24"/>
                <w:szCs w:val="24"/>
              </w:rPr>
              <w:t>根据资源条件变化及时修订质保手册、更新相关法律法规标准</w:t>
            </w:r>
          </w:p>
        </w:tc>
        <w:tc>
          <w:tcPr>
            <w:tcW w:w="1530" w:type="dxa"/>
            <w:tcBorders>
              <w:top w:val="single" w:color="auto" w:sz="4" w:space="0"/>
              <w:bottom w:val="single" w:color="auto" w:sz="4" w:space="0"/>
            </w:tcBorders>
            <w:vAlign w:val="center"/>
          </w:tcPr>
          <w:p w14:paraId="76E341BE">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79747A16">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729431F6">
            <w:pPr>
              <w:spacing w:line="320" w:lineRule="exact"/>
              <w:ind w:left="0" w:leftChars="0" w:firstLine="0" w:firstLineChars="0"/>
              <w:jc w:val="left"/>
              <w:rPr>
                <w:rFonts w:ascii="宋体" w:hAnsi="宋体" w:eastAsia="宋体" w:cs="宋体"/>
                <w:b w:val="0"/>
                <w:bCs/>
                <w:sz w:val="24"/>
                <w:szCs w:val="24"/>
              </w:rPr>
            </w:pPr>
          </w:p>
        </w:tc>
      </w:tr>
      <w:tr w14:paraId="26C9D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exact"/>
        </w:trPr>
        <w:tc>
          <w:tcPr>
            <w:tcW w:w="824" w:type="dxa"/>
            <w:vAlign w:val="center"/>
          </w:tcPr>
          <w:p w14:paraId="10584A00">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16</w:t>
            </w:r>
          </w:p>
        </w:tc>
        <w:tc>
          <w:tcPr>
            <w:tcW w:w="1358" w:type="dxa"/>
            <w:vMerge w:val="continue"/>
            <w:vAlign w:val="center"/>
          </w:tcPr>
          <w:p w14:paraId="3C337E75">
            <w:pPr>
              <w:autoSpaceDE w:val="0"/>
              <w:autoSpaceDN w:val="0"/>
              <w:spacing w:line="320" w:lineRule="exact"/>
              <w:ind w:left="0" w:leftChars="0" w:firstLine="0" w:firstLineChars="0"/>
              <w:jc w:val="center"/>
              <w:rPr>
                <w:rFonts w:ascii="宋体" w:hAnsi="宋体" w:eastAsia="宋体" w:cs="宋体"/>
                <w:b w:val="0"/>
                <w:bCs/>
                <w:kern w:val="0"/>
                <w:sz w:val="24"/>
                <w:szCs w:val="24"/>
                <w:lang w:eastAsia="en-US"/>
              </w:rPr>
            </w:pPr>
          </w:p>
        </w:tc>
        <w:tc>
          <w:tcPr>
            <w:tcW w:w="3749" w:type="dxa"/>
            <w:vAlign w:val="center"/>
          </w:tcPr>
          <w:p w14:paraId="08DE3938">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未建立、健全操作规程</w:t>
            </w:r>
          </w:p>
        </w:tc>
        <w:tc>
          <w:tcPr>
            <w:tcW w:w="5146" w:type="dxa"/>
            <w:tcBorders>
              <w:bottom w:val="single" w:color="auto" w:sz="4" w:space="0"/>
            </w:tcBorders>
            <w:vAlign w:val="center"/>
          </w:tcPr>
          <w:p w14:paraId="49340587">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建立健全操作规程</w:t>
            </w:r>
          </w:p>
        </w:tc>
        <w:tc>
          <w:tcPr>
            <w:tcW w:w="1530" w:type="dxa"/>
            <w:tcBorders>
              <w:top w:val="single" w:color="auto" w:sz="4" w:space="0"/>
              <w:bottom w:val="single" w:color="auto" w:sz="4" w:space="0"/>
            </w:tcBorders>
            <w:vAlign w:val="center"/>
          </w:tcPr>
          <w:p w14:paraId="6697F775">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7307072F">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tcBorders>
              <w:bottom w:val="single" w:color="auto" w:sz="4" w:space="0"/>
            </w:tcBorders>
            <w:vAlign w:val="center"/>
          </w:tcPr>
          <w:p w14:paraId="32F3341A">
            <w:pPr>
              <w:spacing w:line="320" w:lineRule="exact"/>
              <w:ind w:left="0" w:leftChars="0" w:firstLine="0" w:firstLineChars="0"/>
              <w:jc w:val="left"/>
              <w:rPr>
                <w:rFonts w:ascii="宋体" w:hAnsi="宋体" w:eastAsia="宋体" w:cs="宋体"/>
                <w:b w:val="0"/>
                <w:bCs/>
                <w:sz w:val="24"/>
                <w:szCs w:val="24"/>
              </w:rPr>
            </w:pPr>
          </w:p>
        </w:tc>
      </w:tr>
      <w:tr w14:paraId="078D7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824" w:type="dxa"/>
            <w:vAlign w:val="center"/>
          </w:tcPr>
          <w:p w14:paraId="3901A1CD">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17</w:t>
            </w:r>
          </w:p>
        </w:tc>
        <w:tc>
          <w:tcPr>
            <w:tcW w:w="1358" w:type="dxa"/>
            <w:vMerge w:val="continue"/>
            <w:vAlign w:val="center"/>
          </w:tcPr>
          <w:p w14:paraId="5071B6E7">
            <w:pPr>
              <w:autoSpaceDE w:val="0"/>
              <w:autoSpaceDN w:val="0"/>
              <w:spacing w:line="320" w:lineRule="exact"/>
              <w:ind w:left="0" w:leftChars="0" w:firstLine="0" w:firstLineChars="0"/>
              <w:jc w:val="center"/>
              <w:rPr>
                <w:rFonts w:ascii="宋体" w:hAnsi="宋体" w:eastAsia="宋体" w:cs="宋体"/>
                <w:b w:val="0"/>
                <w:bCs/>
                <w:kern w:val="0"/>
                <w:sz w:val="24"/>
                <w:szCs w:val="24"/>
                <w:lang w:eastAsia="en-US"/>
              </w:rPr>
            </w:pPr>
          </w:p>
        </w:tc>
        <w:tc>
          <w:tcPr>
            <w:tcW w:w="3749" w:type="dxa"/>
            <w:vAlign w:val="center"/>
          </w:tcPr>
          <w:p w14:paraId="6703A6BC">
            <w:pPr>
              <w:autoSpaceDE w:val="0"/>
              <w:autoSpaceDN w:val="0"/>
              <w:spacing w:before="113"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未及时办理使用登记，每年未及时报送气瓶基本信息汇总表和年度安全状况</w:t>
            </w:r>
          </w:p>
        </w:tc>
        <w:tc>
          <w:tcPr>
            <w:tcW w:w="5146" w:type="dxa"/>
            <w:tcBorders>
              <w:top w:val="single" w:color="auto" w:sz="4" w:space="0"/>
            </w:tcBorders>
            <w:vAlign w:val="center"/>
          </w:tcPr>
          <w:p w14:paraId="7B18629F">
            <w:pPr>
              <w:autoSpaceDE w:val="0"/>
              <w:autoSpaceDN w:val="0"/>
              <w:spacing w:before="69" w:line="320" w:lineRule="exact"/>
              <w:ind w:left="28"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1</w:t>
            </w:r>
            <w:r>
              <w:rPr>
                <w:rFonts w:ascii="宋体" w:hAnsi="宋体" w:eastAsia="宋体" w:cs="宋体"/>
                <w:b w:val="0"/>
                <w:bCs/>
                <w:sz w:val="24"/>
                <w:szCs w:val="24"/>
              </w:rPr>
              <w:t>.</w:t>
            </w:r>
            <w:r>
              <w:rPr>
                <w:rFonts w:hint="eastAsia" w:ascii="宋体" w:hAnsi="宋体" w:eastAsia="宋体" w:cs="宋体"/>
                <w:b w:val="0"/>
                <w:bCs/>
                <w:sz w:val="24"/>
                <w:szCs w:val="24"/>
              </w:rPr>
              <w:t>及时办理使用登记，对气瓶台账进行动态维护；</w:t>
            </w:r>
          </w:p>
          <w:p w14:paraId="6793E770">
            <w:pPr>
              <w:autoSpaceDE w:val="0"/>
              <w:autoSpaceDN w:val="0"/>
              <w:spacing w:before="69" w:line="320" w:lineRule="exact"/>
              <w:ind w:left="28"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2</w:t>
            </w:r>
            <w:r>
              <w:rPr>
                <w:rFonts w:ascii="宋体" w:hAnsi="宋体" w:eastAsia="宋体" w:cs="宋体"/>
                <w:b w:val="0"/>
                <w:bCs/>
                <w:sz w:val="24"/>
                <w:szCs w:val="24"/>
              </w:rPr>
              <w:t>.</w:t>
            </w:r>
            <w:r>
              <w:rPr>
                <w:rFonts w:hint="eastAsia" w:ascii="宋体" w:hAnsi="宋体" w:eastAsia="宋体" w:cs="宋体"/>
                <w:b w:val="0"/>
                <w:bCs/>
                <w:sz w:val="24"/>
                <w:szCs w:val="24"/>
              </w:rPr>
              <w:t>每年及时报送气瓶基本信息汇总表和年度安全状况</w:t>
            </w:r>
          </w:p>
        </w:tc>
        <w:tc>
          <w:tcPr>
            <w:tcW w:w="1530" w:type="dxa"/>
            <w:tcBorders>
              <w:top w:val="single" w:color="auto" w:sz="4" w:space="0"/>
              <w:bottom w:val="single" w:color="auto" w:sz="4" w:space="0"/>
            </w:tcBorders>
            <w:vAlign w:val="center"/>
          </w:tcPr>
          <w:p w14:paraId="09FE3E54">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35F11F47">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tcBorders>
              <w:top w:val="single" w:color="auto" w:sz="4" w:space="0"/>
              <w:bottom w:val="single" w:color="auto" w:sz="4" w:space="0"/>
            </w:tcBorders>
            <w:vAlign w:val="center"/>
          </w:tcPr>
          <w:p w14:paraId="0083A4D4">
            <w:pPr>
              <w:spacing w:line="320" w:lineRule="exact"/>
              <w:ind w:left="0" w:leftChars="0" w:firstLine="0" w:firstLineChars="0"/>
              <w:jc w:val="left"/>
              <w:rPr>
                <w:rFonts w:ascii="宋体" w:hAnsi="宋体" w:eastAsia="宋体" w:cs="宋体"/>
                <w:b w:val="0"/>
                <w:bCs/>
                <w:sz w:val="24"/>
                <w:szCs w:val="24"/>
              </w:rPr>
            </w:pPr>
          </w:p>
        </w:tc>
      </w:tr>
      <w:tr w14:paraId="2B64E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24" w:type="dxa"/>
            <w:vAlign w:val="center"/>
          </w:tcPr>
          <w:p w14:paraId="7C742307">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18</w:t>
            </w:r>
          </w:p>
        </w:tc>
        <w:tc>
          <w:tcPr>
            <w:tcW w:w="1358" w:type="dxa"/>
            <w:vMerge w:val="continue"/>
            <w:vAlign w:val="center"/>
          </w:tcPr>
          <w:p w14:paraId="0670B2A5">
            <w:pPr>
              <w:autoSpaceDE w:val="0"/>
              <w:autoSpaceDN w:val="0"/>
              <w:spacing w:line="320" w:lineRule="exact"/>
              <w:ind w:left="0" w:leftChars="0" w:firstLine="0" w:firstLineChars="0"/>
              <w:jc w:val="center"/>
              <w:rPr>
                <w:rFonts w:ascii="宋体" w:hAnsi="宋体" w:eastAsia="宋体" w:cs="宋体"/>
                <w:b w:val="0"/>
                <w:bCs/>
                <w:kern w:val="0"/>
                <w:sz w:val="24"/>
                <w:szCs w:val="24"/>
                <w:lang w:eastAsia="en-US"/>
              </w:rPr>
            </w:pPr>
          </w:p>
        </w:tc>
        <w:tc>
          <w:tcPr>
            <w:tcW w:w="3749" w:type="dxa"/>
            <w:vAlign w:val="center"/>
          </w:tcPr>
          <w:p w14:paraId="5E977253">
            <w:pPr>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气瓶检验</w:t>
            </w:r>
            <w:r>
              <w:rPr>
                <w:rFonts w:hint="eastAsia" w:ascii="宋体" w:hAnsi="宋体" w:eastAsia="宋体" w:cs="宋体"/>
                <w:b w:val="0"/>
                <w:bCs/>
                <w:color w:val="000000"/>
                <w:sz w:val="24"/>
                <w:szCs w:val="24"/>
                <w:lang w:val="zh-TW" w:eastAsia="zh-TW" w:bidi="zh-TW"/>
              </w:rPr>
              <w:t>有效期届满前一个月</w:t>
            </w:r>
            <w:r>
              <w:rPr>
                <w:rFonts w:hint="eastAsia" w:ascii="宋体" w:hAnsi="宋体" w:eastAsia="宋体" w:cs="宋体"/>
                <w:b w:val="0"/>
                <w:bCs/>
                <w:color w:val="000000"/>
                <w:sz w:val="24"/>
                <w:szCs w:val="24"/>
                <w:lang w:val="zh-TW" w:bidi="zh-TW"/>
              </w:rPr>
              <w:t>，</w:t>
            </w:r>
            <w:r>
              <w:rPr>
                <w:rFonts w:hint="eastAsia" w:ascii="宋体" w:hAnsi="宋体" w:eastAsia="宋体" w:cs="宋体"/>
                <w:b w:val="0"/>
                <w:bCs/>
                <w:color w:val="000000"/>
                <w:sz w:val="24"/>
                <w:szCs w:val="24"/>
                <w:lang w:bidi="zh-TW"/>
              </w:rPr>
              <w:t>未</w:t>
            </w:r>
            <w:r>
              <w:rPr>
                <w:rFonts w:hint="eastAsia" w:ascii="宋体" w:hAnsi="宋体" w:eastAsia="宋体" w:cs="宋体"/>
                <w:b w:val="0"/>
                <w:bCs/>
                <w:color w:val="000000"/>
                <w:sz w:val="24"/>
                <w:szCs w:val="24"/>
                <w:lang w:val="zh-TW" w:eastAsia="zh-TW" w:bidi="zh-TW"/>
              </w:rPr>
              <w:t>向气瓶定期检验机构提出定期检验申请，并且送检气瓶。</w:t>
            </w:r>
          </w:p>
        </w:tc>
        <w:tc>
          <w:tcPr>
            <w:tcW w:w="5146" w:type="dxa"/>
            <w:tcBorders>
              <w:bottom w:val="single" w:color="auto" w:sz="4" w:space="0"/>
            </w:tcBorders>
            <w:vAlign w:val="center"/>
          </w:tcPr>
          <w:p w14:paraId="00248A1B">
            <w:pPr>
              <w:spacing w:line="320" w:lineRule="exact"/>
              <w:ind w:left="0" w:leftChars="0" w:firstLine="0" w:firstLineChars="0"/>
              <w:jc w:val="left"/>
              <w:rPr>
                <w:rFonts w:ascii="宋体" w:hAnsi="宋体" w:eastAsia="宋体" w:cs="宋体"/>
                <w:b w:val="0"/>
                <w:bCs/>
                <w:kern w:val="0"/>
                <w:sz w:val="24"/>
                <w:szCs w:val="24"/>
              </w:rPr>
            </w:pPr>
            <w:r>
              <w:rPr>
                <w:rFonts w:hint="eastAsia" w:ascii="宋体" w:hAnsi="宋体" w:eastAsia="宋体" w:cs="宋体"/>
                <w:b w:val="0"/>
                <w:bCs/>
                <w:sz w:val="24"/>
                <w:szCs w:val="24"/>
              </w:rPr>
              <w:t>气瓶检验</w:t>
            </w:r>
            <w:r>
              <w:rPr>
                <w:rFonts w:hint="eastAsia" w:ascii="宋体" w:hAnsi="宋体" w:eastAsia="宋体" w:cs="宋体"/>
                <w:b w:val="0"/>
                <w:bCs/>
                <w:color w:val="000000"/>
                <w:sz w:val="24"/>
                <w:szCs w:val="24"/>
                <w:lang w:val="zh-TW" w:eastAsia="zh-TW" w:bidi="zh-TW"/>
              </w:rPr>
              <w:t>有效期届满前一个月</w:t>
            </w:r>
            <w:r>
              <w:rPr>
                <w:rFonts w:hint="eastAsia" w:ascii="宋体" w:hAnsi="宋体" w:eastAsia="宋体" w:cs="宋体"/>
                <w:b w:val="0"/>
                <w:bCs/>
                <w:color w:val="000000"/>
                <w:sz w:val="24"/>
                <w:szCs w:val="24"/>
                <w:lang w:val="zh-TW" w:bidi="zh-TW"/>
              </w:rPr>
              <w:t>，</w:t>
            </w:r>
            <w:r>
              <w:rPr>
                <w:rFonts w:hint="eastAsia" w:ascii="宋体" w:hAnsi="宋体" w:eastAsia="宋体" w:cs="宋体"/>
                <w:b w:val="0"/>
                <w:bCs/>
                <w:color w:val="000000"/>
                <w:sz w:val="24"/>
                <w:szCs w:val="24"/>
                <w:lang w:val="zh-TW" w:eastAsia="zh-TW" w:bidi="zh-TW"/>
              </w:rPr>
              <w:t>向气瓶定期检验机构提出定期检验申请，并且送检气瓶</w:t>
            </w:r>
          </w:p>
        </w:tc>
        <w:tc>
          <w:tcPr>
            <w:tcW w:w="1530" w:type="dxa"/>
            <w:tcBorders>
              <w:top w:val="single" w:color="auto" w:sz="4" w:space="0"/>
              <w:bottom w:val="single" w:color="auto" w:sz="4" w:space="0"/>
            </w:tcBorders>
            <w:vAlign w:val="center"/>
          </w:tcPr>
          <w:p w14:paraId="4BC871CA">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6FCE2A49">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tcBorders>
              <w:top w:val="single" w:color="auto" w:sz="4" w:space="0"/>
            </w:tcBorders>
            <w:vAlign w:val="center"/>
          </w:tcPr>
          <w:p w14:paraId="734CC70D">
            <w:pPr>
              <w:spacing w:line="320" w:lineRule="exact"/>
              <w:ind w:left="0" w:leftChars="0" w:firstLine="0" w:firstLineChars="0"/>
              <w:jc w:val="left"/>
              <w:rPr>
                <w:rFonts w:ascii="宋体" w:hAnsi="宋体" w:eastAsia="宋体" w:cs="宋体"/>
                <w:b w:val="0"/>
                <w:bCs/>
                <w:sz w:val="24"/>
                <w:szCs w:val="24"/>
              </w:rPr>
            </w:pPr>
          </w:p>
        </w:tc>
      </w:tr>
      <w:tr w14:paraId="2952D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trPr>
        <w:tc>
          <w:tcPr>
            <w:tcW w:w="824" w:type="dxa"/>
            <w:vAlign w:val="center"/>
          </w:tcPr>
          <w:p w14:paraId="6D42866A">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19</w:t>
            </w:r>
          </w:p>
        </w:tc>
        <w:tc>
          <w:tcPr>
            <w:tcW w:w="1358" w:type="dxa"/>
            <w:vMerge w:val="continue"/>
            <w:vAlign w:val="center"/>
          </w:tcPr>
          <w:p w14:paraId="05E8534C">
            <w:pPr>
              <w:autoSpaceDE w:val="0"/>
              <w:autoSpaceDN w:val="0"/>
              <w:spacing w:line="320" w:lineRule="exact"/>
              <w:ind w:left="0" w:leftChars="0" w:firstLine="0" w:firstLineChars="0"/>
              <w:jc w:val="center"/>
              <w:rPr>
                <w:rFonts w:ascii="宋体" w:hAnsi="宋体" w:eastAsia="宋体" w:cs="宋体"/>
                <w:b w:val="0"/>
                <w:bCs/>
                <w:kern w:val="0"/>
                <w:sz w:val="24"/>
                <w:szCs w:val="24"/>
                <w:lang w:eastAsia="en-US"/>
              </w:rPr>
            </w:pPr>
          </w:p>
        </w:tc>
        <w:tc>
          <w:tcPr>
            <w:tcW w:w="3749" w:type="dxa"/>
            <w:vAlign w:val="center"/>
          </w:tcPr>
          <w:p w14:paraId="3135EEC7">
            <w:pPr>
              <w:autoSpaceDE w:val="0"/>
              <w:autoSpaceDN w:val="0"/>
              <w:spacing w:before="165" w:line="320" w:lineRule="exact"/>
              <w:ind w:left="0" w:leftChars="0" w:right="193"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未制定应急预案或进行演练</w:t>
            </w:r>
          </w:p>
        </w:tc>
        <w:tc>
          <w:tcPr>
            <w:tcW w:w="5146" w:type="dxa"/>
            <w:tcBorders>
              <w:top w:val="single" w:color="auto" w:sz="4" w:space="0"/>
            </w:tcBorders>
            <w:vAlign w:val="center"/>
          </w:tcPr>
          <w:p w14:paraId="54539E1A">
            <w:pPr>
              <w:autoSpaceDE w:val="0"/>
              <w:autoSpaceDN w:val="0"/>
              <w:spacing w:before="59" w:line="320" w:lineRule="exact"/>
              <w:ind w:left="28" w:leftChars="0"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应建立应急预案，按要求定期开展演练</w:t>
            </w:r>
          </w:p>
        </w:tc>
        <w:tc>
          <w:tcPr>
            <w:tcW w:w="1530" w:type="dxa"/>
            <w:tcBorders>
              <w:top w:val="single" w:color="auto" w:sz="4" w:space="0"/>
              <w:bottom w:val="single" w:color="auto" w:sz="4" w:space="0"/>
            </w:tcBorders>
            <w:vAlign w:val="center"/>
          </w:tcPr>
          <w:p w14:paraId="672D0DF9">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14EB5821">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6307FD1C">
            <w:pPr>
              <w:spacing w:line="320" w:lineRule="exact"/>
              <w:ind w:left="0" w:leftChars="0" w:firstLine="0" w:firstLineChars="0"/>
              <w:jc w:val="left"/>
              <w:rPr>
                <w:rFonts w:ascii="宋体" w:hAnsi="宋体" w:eastAsia="宋体" w:cs="宋体"/>
                <w:b w:val="0"/>
                <w:bCs/>
                <w:sz w:val="24"/>
                <w:szCs w:val="24"/>
              </w:rPr>
            </w:pPr>
          </w:p>
        </w:tc>
      </w:tr>
      <w:tr w14:paraId="1AF1E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824" w:type="dxa"/>
            <w:vAlign w:val="center"/>
          </w:tcPr>
          <w:p w14:paraId="4DF17F9C">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20</w:t>
            </w:r>
          </w:p>
        </w:tc>
        <w:tc>
          <w:tcPr>
            <w:tcW w:w="1358" w:type="dxa"/>
            <w:vMerge w:val="continue"/>
            <w:vAlign w:val="center"/>
          </w:tcPr>
          <w:p w14:paraId="303A4614">
            <w:pPr>
              <w:autoSpaceDE w:val="0"/>
              <w:autoSpaceDN w:val="0"/>
              <w:spacing w:line="320" w:lineRule="exact"/>
              <w:ind w:left="0" w:leftChars="0" w:firstLine="0" w:firstLineChars="0"/>
              <w:jc w:val="left"/>
              <w:rPr>
                <w:rFonts w:ascii="宋体" w:hAnsi="宋体" w:eastAsia="宋体" w:cs="宋体"/>
                <w:b w:val="0"/>
                <w:kern w:val="0"/>
                <w:sz w:val="24"/>
                <w:szCs w:val="24"/>
                <w:lang w:eastAsia="en-US"/>
              </w:rPr>
            </w:pPr>
          </w:p>
        </w:tc>
        <w:tc>
          <w:tcPr>
            <w:tcW w:w="3749" w:type="dxa"/>
            <w:vAlign w:val="center"/>
          </w:tcPr>
          <w:p w14:paraId="528E0254">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未落实安全事故报告义务，未采取有效措施防止事故扩大</w:t>
            </w:r>
          </w:p>
        </w:tc>
        <w:tc>
          <w:tcPr>
            <w:tcW w:w="5146" w:type="dxa"/>
            <w:vAlign w:val="center"/>
          </w:tcPr>
          <w:p w14:paraId="21FCACB1">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w:t>
            </w:r>
            <w:r>
              <w:rPr>
                <w:rFonts w:ascii="宋体" w:hAnsi="宋体" w:eastAsia="宋体" w:cs="Times New Roman"/>
                <w:b w:val="0"/>
                <w:sz w:val="24"/>
                <w:szCs w:val="24"/>
              </w:rPr>
              <w:t>.</w:t>
            </w:r>
            <w:r>
              <w:rPr>
                <w:rFonts w:hint="eastAsia" w:ascii="宋体" w:hAnsi="宋体" w:eastAsia="宋体" w:cs="Times New Roman"/>
                <w:b w:val="0"/>
                <w:sz w:val="24"/>
                <w:szCs w:val="24"/>
              </w:rPr>
              <w:t>落实气瓶安全事故报告制度；</w:t>
            </w:r>
            <w:r>
              <w:rPr>
                <w:rFonts w:ascii="宋体" w:hAnsi="宋体" w:eastAsia="宋体" w:cs="Times New Roman"/>
                <w:b w:val="0"/>
                <w:sz w:val="24"/>
                <w:szCs w:val="24"/>
              </w:rPr>
              <w:br w:type="textWrapping"/>
            </w:r>
            <w:r>
              <w:rPr>
                <w:rFonts w:hint="eastAsia" w:ascii="宋体" w:hAnsi="宋体" w:eastAsia="宋体" w:cs="Times New Roman"/>
                <w:b w:val="0"/>
                <w:sz w:val="24"/>
                <w:szCs w:val="24"/>
              </w:rPr>
              <w:t>2</w:t>
            </w:r>
            <w:r>
              <w:rPr>
                <w:rFonts w:ascii="宋体" w:hAnsi="宋体" w:eastAsia="宋体" w:cs="Times New Roman"/>
                <w:b w:val="0"/>
                <w:sz w:val="24"/>
                <w:szCs w:val="24"/>
              </w:rPr>
              <w:t>.</w:t>
            </w:r>
            <w:r>
              <w:rPr>
                <w:rFonts w:hint="eastAsia" w:ascii="宋体" w:hAnsi="宋体" w:eastAsia="宋体" w:cs="Times New Roman"/>
                <w:b w:val="0"/>
                <w:sz w:val="24"/>
                <w:szCs w:val="24"/>
              </w:rPr>
              <w:t>及时采取有效措施防止事故扩大</w:t>
            </w:r>
          </w:p>
        </w:tc>
        <w:tc>
          <w:tcPr>
            <w:tcW w:w="1530" w:type="dxa"/>
            <w:tcBorders>
              <w:top w:val="single" w:color="auto" w:sz="4" w:space="0"/>
            </w:tcBorders>
            <w:vAlign w:val="center"/>
          </w:tcPr>
          <w:p w14:paraId="5F51A08B">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宋体"/>
                <w:b w:val="0"/>
                <w:bCs/>
                <w:sz w:val="24"/>
                <w:szCs w:val="24"/>
              </w:rPr>
              <w:t>月调度</w:t>
            </w:r>
          </w:p>
        </w:tc>
        <w:tc>
          <w:tcPr>
            <w:tcW w:w="1245" w:type="dxa"/>
            <w:tcBorders>
              <w:top w:val="single" w:color="auto" w:sz="4" w:space="0"/>
            </w:tcBorders>
            <w:vAlign w:val="center"/>
          </w:tcPr>
          <w:p w14:paraId="3F353589">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宋体"/>
                <w:b w:val="0"/>
                <w:bCs/>
                <w:sz w:val="24"/>
                <w:szCs w:val="24"/>
              </w:rPr>
              <w:t>主要负责人</w:t>
            </w:r>
          </w:p>
        </w:tc>
        <w:tc>
          <w:tcPr>
            <w:tcW w:w="890" w:type="dxa"/>
            <w:vAlign w:val="center"/>
          </w:tcPr>
          <w:p w14:paraId="6CD92A57">
            <w:pPr>
              <w:spacing w:line="320" w:lineRule="exact"/>
              <w:ind w:left="0" w:leftChars="0" w:firstLine="0" w:firstLineChars="0"/>
              <w:jc w:val="left"/>
              <w:rPr>
                <w:rFonts w:ascii="宋体" w:hAnsi="宋体" w:eastAsia="宋体" w:cs="宋体"/>
                <w:b w:val="0"/>
                <w:bCs/>
                <w:sz w:val="24"/>
                <w:szCs w:val="24"/>
              </w:rPr>
            </w:pPr>
          </w:p>
        </w:tc>
      </w:tr>
      <w:tr w14:paraId="52DD3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3" w:hRule="atLeast"/>
        </w:trPr>
        <w:tc>
          <w:tcPr>
            <w:tcW w:w="824" w:type="dxa"/>
            <w:vAlign w:val="center"/>
          </w:tcPr>
          <w:p w14:paraId="76B9B6A9">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21</w:t>
            </w:r>
          </w:p>
        </w:tc>
        <w:tc>
          <w:tcPr>
            <w:tcW w:w="1358" w:type="dxa"/>
            <w:vMerge w:val="restart"/>
            <w:vAlign w:val="center"/>
          </w:tcPr>
          <w:p w14:paraId="2EAFEC87">
            <w:pPr>
              <w:tabs>
                <w:tab w:val="left" w:pos="1016"/>
              </w:tabs>
              <w:spacing w:line="320" w:lineRule="exact"/>
              <w:ind w:left="0" w:leftChars="0" w:firstLine="0" w:firstLineChars="0"/>
              <w:jc w:val="center"/>
              <w:rPr>
                <w:rFonts w:ascii="宋体" w:hAnsi="宋体" w:eastAsia="宋体" w:cs="宋体"/>
                <w:b w:val="0"/>
                <w:bCs/>
                <w:color w:val="000000"/>
                <w:sz w:val="24"/>
                <w:szCs w:val="24"/>
                <w:lang w:bidi="zh-TW"/>
              </w:rPr>
            </w:pPr>
            <w:r>
              <w:rPr>
                <w:rFonts w:hint="eastAsia" w:ascii="宋体" w:hAnsi="宋体" w:eastAsia="宋体" w:cs="宋体"/>
                <w:b w:val="0"/>
                <w:bCs/>
                <w:color w:val="000000"/>
                <w:sz w:val="24"/>
                <w:szCs w:val="24"/>
                <w:lang w:bidi="zh-TW"/>
              </w:rPr>
              <w:t>设备</w:t>
            </w:r>
          </w:p>
        </w:tc>
        <w:tc>
          <w:tcPr>
            <w:tcW w:w="3749" w:type="dxa"/>
            <w:vAlign w:val="center"/>
          </w:tcPr>
          <w:p w14:paraId="22DEC869">
            <w:pPr>
              <w:autoSpaceDE w:val="0"/>
              <w:autoSpaceDN w:val="0"/>
              <w:spacing w:before="113" w:line="320" w:lineRule="exact"/>
              <w:ind w:left="76" w:leftChars="0" w:firstLine="0" w:firstLineChars="0"/>
              <w:jc w:val="left"/>
              <w:rPr>
                <w:rFonts w:ascii="宋体" w:hAnsi="宋体" w:eastAsia="宋体" w:cs="宋体"/>
                <w:b w:val="0"/>
                <w:bCs/>
                <w:sz w:val="24"/>
                <w:szCs w:val="24"/>
              </w:rPr>
            </w:pPr>
            <w:r>
              <w:rPr>
                <w:rFonts w:hint="eastAsia" w:ascii="宋体" w:hAnsi="宋体" w:eastAsia="宋体" w:cs="宋体"/>
                <w:b w:val="0"/>
                <w:bCs/>
                <w:color w:val="000000"/>
                <w:kern w:val="0"/>
                <w:sz w:val="24"/>
                <w:szCs w:val="24"/>
              </w:rPr>
              <w:t>信息标志、警示标签、</w:t>
            </w:r>
            <w:r>
              <w:rPr>
                <w:rFonts w:hint="eastAsia" w:ascii="宋体" w:hAnsi="宋体" w:eastAsia="宋体" w:cs="宋体"/>
                <w:b w:val="0"/>
                <w:bCs/>
                <w:kern w:val="0"/>
                <w:sz w:val="24"/>
                <w:szCs w:val="24"/>
              </w:rPr>
              <w:t>漆色</w:t>
            </w:r>
            <w:r>
              <w:rPr>
                <w:rFonts w:hint="eastAsia" w:ascii="宋体" w:hAnsi="宋体" w:eastAsia="宋体" w:cs="宋体"/>
                <w:b w:val="0"/>
                <w:bCs/>
                <w:color w:val="000000"/>
                <w:kern w:val="0"/>
                <w:sz w:val="24"/>
                <w:szCs w:val="24"/>
              </w:rPr>
              <w:t>不符合要求</w:t>
            </w:r>
          </w:p>
        </w:tc>
        <w:tc>
          <w:tcPr>
            <w:tcW w:w="5146" w:type="dxa"/>
            <w:vAlign w:val="center"/>
          </w:tcPr>
          <w:p w14:paraId="008E1DD3">
            <w:pPr>
              <w:tabs>
                <w:tab w:val="left" w:pos="1011"/>
              </w:tabs>
              <w:spacing w:line="320" w:lineRule="exact"/>
              <w:ind w:left="0" w:leftChars="0" w:firstLine="0" w:firstLineChars="0"/>
              <w:jc w:val="left"/>
              <w:rPr>
                <w:rFonts w:ascii="宋体" w:hAnsi="宋体" w:eastAsia="宋体" w:cs="宋体"/>
                <w:b w:val="0"/>
                <w:bCs/>
                <w:sz w:val="24"/>
                <w:szCs w:val="24"/>
                <w:lang w:val="zh-TW" w:bidi="zh-TW"/>
              </w:rPr>
            </w:pPr>
            <w:r>
              <w:rPr>
                <w:rFonts w:hint="eastAsia" w:ascii="宋体" w:hAnsi="宋体" w:eastAsia="宋体" w:cs="宋体"/>
                <w:b w:val="0"/>
                <w:bCs/>
                <w:color w:val="000000"/>
                <w:sz w:val="24"/>
                <w:szCs w:val="24"/>
                <w:lang w:bidi="zh-TW"/>
              </w:rPr>
              <w:t>1、</w:t>
            </w:r>
            <w:r>
              <w:rPr>
                <w:rFonts w:hint="eastAsia" w:ascii="宋体" w:hAnsi="宋体" w:eastAsia="宋体" w:cs="宋体"/>
                <w:b w:val="0"/>
                <w:bCs/>
                <w:color w:val="000000"/>
                <w:sz w:val="24"/>
                <w:szCs w:val="24"/>
                <w:lang w:val="zh-TW" w:eastAsia="zh-TW" w:bidi="zh-TW"/>
              </w:rPr>
              <w:t>在充装检查合格的气瓶上，牢固粘贴充装产品合格标签，标签上</w:t>
            </w:r>
            <w:r>
              <w:rPr>
                <w:rFonts w:hint="eastAsia" w:ascii="宋体" w:hAnsi="宋体" w:eastAsia="宋体" w:cs="宋体"/>
                <w:b w:val="0"/>
                <w:bCs/>
                <w:color w:val="000000"/>
                <w:sz w:val="24"/>
                <w:szCs w:val="24"/>
                <w:lang w:bidi="zh-TW"/>
              </w:rPr>
              <w:t>的内容应符合相应规定；</w:t>
            </w:r>
          </w:p>
          <w:p w14:paraId="42DF3335">
            <w:pPr>
              <w:tabs>
                <w:tab w:val="left" w:pos="1002"/>
              </w:tabs>
              <w:spacing w:line="320" w:lineRule="exact"/>
              <w:ind w:left="0" w:leftChars="0" w:firstLine="0" w:firstLineChars="0"/>
              <w:jc w:val="left"/>
              <w:rPr>
                <w:rFonts w:ascii="宋体" w:hAnsi="宋体" w:eastAsia="宋体" w:cs="宋体"/>
                <w:b w:val="0"/>
                <w:bCs/>
                <w:kern w:val="0"/>
                <w:sz w:val="24"/>
                <w:szCs w:val="24"/>
                <w:lang w:eastAsia="zh-TW"/>
              </w:rPr>
            </w:pPr>
            <w:bookmarkStart w:id="66" w:name="bookmark490"/>
            <w:bookmarkEnd w:id="66"/>
            <w:r>
              <w:rPr>
                <w:rFonts w:hint="eastAsia" w:ascii="宋体" w:hAnsi="宋体" w:eastAsia="宋体" w:cs="宋体"/>
                <w:b w:val="0"/>
                <w:bCs/>
                <w:color w:val="000000"/>
                <w:sz w:val="24"/>
                <w:szCs w:val="24"/>
                <w:lang w:bidi="zh-TW"/>
              </w:rPr>
              <w:t>2、</w:t>
            </w:r>
            <w:r>
              <w:rPr>
                <w:rFonts w:hint="eastAsia" w:ascii="宋体" w:hAnsi="宋体" w:eastAsia="宋体" w:cs="宋体"/>
                <w:b w:val="0"/>
                <w:bCs/>
                <w:color w:val="000000"/>
                <w:sz w:val="24"/>
                <w:szCs w:val="24"/>
                <w:lang w:val="zh-TW" w:eastAsia="zh-TW" w:bidi="zh-TW"/>
              </w:rPr>
              <w:t>在充装气瓶上标示警示标签，式样、制作方法和使用应当符合</w:t>
            </w:r>
            <w:r>
              <w:rPr>
                <w:rFonts w:hint="eastAsia" w:ascii="宋体" w:hAnsi="宋体" w:eastAsia="宋体" w:cs="宋体"/>
                <w:b w:val="0"/>
                <w:bCs/>
                <w:color w:val="000000"/>
                <w:sz w:val="24"/>
                <w:szCs w:val="24"/>
                <w:lang w:bidi="zh-TW"/>
              </w:rPr>
              <w:t>相关</w:t>
            </w:r>
            <w:r>
              <w:rPr>
                <w:rFonts w:hint="eastAsia" w:ascii="宋体" w:hAnsi="宋体" w:eastAsia="宋体" w:cs="宋体"/>
                <w:b w:val="0"/>
                <w:bCs/>
                <w:color w:val="000000"/>
                <w:sz w:val="24"/>
                <w:szCs w:val="24"/>
                <w:lang w:val="zh-TW" w:eastAsia="zh-TW" w:bidi="zh-TW"/>
              </w:rPr>
              <w:t>要求。燃气</w:t>
            </w:r>
            <w:r>
              <w:rPr>
                <w:rFonts w:hint="eastAsia" w:ascii="宋体" w:hAnsi="宋体" w:eastAsia="宋体" w:cs="宋体"/>
                <w:b w:val="0"/>
                <w:bCs/>
                <w:color w:val="000000"/>
                <w:sz w:val="24"/>
                <w:szCs w:val="24"/>
                <w:lang w:bidi="zh-TW"/>
              </w:rPr>
              <w:t>气瓶</w:t>
            </w:r>
            <w:r>
              <w:rPr>
                <w:rFonts w:hint="eastAsia" w:ascii="宋体" w:hAnsi="宋体" w:eastAsia="宋体" w:cs="宋体"/>
                <w:b w:val="0"/>
                <w:bCs/>
                <w:color w:val="000000"/>
                <w:sz w:val="24"/>
                <w:szCs w:val="24"/>
                <w:lang w:val="zh-TW" w:eastAsia="zh-TW" w:bidi="zh-TW"/>
              </w:rPr>
              <w:t>警示标签上应当注明</w:t>
            </w:r>
            <w:r>
              <w:rPr>
                <w:rFonts w:hint="eastAsia" w:ascii="宋体" w:hAnsi="宋体" w:eastAsia="宋体" w:cs="宋体"/>
                <w:b w:val="0"/>
                <w:bCs/>
                <w:color w:val="000000"/>
                <w:sz w:val="24"/>
                <w:szCs w:val="24"/>
                <w:lang w:val="zh-CN" w:bidi="zh-CN"/>
              </w:rPr>
              <w:t>“人</w:t>
            </w:r>
            <w:r>
              <w:rPr>
                <w:rFonts w:hint="eastAsia" w:ascii="宋体" w:hAnsi="宋体" w:eastAsia="宋体" w:cs="宋体"/>
                <w:b w:val="0"/>
                <w:bCs/>
                <w:color w:val="000000"/>
                <w:sz w:val="24"/>
                <w:szCs w:val="24"/>
                <w:lang w:val="zh-TW" w:eastAsia="zh-TW" w:bidi="zh-TW"/>
              </w:rPr>
              <w:t>员密集的室内禁用”字样</w:t>
            </w:r>
            <w:r>
              <w:rPr>
                <w:rFonts w:hint="eastAsia" w:ascii="宋体" w:hAnsi="宋体" w:eastAsia="宋体" w:cs="宋体"/>
                <w:b w:val="0"/>
                <w:bCs/>
                <w:color w:val="000000"/>
                <w:sz w:val="24"/>
                <w:szCs w:val="24"/>
                <w:lang w:val="zh-TW" w:bidi="zh-TW"/>
              </w:rPr>
              <w:t>；</w:t>
            </w:r>
            <w:r>
              <w:rPr>
                <w:rFonts w:ascii="宋体" w:hAnsi="宋体" w:eastAsia="宋体" w:cs="宋体"/>
                <w:b w:val="0"/>
                <w:bCs/>
                <w:color w:val="000000"/>
                <w:sz w:val="24"/>
                <w:szCs w:val="24"/>
                <w:lang w:val="zh-TW" w:eastAsia="zh-TW" w:bidi="zh-TW"/>
              </w:rPr>
              <w:br w:type="textWrapping"/>
            </w:r>
            <w:r>
              <w:rPr>
                <w:rFonts w:hint="eastAsia" w:ascii="宋体" w:hAnsi="宋体" w:eastAsia="宋体" w:cs="宋体"/>
                <w:b w:val="0"/>
                <w:bCs/>
                <w:color w:val="000000"/>
                <w:sz w:val="24"/>
                <w:szCs w:val="24"/>
                <w:lang w:val="zh-TW" w:bidi="zh-TW"/>
              </w:rPr>
              <w:t>3</w:t>
            </w:r>
            <w:r>
              <w:rPr>
                <w:rFonts w:ascii="宋体" w:hAnsi="宋体" w:eastAsia="宋体" w:cs="宋体"/>
                <w:b w:val="0"/>
                <w:bCs/>
                <w:color w:val="000000"/>
                <w:sz w:val="24"/>
                <w:szCs w:val="24"/>
                <w:lang w:val="zh-TW" w:eastAsia="zh-TW" w:bidi="zh-TW"/>
              </w:rPr>
              <w:t>.</w:t>
            </w:r>
            <w:r>
              <w:rPr>
                <w:rFonts w:hint="eastAsia" w:ascii="宋体" w:hAnsi="宋体" w:eastAsia="宋体" w:cs="宋体"/>
                <w:b w:val="0"/>
                <w:bCs/>
                <w:kern w:val="0"/>
                <w:sz w:val="24"/>
                <w:szCs w:val="24"/>
              </w:rPr>
              <w:t>充装气瓶的漆色应符合相关规定</w:t>
            </w:r>
          </w:p>
        </w:tc>
        <w:tc>
          <w:tcPr>
            <w:tcW w:w="1530" w:type="dxa"/>
            <w:tcBorders>
              <w:bottom w:val="single" w:color="auto" w:sz="4" w:space="0"/>
            </w:tcBorders>
            <w:vAlign w:val="center"/>
          </w:tcPr>
          <w:p w14:paraId="573EF7A0">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tcBorders>
              <w:bottom w:val="single" w:color="auto" w:sz="4" w:space="0"/>
            </w:tcBorders>
            <w:vAlign w:val="center"/>
          </w:tcPr>
          <w:p w14:paraId="5CB22AB8">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vAlign w:val="center"/>
          </w:tcPr>
          <w:p w14:paraId="23A1BBA6">
            <w:pPr>
              <w:spacing w:line="320" w:lineRule="exact"/>
              <w:ind w:left="0" w:leftChars="0" w:firstLine="0" w:firstLineChars="0"/>
              <w:jc w:val="left"/>
              <w:rPr>
                <w:rFonts w:ascii="宋体" w:hAnsi="宋体" w:eastAsia="宋体" w:cs="宋体"/>
                <w:b w:val="0"/>
                <w:bCs/>
                <w:sz w:val="24"/>
                <w:szCs w:val="24"/>
              </w:rPr>
            </w:pPr>
          </w:p>
        </w:tc>
      </w:tr>
      <w:tr w14:paraId="0FCEE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824" w:type="dxa"/>
            <w:tcBorders>
              <w:bottom w:val="single" w:color="auto" w:sz="4" w:space="0"/>
            </w:tcBorders>
            <w:vAlign w:val="center"/>
          </w:tcPr>
          <w:p w14:paraId="647CE7D2">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22</w:t>
            </w:r>
          </w:p>
        </w:tc>
        <w:tc>
          <w:tcPr>
            <w:tcW w:w="1358" w:type="dxa"/>
            <w:vMerge w:val="continue"/>
            <w:vAlign w:val="center"/>
          </w:tcPr>
          <w:p w14:paraId="51BB2262">
            <w:pPr>
              <w:spacing w:line="320" w:lineRule="exact"/>
              <w:ind w:left="0" w:leftChars="0" w:firstLine="0" w:firstLineChars="0"/>
              <w:jc w:val="center"/>
              <w:rPr>
                <w:rFonts w:ascii="宋体" w:hAnsi="宋体" w:eastAsia="宋体" w:cs="宋体"/>
                <w:b w:val="0"/>
                <w:bCs/>
                <w:color w:val="FF0000"/>
                <w:sz w:val="24"/>
                <w:szCs w:val="24"/>
              </w:rPr>
            </w:pPr>
          </w:p>
        </w:tc>
        <w:tc>
          <w:tcPr>
            <w:tcW w:w="3749" w:type="dxa"/>
            <w:vAlign w:val="center"/>
          </w:tcPr>
          <w:p w14:paraId="3B39586A">
            <w:pPr>
              <w:spacing w:line="320" w:lineRule="exact"/>
              <w:ind w:left="0" w:leftChars="0"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sz w:val="24"/>
                <w:szCs w:val="24"/>
                <w:lang w:val="zh-TW" w:eastAsia="zh-TW" w:bidi="zh-TW"/>
              </w:rPr>
              <w:t>充装前</w:t>
            </w:r>
            <w:r>
              <w:rPr>
                <w:rFonts w:hint="eastAsia" w:ascii="宋体" w:hAnsi="宋体" w:eastAsia="宋体" w:cs="宋体"/>
                <w:b w:val="0"/>
                <w:bCs/>
                <w:color w:val="000000"/>
                <w:sz w:val="24"/>
                <w:szCs w:val="24"/>
                <w:lang w:val="zh-TW" w:bidi="zh-TW"/>
              </w:rPr>
              <w:t>（</w:t>
            </w:r>
            <w:r>
              <w:rPr>
                <w:rFonts w:hint="eastAsia" w:ascii="宋体" w:hAnsi="宋体" w:eastAsia="宋体" w:cs="宋体"/>
                <w:b w:val="0"/>
                <w:bCs/>
                <w:color w:val="000000"/>
                <w:sz w:val="24"/>
                <w:szCs w:val="24"/>
                <w:lang w:bidi="zh-TW"/>
              </w:rPr>
              <w:t>后</w:t>
            </w:r>
            <w:r>
              <w:rPr>
                <w:rFonts w:hint="eastAsia" w:ascii="宋体" w:hAnsi="宋体" w:eastAsia="宋体" w:cs="宋体"/>
                <w:b w:val="0"/>
                <w:bCs/>
                <w:color w:val="000000"/>
                <w:sz w:val="24"/>
                <w:szCs w:val="24"/>
                <w:lang w:val="zh-TW" w:bidi="zh-TW"/>
              </w:rPr>
              <w:t>）</w:t>
            </w:r>
            <w:r>
              <w:rPr>
                <w:rFonts w:hint="eastAsia" w:ascii="宋体" w:hAnsi="宋体" w:eastAsia="宋体" w:cs="宋体"/>
                <w:b w:val="0"/>
                <w:bCs/>
                <w:color w:val="000000"/>
                <w:sz w:val="24"/>
                <w:szCs w:val="24"/>
                <w:lang w:bidi="zh-TW"/>
              </w:rPr>
              <w:t>，未</w:t>
            </w:r>
            <w:r>
              <w:rPr>
                <w:rFonts w:hint="eastAsia" w:ascii="宋体" w:hAnsi="宋体" w:eastAsia="宋体" w:cs="宋体"/>
                <w:b w:val="0"/>
                <w:bCs/>
                <w:color w:val="000000"/>
                <w:sz w:val="24"/>
                <w:szCs w:val="24"/>
                <w:lang w:val="zh-TW" w:eastAsia="zh-TW" w:bidi="zh-TW"/>
              </w:rPr>
              <w:t>逐只对气瓶进行</w:t>
            </w:r>
            <w:r>
              <w:rPr>
                <w:rFonts w:hint="eastAsia" w:ascii="宋体" w:hAnsi="宋体" w:eastAsia="宋体" w:cs="宋体"/>
                <w:b w:val="0"/>
                <w:bCs/>
                <w:color w:val="000000"/>
                <w:sz w:val="24"/>
                <w:szCs w:val="24"/>
                <w:lang w:val="zh-CN" w:bidi="zh-CN"/>
              </w:rPr>
              <w:t>检</w:t>
            </w:r>
            <w:r>
              <w:rPr>
                <w:rFonts w:hint="eastAsia" w:ascii="宋体" w:hAnsi="宋体" w:eastAsia="宋体" w:cs="宋体"/>
                <w:b w:val="0"/>
                <w:bCs/>
                <w:color w:val="000000"/>
                <w:sz w:val="24"/>
                <w:szCs w:val="24"/>
                <w:lang w:bidi="zh-CN"/>
              </w:rPr>
              <w:t>查</w:t>
            </w:r>
            <w:r>
              <w:rPr>
                <w:rFonts w:hint="eastAsia" w:ascii="宋体" w:hAnsi="宋体" w:eastAsia="宋体" w:cs="宋体"/>
                <w:b w:val="0"/>
                <w:bCs/>
                <w:color w:val="000000"/>
                <w:sz w:val="24"/>
                <w:szCs w:val="24"/>
                <w:lang w:val="zh-CN" w:bidi="zh-CN"/>
              </w:rPr>
              <w:t>.</w:t>
            </w:r>
            <w:r>
              <w:rPr>
                <w:rFonts w:hint="eastAsia" w:ascii="宋体" w:hAnsi="宋体" w:eastAsia="宋体" w:cs="宋体"/>
                <w:b w:val="0"/>
                <w:bCs/>
                <w:color w:val="000000"/>
                <w:sz w:val="24"/>
                <w:szCs w:val="24"/>
                <w:lang w:bidi="zh-TW"/>
              </w:rPr>
              <w:t>并</w:t>
            </w:r>
            <w:r>
              <w:rPr>
                <w:rFonts w:hint="eastAsia" w:ascii="宋体" w:hAnsi="宋体" w:eastAsia="宋体" w:cs="宋体"/>
                <w:b w:val="0"/>
                <w:bCs/>
                <w:color w:val="000000"/>
                <w:sz w:val="24"/>
                <w:szCs w:val="24"/>
                <w:lang w:val="zh-TW" w:eastAsia="zh-TW" w:bidi="zh-TW"/>
              </w:rPr>
              <w:t>且填写检查记录</w:t>
            </w:r>
            <w:r>
              <w:rPr>
                <w:rFonts w:hint="eastAsia" w:ascii="宋体" w:hAnsi="宋体" w:eastAsia="宋体" w:cs="宋体"/>
                <w:b w:val="0"/>
                <w:bCs/>
                <w:color w:val="000000"/>
                <w:sz w:val="24"/>
                <w:szCs w:val="24"/>
                <w:lang w:bidi="zh-TW"/>
              </w:rPr>
              <w:t>的。</w:t>
            </w:r>
          </w:p>
        </w:tc>
        <w:tc>
          <w:tcPr>
            <w:tcW w:w="5146" w:type="dxa"/>
            <w:vAlign w:val="center"/>
          </w:tcPr>
          <w:p w14:paraId="0CC86E88">
            <w:pPr>
              <w:spacing w:line="320" w:lineRule="exact"/>
              <w:ind w:left="0" w:leftChars="0" w:firstLine="0" w:firstLineChars="0"/>
              <w:jc w:val="left"/>
              <w:rPr>
                <w:rFonts w:ascii="宋体" w:hAnsi="宋体" w:eastAsia="宋体" w:cs="宋体"/>
                <w:b w:val="0"/>
                <w:bCs/>
                <w:color w:val="000000"/>
                <w:sz w:val="24"/>
                <w:szCs w:val="24"/>
                <w:lang w:bidi="zh-TW"/>
              </w:rPr>
            </w:pPr>
            <w:r>
              <w:rPr>
                <w:rFonts w:hint="eastAsia" w:ascii="宋体" w:hAnsi="宋体" w:eastAsia="宋体" w:cs="宋体"/>
                <w:b w:val="0"/>
                <w:bCs/>
                <w:color w:val="000000"/>
                <w:sz w:val="24"/>
                <w:szCs w:val="24"/>
                <w:lang w:val="zh-TW" w:eastAsia="zh-TW" w:bidi="zh-TW"/>
              </w:rPr>
              <w:t>充装前</w:t>
            </w:r>
            <w:r>
              <w:rPr>
                <w:rFonts w:hint="eastAsia" w:ascii="宋体" w:hAnsi="宋体" w:eastAsia="宋体" w:cs="宋体"/>
                <w:b w:val="0"/>
                <w:bCs/>
                <w:color w:val="000000"/>
                <w:sz w:val="24"/>
                <w:szCs w:val="24"/>
                <w:lang w:val="zh-TW" w:bidi="zh-TW"/>
              </w:rPr>
              <w:t>（</w:t>
            </w:r>
            <w:r>
              <w:rPr>
                <w:rFonts w:hint="eastAsia" w:ascii="宋体" w:hAnsi="宋体" w:eastAsia="宋体" w:cs="宋体"/>
                <w:b w:val="0"/>
                <w:bCs/>
                <w:color w:val="000000"/>
                <w:sz w:val="24"/>
                <w:szCs w:val="24"/>
                <w:lang w:bidi="zh-TW"/>
              </w:rPr>
              <w:t>后</w:t>
            </w:r>
            <w:r>
              <w:rPr>
                <w:rFonts w:hint="eastAsia" w:ascii="宋体" w:hAnsi="宋体" w:eastAsia="宋体" w:cs="宋体"/>
                <w:b w:val="0"/>
                <w:bCs/>
                <w:color w:val="000000"/>
                <w:sz w:val="24"/>
                <w:szCs w:val="24"/>
                <w:lang w:val="zh-TW" w:bidi="zh-TW"/>
              </w:rPr>
              <w:t>）</w:t>
            </w:r>
            <w:r>
              <w:rPr>
                <w:rFonts w:hint="eastAsia" w:ascii="宋体" w:hAnsi="宋体" w:eastAsia="宋体" w:cs="宋体"/>
                <w:b w:val="0"/>
                <w:bCs/>
                <w:color w:val="000000"/>
                <w:sz w:val="24"/>
                <w:szCs w:val="24"/>
                <w:lang w:bidi="zh-TW"/>
              </w:rPr>
              <w:t>，</w:t>
            </w:r>
            <w:r>
              <w:rPr>
                <w:rFonts w:hint="eastAsia" w:ascii="宋体" w:hAnsi="宋体" w:eastAsia="宋体" w:cs="宋体"/>
                <w:b w:val="0"/>
                <w:bCs/>
                <w:color w:val="000000"/>
                <w:sz w:val="24"/>
                <w:szCs w:val="24"/>
                <w:lang w:val="zh-TW" w:eastAsia="zh-TW" w:bidi="zh-TW"/>
              </w:rPr>
              <w:t>逐只对气瓶进行</w:t>
            </w:r>
            <w:r>
              <w:rPr>
                <w:rFonts w:hint="eastAsia" w:ascii="宋体" w:hAnsi="宋体" w:eastAsia="宋体" w:cs="宋体"/>
                <w:b w:val="0"/>
                <w:bCs/>
                <w:color w:val="000000"/>
                <w:sz w:val="24"/>
                <w:szCs w:val="24"/>
                <w:lang w:val="zh-CN" w:bidi="zh-CN"/>
              </w:rPr>
              <w:t>检</w:t>
            </w:r>
            <w:r>
              <w:rPr>
                <w:rFonts w:hint="eastAsia" w:ascii="宋体" w:hAnsi="宋体" w:eastAsia="宋体" w:cs="宋体"/>
                <w:b w:val="0"/>
                <w:bCs/>
                <w:color w:val="000000"/>
                <w:sz w:val="24"/>
                <w:szCs w:val="24"/>
                <w:lang w:bidi="zh-CN"/>
              </w:rPr>
              <w:t>查</w:t>
            </w:r>
            <w:r>
              <w:rPr>
                <w:rFonts w:hint="eastAsia" w:ascii="宋体" w:hAnsi="宋体" w:eastAsia="宋体" w:cs="宋体"/>
                <w:b w:val="0"/>
                <w:bCs/>
                <w:color w:val="000000"/>
                <w:sz w:val="24"/>
                <w:szCs w:val="24"/>
                <w:lang w:val="zh-CN" w:bidi="zh-CN"/>
              </w:rPr>
              <w:t>.</w:t>
            </w:r>
            <w:r>
              <w:rPr>
                <w:rFonts w:hint="eastAsia" w:ascii="宋体" w:hAnsi="宋体" w:eastAsia="宋体" w:cs="宋体"/>
                <w:b w:val="0"/>
                <w:bCs/>
                <w:color w:val="000000"/>
                <w:sz w:val="24"/>
                <w:szCs w:val="24"/>
                <w:lang w:bidi="zh-TW"/>
              </w:rPr>
              <w:t>并</w:t>
            </w:r>
            <w:r>
              <w:rPr>
                <w:rFonts w:hint="eastAsia" w:ascii="宋体" w:hAnsi="宋体" w:eastAsia="宋体" w:cs="宋体"/>
                <w:b w:val="0"/>
                <w:bCs/>
                <w:color w:val="000000"/>
                <w:sz w:val="24"/>
                <w:szCs w:val="24"/>
                <w:lang w:val="zh-TW" w:eastAsia="zh-TW" w:bidi="zh-TW"/>
              </w:rPr>
              <w:t>且填写检查记录</w:t>
            </w:r>
            <w:r>
              <w:rPr>
                <w:rFonts w:hint="eastAsia" w:ascii="宋体" w:hAnsi="宋体" w:eastAsia="宋体" w:cs="宋体"/>
                <w:b w:val="0"/>
                <w:bCs/>
                <w:color w:val="000000"/>
                <w:sz w:val="24"/>
                <w:szCs w:val="24"/>
                <w:lang w:bidi="zh-TW"/>
              </w:rPr>
              <w:t>。</w:t>
            </w:r>
          </w:p>
        </w:tc>
        <w:tc>
          <w:tcPr>
            <w:tcW w:w="1530" w:type="dxa"/>
            <w:tcBorders>
              <w:top w:val="single" w:color="auto" w:sz="4" w:space="0"/>
              <w:bottom w:val="single" w:color="auto" w:sz="4" w:space="0"/>
            </w:tcBorders>
            <w:vAlign w:val="center"/>
          </w:tcPr>
          <w:p w14:paraId="0860D2F9">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日管控</w:t>
            </w:r>
          </w:p>
        </w:tc>
        <w:tc>
          <w:tcPr>
            <w:tcW w:w="1245" w:type="dxa"/>
            <w:tcBorders>
              <w:top w:val="single" w:color="auto" w:sz="4" w:space="0"/>
              <w:bottom w:val="single" w:color="auto" w:sz="4" w:space="0"/>
            </w:tcBorders>
            <w:vAlign w:val="center"/>
          </w:tcPr>
          <w:p w14:paraId="00F06AF3">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安全员</w:t>
            </w:r>
          </w:p>
        </w:tc>
        <w:tc>
          <w:tcPr>
            <w:tcW w:w="890" w:type="dxa"/>
            <w:vAlign w:val="center"/>
          </w:tcPr>
          <w:p w14:paraId="3737CD7C">
            <w:pPr>
              <w:spacing w:line="320" w:lineRule="exact"/>
              <w:ind w:left="0" w:leftChars="0" w:firstLine="0" w:firstLineChars="0"/>
              <w:jc w:val="left"/>
              <w:rPr>
                <w:rFonts w:ascii="宋体" w:hAnsi="宋体" w:eastAsia="宋体" w:cs="宋体"/>
                <w:b w:val="0"/>
                <w:bCs/>
                <w:color w:val="FF0000"/>
                <w:sz w:val="24"/>
                <w:szCs w:val="24"/>
              </w:rPr>
            </w:pPr>
          </w:p>
        </w:tc>
      </w:tr>
      <w:tr w14:paraId="74CCC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824" w:type="dxa"/>
            <w:tcBorders>
              <w:top w:val="single" w:color="auto" w:sz="4" w:space="0"/>
            </w:tcBorders>
            <w:vAlign w:val="center"/>
          </w:tcPr>
          <w:p w14:paraId="6C0C58AA">
            <w:pPr>
              <w:widowControl/>
              <w:spacing w:line="320" w:lineRule="exact"/>
              <w:ind w:left="0" w:leftChars="0" w:firstLine="0" w:firstLineChars="0"/>
              <w:jc w:val="center"/>
              <w:rPr>
                <w:rFonts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23</w:t>
            </w:r>
          </w:p>
        </w:tc>
        <w:tc>
          <w:tcPr>
            <w:tcW w:w="1358" w:type="dxa"/>
            <w:vMerge w:val="continue"/>
            <w:vAlign w:val="center"/>
          </w:tcPr>
          <w:p w14:paraId="0FEB4FB3">
            <w:pPr>
              <w:tabs>
                <w:tab w:val="left" w:pos="1016"/>
              </w:tabs>
              <w:spacing w:line="320" w:lineRule="exact"/>
              <w:ind w:left="0" w:leftChars="0" w:firstLine="0" w:firstLineChars="0"/>
              <w:jc w:val="center"/>
              <w:rPr>
                <w:rFonts w:ascii="宋体" w:hAnsi="宋体" w:eastAsia="宋体" w:cs="宋体"/>
                <w:b w:val="0"/>
                <w:bCs/>
                <w:color w:val="000000"/>
                <w:sz w:val="24"/>
                <w:szCs w:val="24"/>
                <w:lang w:bidi="zh-TW"/>
              </w:rPr>
            </w:pPr>
          </w:p>
        </w:tc>
        <w:tc>
          <w:tcPr>
            <w:tcW w:w="3749" w:type="dxa"/>
            <w:vAlign w:val="center"/>
          </w:tcPr>
          <w:p w14:paraId="25B95A03">
            <w:pPr>
              <w:autoSpaceDE w:val="0"/>
              <w:autoSpaceDN w:val="0"/>
              <w:spacing w:before="113" w:line="320" w:lineRule="exact"/>
              <w:ind w:left="76" w:leftChars="0" w:firstLine="0" w:firstLineChars="0"/>
              <w:jc w:val="left"/>
              <w:rPr>
                <w:rFonts w:ascii="宋体" w:hAnsi="宋体" w:eastAsia="宋体" w:cs="宋体"/>
                <w:b w:val="0"/>
                <w:bCs/>
                <w:color w:val="000000"/>
                <w:sz w:val="24"/>
                <w:szCs w:val="24"/>
              </w:rPr>
            </w:pPr>
            <w:r>
              <w:rPr>
                <w:rFonts w:hint="eastAsia" w:ascii="宋体" w:hAnsi="宋体" w:eastAsia="宋体" w:cs="宋体"/>
                <w:b w:val="0"/>
                <w:bCs/>
                <w:color w:val="000000"/>
                <w:kern w:val="0"/>
                <w:sz w:val="24"/>
                <w:szCs w:val="24"/>
              </w:rPr>
              <w:t>充装过程中，未进行检查，并且填写充装记录的。</w:t>
            </w:r>
          </w:p>
        </w:tc>
        <w:tc>
          <w:tcPr>
            <w:tcW w:w="5146" w:type="dxa"/>
            <w:vAlign w:val="center"/>
          </w:tcPr>
          <w:p w14:paraId="3836F66A">
            <w:pPr>
              <w:spacing w:line="320" w:lineRule="exact"/>
              <w:ind w:left="0" w:leftChars="0" w:firstLine="0" w:firstLineChars="0"/>
              <w:jc w:val="left"/>
              <w:rPr>
                <w:rFonts w:ascii="宋体" w:hAnsi="宋体" w:eastAsia="宋体" w:cs="宋体"/>
                <w:b w:val="0"/>
                <w:bCs/>
                <w:color w:val="000000"/>
                <w:sz w:val="24"/>
                <w:szCs w:val="24"/>
                <w:lang w:bidi="zh-TW"/>
              </w:rPr>
            </w:pPr>
            <w:r>
              <w:rPr>
                <w:rFonts w:hint="eastAsia" w:ascii="宋体" w:hAnsi="宋体" w:eastAsia="宋体" w:cs="宋体"/>
                <w:b w:val="0"/>
                <w:bCs/>
                <w:color w:val="000000"/>
                <w:sz w:val="24"/>
                <w:szCs w:val="24"/>
                <w:lang w:bidi="zh-TW"/>
              </w:rPr>
              <w:t>充装过程中，进行检查，并且填写充装记录</w:t>
            </w:r>
          </w:p>
        </w:tc>
        <w:tc>
          <w:tcPr>
            <w:tcW w:w="1530" w:type="dxa"/>
            <w:tcBorders>
              <w:top w:val="single" w:color="auto" w:sz="4" w:space="0"/>
              <w:bottom w:val="single" w:color="auto" w:sz="4" w:space="0"/>
            </w:tcBorders>
            <w:vAlign w:val="center"/>
          </w:tcPr>
          <w:p w14:paraId="22B13BC6">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日管控</w:t>
            </w:r>
          </w:p>
        </w:tc>
        <w:tc>
          <w:tcPr>
            <w:tcW w:w="1245" w:type="dxa"/>
            <w:tcBorders>
              <w:top w:val="single" w:color="auto" w:sz="4" w:space="0"/>
              <w:bottom w:val="single" w:color="auto" w:sz="4" w:space="0"/>
            </w:tcBorders>
            <w:vAlign w:val="center"/>
          </w:tcPr>
          <w:p w14:paraId="3A5B6482">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安全员</w:t>
            </w:r>
          </w:p>
        </w:tc>
        <w:tc>
          <w:tcPr>
            <w:tcW w:w="890" w:type="dxa"/>
            <w:vAlign w:val="center"/>
          </w:tcPr>
          <w:p w14:paraId="54484107">
            <w:pPr>
              <w:spacing w:line="320" w:lineRule="exact"/>
              <w:ind w:left="0" w:leftChars="0" w:firstLine="0" w:firstLineChars="0"/>
              <w:jc w:val="left"/>
              <w:rPr>
                <w:rFonts w:ascii="宋体" w:hAnsi="宋体" w:eastAsia="宋体" w:cs="宋体"/>
                <w:b w:val="0"/>
                <w:bCs/>
                <w:color w:val="FF0000"/>
                <w:sz w:val="24"/>
                <w:szCs w:val="24"/>
              </w:rPr>
            </w:pPr>
          </w:p>
        </w:tc>
      </w:tr>
      <w:tr w14:paraId="3AAA5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824" w:type="dxa"/>
            <w:vAlign w:val="center"/>
          </w:tcPr>
          <w:p w14:paraId="23047C1C">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24</w:t>
            </w:r>
          </w:p>
        </w:tc>
        <w:tc>
          <w:tcPr>
            <w:tcW w:w="1358" w:type="dxa"/>
            <w:vMerge w:val="continue"/>
            <w:vAlign w:val="center"/>
          </w:tcPr>
          <w:p w14:paraId="344D60BC">
            <w:pPr>
              <w:tabs>
                <w:tab w:val="left" w:pos="1016"/>
              </w:tabs>
              <w:spacing w:line="320" w:lineRule="exact"/>
              <w:ind w:left="0" w:leftChars="0" w:firstLine="0" w:firstLineChars="0"/>
              <w:jc w:val="center"/>
              <w:rPr>
                <w:rFonts w:ascii="宋体" w:hAnsi="宋体" w:eastAsia="宋体" w:cs="宋体"/>
                <w:b w:val="0"/>
                <w:bCs/>
                <w:color w:val="000000"/>
                <w:sz w:val="24"/>
                <w:szCs w:val="24"/>
                <w:lang w:bidi="zh-TW"/>
              </w:rPr>
            </w:pPr>
          </w:p>
        </w:tc>
        <w:tc>
          <w:tcPr>
            <w:tcW w:w="3749" w:type="dxa"/>
            <w:vAlign w:val="center"/>
          </w:tcPr>
          <w:p w14:paraId="0385D698">
            <w:pPr>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充装改装、翻新、报废、超期未检、超过使用年限的气瓶</w:t>
            </w:r>
          </w:p>
        </w:tc>
        <w:tc>
          <w:tcPr>
            <w:tcW w:w="5146" w:type="dxa"/>
            <w:tcBorders>
              <w:bottom w:val="single" w:color="auto" w:sz="4" w:space="0"/>
            </w:tcBorders>
            <w:vAlign w:val="center"/>
          </w:tcPr>
          <w:p w14:paraId="5C03C2DE">
            <w:pPr>
              <w:autoSpaceDE w:val="0"/>
              <w:autoSpaceDN w:val="0"/>
              <w:spacing w:before="69" w:line="320" w:lineRule="exact"/>
              <w:ind w:left="28" w:leftChars="0"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1</w:t>
            </w:r>
            <w:r>
              <w:rPr>
                <w:rFonts w:ascii="宋体" w:hAnsi="宋体" w:eastAsia="宋体" w:cs="宋体"/>
                <w:b w:val="0"/>
                <w:bCs/>
                <w:kern w:val="0"/>
                <w:sz w:val="24"/>
                <w:szCs w:val="24"/>
              </w:rPr>
              <w:t>.</w:t>
            </w:r>
            <w:r>
              <w:rPr>
                <w:rFonts w:hint="eastAsia" w:ascii="宋体" w:hAnsi="宋体" w:eastAsia="宋体" w:cs="宋体"/>
                <w:b w:val="0"/>
                <w:bCs/>
                <w:kern w:val="0"/>
                <w:sz w:val="24"/>
                <w:szCs w:val="24"/>
              </w:rPr>
              <w:t>加强管理，严格落实充装前检查制度；</w:t>
            </w:r>
            <w:r>
              <w:rPr>
                <w:rFonts w:ascii="宋体" w:hAnsi="宋体" w:eastAsia="宋体" w:cs="宋体"/>
                <w:b w:val="0"/>
                <w:bCs/>
                <w:kern w:val="0"/>
                <w:sz w:val="24"/>
                <w:szCs w:val="24"/>
              </w:rPr>
              <w:br w:type="textWrapping"/>
            </w:r>
            <w:r>
              <w:rPr>
                <w:rFonts w:hint="eastAsia" w:ascii="宋体" w:hAnsi="宋体" w:eastAsia="宋体" w:cs="宋体"/>
                <w:b w:val="0"/>
                <w:bCs/>
                <w:kern w:val="0"/>
                <w:sz w:val="24"/>
                <w:szCs w:val="24"/>
              </w:rPr>
              <w:t>2</w:t>
            </w:r>
            <w:r>
              <w:rPr>
                <w:rFonts w:ascii="宋体" w:hAnsi="宋体" w:eastAsia="宋体" w:cs="宋体"/>
                <w:b w:val="0"/>
                <w:bCs/>
                <w:kern w:val="0"/>
                <w:sz w:val="24"/>
                <w:szCs w:val="24"/>
              </w:rPr>
              <w:t>.</w:t>
            </w:r>
            <w:r>
              <w:rPr>
                <w:rFonts w:hint="eastAsia" w:ascii="宋体" w:hAnsi="宋体" w:eastAsia="宋体" w:cs="宋体"/>
                <w:b w:val="0"/>
                <w:bCs/>
                <w:kern w:val="0"/>
                <w:sz w:val="24"/>
                <w:szCs w:val="24"/>
              </w:rPr>
              <w:t>对介质进行回收处理，气瓶隔离送检、报废</w:t>
            </w:r>
          </w:p>
        </w:tc>
        <w:tc>
          <w:tcPr>
            <w:tcW w:w="1530" w:type="dxa"/>
            <w:tcBorders>
              <w:top w:val="single" w:color="auto" w:sz="4" w:space="0"/>
              <w:bottom w:val="single" w:color="auto" w:sz="4" w:space="0"/>
            </w:tcBorders>
            <w:vAlign w:val="center"/>
          </w:tcPr>
          <w:p w14:paraId="5A057576">
            <w:pPr>
              <w:spacing w:line="320" w:lineRule="exact"/>
              <w:ind w:left="0" w:leftChars="0" w:firstLine="0" w:firstLineChars="0"/>
              <w:jc w:val="center"/>
              <w:rPr>
                <w:rFonts w:ascii="宋体" w:hAnsi="宋体" w:eastAsia="宋体" w:cs="宋体"/>
                <w:b w:val="0"/>
                <w:bCs/>
                <w:color w:val="FF0000"/>
                <w:sz w:val="24"/>
                <w:szCs w:val="24"/>
                <w:highlight w:val="yellow"/>
              </w:rPr>
            </w:pPr>
            <w:r>
              <w:rPr>
                <w:rFonts w:hint="eastAsia" w:ascii="宋体" w:hAnsi="宋体" w:eastAsia="宋体" w:cs="宋体"/>
                <w:b w:val="0"/>
                <w:bCs/>
                <w:sz w:val="24"/>
                <w:szCs w:val="24"/>
              </w:rPr>
              <w:t>日管控</w:t>
            </w:r>
          </w:p>
        </w:tc>
        <w:tc>
          <w:tcPr>
            <w:tcW w:w="1245" w:type="dxa"/>
            <w:tcBorders>
              <w:top w:val="single" w:color="auto" w:sz="4" w:space="0"/>
              <w:bottom w:val="single" w:color="auto" w:sz="4" w:space="0"/>
            </w:tcBorders>
            <w:vAlign w:val="center"/>
          </w:tcPr>
          <w:p w14:paraId="66ABE356">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安全员</w:t>
            </w:r>
          </w:p>
        </w:tc>
        <w:tc>
          <w:tcPr>
            <w:tcW w:w="890" w:type="dxa"/>
            <w:vAlign w:val="center"/>
          </w:tcPr>
          <w:p w14:paraId="633BEF99">
            <w:pPr>
              <w:spacing w:line="320" w:lineRule="exact"/>
              <w:ind w:left="0" w:leftChars="0" w:firstLine="0" w:firstLineChars="0"/>
              <w:jc w:val="left"/>
              <w:rPr>
                <w:rFonts w:ascii="宋体" w:hAnsi="宋体" w:eastAsia="宋体" w:cs="宋体"/>
                <w:b w:val="0"/>
                <w:bCs/>
                <w:color w:val="FF0000"/>
                <w:sz w:val="24"/>
                <w:szCs w:val="24"/>
              </w:rPr>
            </w:pPr>
          </w:p>
        </w:tc>
      </w:tr>
      <w:tr w14:paraId="6CEE8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2" w:hRule="atLeast"/>
        </w:trPr>
        <w:tc>
          <w:tcPr>
            <w:tcW w:w="824" w:type="dxa"/>
            <w:vAlign w:val="center"/>
          </w:tcPr>
          <w:p w14:paraId="73108C13">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25</w:t>
            </w:r>
          </w:p>
        </w:tc>
        <w:tc>
          <w:tcPr>
            <w:tcW w:w="1358" w:type="dxa"/>
            <w:vMerge w:val="continue"/>
            <w:vAlign w:val="center"/>
          </w:tcPr>
          <w:p w14:paraId="5FD23418">
            <w:pPr>
              <w:spacing w:line="320" w:lineRule="exact"/>
              <w:ind w:left="0" w:leftChars="0" w:firstLine="0" w:firstLineChars="0"/>
              <w:jc w:val="center"/>
              <w:rPr>
                <w:rFonts w:ascii="宋体" w:hAnsi="宋体" w:eastAsia="宋体" w:cs="宋体"/>
                <w:b w:val="0"/>
                <w:bCs/>
                <w:sz w:val="24"/>
                <w:szCs w:val="24"/>
              </w:rPr>
            </w:pPr>
          </w:p>
        </w:tc>
        <w:tc>
          <w:tcPr>
            <w:tcW w:w="3749" w:type="dxa"/>
            <w:vAlign w:val="center"/>
          </w:tcPr>
          <w:p w14:paraId="429A356C">
            <w:pPr>
              <w:autoSpaceDE w:val="0"/>
              <w:autoSpaceDN w:val="0"/>
              <w:spacing w:before="113"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充装未在本单位办理使用登记的气瓶（车用气瓶、非重复充装气瓶、呼吸用气瓶除外）</w:t>
            </w:r>
          </w:p>
        </w:tc>
        <w:tc>
          <w:tcPr>
            <w:tcW w:w="5146" w:type="dxa"/>
            <w:tcBorders>
              <w:top w:val="single" w:color="auto" w:sz="4" w:space="0"/>
              <w:bottom w:val="single" w:color="auto" w:sz="4" w:space="0"/>
            </w:tcBorders>
            <w:vAlign w:val="center"/>
          </w:tcPr>
          <w:p w14:paraId="0ECE193F">
            <w:pPr>
              <w:autoSpaceDE w:val="0"/>
              <w:autoSpaceDN w:val="0"/>
              <w:spacing w:before="69" w:line="320" w:lineRule="exact"/>
              <w:ind w:left="28" w:leftChars="0" w:firstLine="0" w:firstLineChars="0"/>
              <w:jc w:val="left"/>
              <w:rPr>
                <w:rFonts w:ascii="宋体" w:hAnsi="宋体" w:eastAsia="宋体" w:cs="宋体"/>
                <w:b w:val="0"/>
                <w:bCs/>
                <w:sz w:val="24"/>
                <w:szCs w:val="24"/>
              </w:rPr>
            </w:pPr>
            <w:r>
              <w:rPr>
                <w:rFonts w:hint="eastAsia" w:ascii="宋体" w:hAnsi="宋体" w:eastAsia="宋体" w:cs="宋体"/>
                <w:b w:val="0"/>
                <w:bCs/>
                <w:kern w:val="0"/>
                <w:sz w:val="24"/>
                <w:szCs w:val="24"/>
              </w:rPr>
              <w:t>1</w:t>
            </w:r>
            <w:r>
              <w:rPr>
                <w:rFonts w:ascii="宋体" w:hAnsi="宋体" w:eastAsia="宋体" w:cs="宋体"/>
                <w:b w:val="0"/>
                <w:bCs/>
                <w:kern w:val="0"/>
                <w:sz w:val="24"/>
                <w:szCs w:val="24"/>
              </w:rPr>
              <w:t>.</w:t>
            </w:r>
            <w:r>
              <w:rPr>
                <w:rFonts w:hint="eastAsia" w:ascii="宋体" w:hAnsi="宋体" w:eastAsia="宋体" w:cs="宋体"/>
                <w:b w:val="0"/>
                <w:bCs/>
                <w:kern w:val="0"/>
                <w:sz w:val="24"/>
                <w:szCs w:val="24"/>
              </w:rPr>
              <w:t>加强管理，严格落实充装前检查制度；</w:t>
            </w:r>
            <w:r>
              <w:rPr>
                <w:rFonts w:ascii="宋体" w:hAnsi="宋体" w:eastAsia="宋体" w:cs="宋体"/>
                <w:b w:val="0"/>
                <w:bCs/>
                <w:sz w:val="24"/>
                <w:szCs w:val="24"/>
              </w:rPr>
              <w:br w:type="textWrapping"/>
            </w:r>
            <w:r>
              <w:rPr>
                <w:rFonts w:hint="eastAsia" w:ascii="宋体" w:hAnsi="宋体" w:eastAsia="宋体" w:cs="宋体"/>
                <w:b w:val="0"/>
                <w:bCs/>
                <w:sz w:val="24"/>
                <w:szCs w:val="24"/>
              </w:rPr>
              <w:t>2</w:t>
            </w:r>
            <w:r>
              <w:rPr>
                <w:rFonts w:ascii="宋体" w:hAnsi="宋体" w:eastAsia="宋体" w:cs="宋体"/>
                <w:b w:val="0"/>
                <w:bCs/>
                <w:sz w:val="24"/>
                <w:szCs w:val="24"/>
              </w:rPr>
              <w:t>.</w:t>
            </w:r>
            <w:r>
              <w:rPr>
                <w:rFonts w:hint="eastAsia" w:ascii="宋体" w:hAnsi="宋体" w:eastAsia="宋体" w:cs="宋体"/>
                <w:b w:val="0"/>
                <w:bCs/>
                <w:sz w:val="24"/>
                <w:szCs w:val="24"/>
              </w:rPr>
              <w:t>严格按要求充装本单位办理使用登记的气瓶以及登记机关同意充装的气瓶</w:t>
            </w:r>
          </w:p>
        </w:tc>
        <w:tc>
          <w:tcPr>
            <w:tcW w:w="1530" w:type="dxa"/>
            <w:tcBorders>
              <w:top w:val="single" w:color="auto" w:sz="4" w:space="0"/>
              <w:bottom w:val="single" w:color="auto" w:sz="4" w:space="0"/>
            </w:tcBorders>
            <w:vAlign w:val="center"/>
          </w:tcPr>
          <w:p w14:paraId="47C39214">
            <w:pPr>
              <w:spacing w:line="320" w:lineRule="exact"/>
              <w:ind w:left="0" w:leftChars="0" w:firstLine="0" w:firstLineChars="0"/>
              <w:jc w:val="center"/>
              <w:rPr>
                <w:rFonts w:ascii="宋体" w:hAnsi="宋体" w:eastAsia="宋体" w:cs="宋体"/>
                <w:b w:val="0"/>
                <w:bCs/>
                <w:color w:val="FF0000"/>
                <w:sz w:val="24"/>
                <w:szCs w:val="24"/>
                <w:highlight w:val="yellow"/>
              </w:rPr>
            </w:pPr>
            <w:r>
              <w:rPr>
                <w:rFonts w:hint="eastAsia" w:ascii="宋体" w:hAnsi="宋体" w:eastAsia="宋体" w:cs="宋体"/>
                <w:b w:val="0"/>
                <w:bCs/>
                <w:sz w:val="24"/>
                <w:szCs w:val="24"/>
              </w:rPr>
              <w:t>日管控</w:t>
            </w:r>
          </w:p>
        </w:tc>
        <w:tc>
          <w:tcPr>
            <w:tcW w:w="1245" w:type="dxa"/>
            <w:tcBorders>
              <w:top w:val="single" w:color="auto" w:sz="4" w:space="0"/>
              <w:bottom w:val="single" w:color="auto" w:sz="4" w:space="0"/>
            </w:tcBorders>
            <w:vAlign w:val="center"/>
          </w:tcPr>
          <w:p w14:paraId="5496F842">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安全员</w:t>
            </w:r>
          </w:p>
        </w:tc>
        <w:tc>
          <w:tcPr>
            <w:tcW w:w="890" w:type="dxa"/>
            <w:vAlign w:val="center"/>
          </w:tcPr>
          <w:p w14:paraId="0230AF82">
            <w:pPr>
              <w:spacing w:line="320" w:lineRule="exact"/>
              <w:ind w:left="0" w:leftChars="0" w:firstLine="0" w:firstLineChars="0"/>
              <w:jc w:val="left"/>
              <w:rPr>
                <w:rFonts w:ascii="宋体" w:hAnsi="宋体" w:eastAsia="宋体" w:cs="宋体"/>
                <w:b w:val="0"/>
                <w:bCs/>
                <w:color w:val="FF0000"/>
                <w:sz w:val="24"/>
                <w:szCs w:val="24"/>
              </w:rPr>
            </w:pPr>
          </w:p>
        </w:tc>
      </w:tr>
      <w:tr w14:paraId="42382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trPr>
        <w:tc>
          <w:tcPr>
            <w:tcW w:w="824" w:type="dxa"/>
            <w:tcBorders>
              <w:bottom w:val="single" w:color="auto" w:sz="4" w:space="0"/>
            </w:tcBorders>
            <w:vAlign w:val="center"/>
          </w:tcPr>
          <w:p w14:paraId="00788BAF">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26</w:t>
            </w:r>
          </w:p>
        </w:tc>
        <w:tc>
          <w:tcPr>
            <w:tcW w:w="1358" w:type="dxa"/>
            <w:vMerge w:val="continue"/>
            <w:vAlign w:val="center"/>
          </w:tcPr>
          <w:p w14:paraId="1B5BC6BE">
            <w:pPr>
              <w:spacing w:line="320" w:lineRule="exact"/>
              <w:ind w:left="0" w:leftChars="0" w:firstLine="0" w:firstLineChars="0"/>
              <w:jc w:val="left"/>
              <w:rPr>
                <w:rFonts w:ascii="宋体" w:hAnsi="宋体" w:eastAsia="宋体" w:cs="宋体"/>
                <w:b w:val="0"/>
                <w:bCs/>
                <w:color w:val="FF0000"/>
                <w:sz w:val="24"/>
                <w:szCs w:val="24"/>
                <w:highlight w:val="yellow"/>
              </w:rPr>
            </w:pPr>
          </w:p>
        </w:tc>
        <w:tc>
          <w:tcPr>
            <w:tcW w:w="3749" w:type="dxa"/>
            <w:tcBorders>
              <w:bottom w:val="single" w:color="auto" w:sz="4" w:space="0"/>
            </w:tcBorders>
            <w:vAlign w:val="center"/>
          </w:tcPr>
          <w:p w14:paraId="4A47FA53">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移动式压力容器直接向气瓶进行倒装或气瓶直接对其他气瓶倒装</w:t>
            </w:r>
          </w:p>
        </w:tc>
        <w:tc>
          <w:tcPr>
            <w:tcW w:w="5146" w:type="dxa"/>
            <w:tcBorders>
              <w:top w:val="single" w:color="auto" w:sz="4" w:space="0"/>
            </w:tcBorders>
            <w:vAlign w:val="center"/>
          </w:tcPr>
          <w:p w14:paraId="3F75B374">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严格作业控制，除应急救援情况外，禁止移动式压力容器直接向气瓶进行倒装以及气瓶直接对其他气瓶倒装</w:t>
            </w:r>
          </w:p>
        </w:tc>
        <w:tc>
          <w:tcPr>
            <w:tcW w:w="1530" w:type="dxa"/>
            <w:tcBorders>
              <w:top w:val="single" w:color="auto" w:sz="4" w:space="0"/>
              <w:bottom w:val="single" w:color="auto" w:sz="4" w:space="0"/>
            </w:tcBorders>
            <w:vAlign w:val="center"/>
          </w:tcPr>
          <w:p w14:paraId="1EAA1D3B">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宋体"/>
                <w:b w:val="0"/>
                <w:bCs/>
                <w:sz w:val="24"/>
                <w:szCs w:val="24"/>
              </w:rPr>
              <w:t>日管控</w:t>
            </w:r>
          </w:p>
        </w:tc>
        <w:tc>
          <w:tcPr>
            <w:tcW w:w="1245" w:type="dxa"/>
            <w:tcBorders>
              <w:top w:val="single" w:color="auto" w:sz="4" w:space="0"/>
              <w:bottom w:val="single" w:color="auto" w:sz="4" w:space="0"/>
            </w:tcBorders>
            <w:vAlign w:val="center"/>
          </w:tcPr>
          <w:p w14:paraId="4858F274">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安全员</w:t>
            </w:r>
          </w:p>
        </w:tc>
        <w:tc>
          <w:tcPr>
            <w:tcW w:w="890" w:type="dxa"/>
            <w:vAlign w:val="center"/>
          </w:tcPr>
          <w:p w14:paraId="34BF902E">
            <w:pPr>
              <w:spacing w:line="320" w:lineRule="exact"/>
              <w:ind w:left="0" w:leftChars="0" w:firstLine="0" w:firstLineChars="0"/>
              <w:jc w:val="left"/>
              <w:rPr>
                <w:rFonts w:ascii="宋体" w:hAnsi="宋体" w:eastAsia="宋体" w:cs="宋体"/>
                <w:b w:val="0"/>
                <w:bCs/>
                <w:color w:val="FF0000"/>
                <w:sz w:val="24"/>
                <w:szCs w:val="24"/>
              </w:rPr>
            </w:pPr>
          </w:p>
        </w:tc>
      </w:tr>
      <w:tr w14:paraId="65605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824" w:type="dxa"/>
            <w:tcBorders>
              <w:bottom w:val="single" w:color="auto" w:sz="4" w:space="0"/>
            </w:tcBorders>
            <w:vAlign w:val="center"/>
          </w:tcPr>
          <w:p w14:paraId="5DBED598">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27</w:t>
            </w:r>
          </w:p>
        </w:tc>
        <w:tc>
          <w:tcPr>
            <w:tcW w:w="1358" w:type="dxa"/>
            <w:vMerge w:val="continue"/>
            <w:vAlign w:val="center"/>
          </w:tcPr>
          <w:p w14:paraId="4F858671">
            <w:pPr>
              <w:spacing w:line="320" w:lineRule="exact"/>
              <w:ind w:left="0" w:leftChars="0" w:firstLine="0" w:firstLineChars="0"/>
              <w:jc w:val="left"/>
              <w:rPr>
                <w:rFonts w:ascii="宋体" w:hAnsi="宋体" w:eastAsia="宋体" w:cs="宋体"/>
                <w:b w:val="0"/>
                <w:bCs/>
                <w:color w:val="FF0000"/>
                <w:sz w:val="24"/>
                <w:szCs w:val="24"/>
                <w:highlight w:val="yellow"/>
              </w:rPr>
            </w:pPr>
          </w:p>
        </w:tc>
        <w:tc>
          <w:tcPr>
            <w:tcW w:w="3749" w:type="dxa"/>
            <w:tcBorders>
              <w:bottom w:val="single" w:color="auto" w:sz="4" w:space="0"/>
            </w:tcBorders>
            <w:vAlign w:val="center"/>
          </w:tcPr>
          <w:p w14:paraId="182641B3">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装卸用管不符合有关要求</w:t>
            </w:r>
          </w:p>
        </w:tc>
        <w:tc>
          <w:tcPr>
            <w:tcW w:w="5146" w:type="dxa"/>
            <w:vAlign w:val="center"/>
          </w:tcPr>
          <w:p w14:paraId="51B4E351">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w:t>
            </w:r>
            <w:r>
              <w:rPr>
                <w:rFonts w:ascii="宋体" w:hAnsi="宋体" w:eastAsia="宋体" w:cs="Times New Roman"/>
                <w:b w:val="0"/>
                <w:sz w:val="24"/>
                <w:szCs w:val="24"/>
              </w:rPr>
              <w:t>.</w:t>
            </w:r>
            <w:r>
              <w:rPr>
                <w:rFonts w:hint="eastAsia" w:ascii="宋体" w:hAnsi="宋体" w:eastAsia="宋体" w:cs="Times New Roman"/>
                <w:b w:val="0"/>
                <w:sz w:val="24"/>
                <w:szCs w:val="24"/>
              </w:rPr>
              <w:t>装卸用管定期进行耐压试验；</w:t>
            </w:r>
            <w:r>
              <w:rPr>
                <w:rFonts w:ascii="宋体" w:hAnsi="宋体" w:eastAsia="宋体" w:cs="Times New Roman"/>
                <w:b w:val="0"/>
                <w:sz w:val="24"/>
                <w:szCs w:val="24"/>
              </w:rPr>
              <w:br w:type="textWrapping"/>
            </w:r>
            <w:r>
              <w:rPr>
                <w:rFonts w:ascii="宋体" w:hAnsi="宋体" w:eastAsia="宋体" w:cs="Times New Roman"/>
                <w:b w:val="0"/>
                <w:sz w:val="24"/>
                <w:szCs w:val="24"/>
              </w:rPr>
              <w:t>2.</w:t>
            </w:r>
            <w:r>
              <w:rPr>
                <w:rFonts w:hint="eastAsia" w:ascii="宋体" w:hAnsi="宋体" w:eastAsia="宋体" w:cs="Times New Roman"/>
                <w:b w:val="0"/>
                <w:sz w:val="24"/>
                <w:szCs w:val="24"/>
              </w:rPr>
              <w:t>装卸用管材质与介质相容；</w:t>
            </w:r>
            <w:r>
              <w:rPr>
                <w:rFonts w:ascii="宋体" w:hAnsi="宋体" w:eastAsia="宋体" w:cs="Times New Roman"/>
                <w:b w:val="0"/>
                <w:sz w:val="24"/>
                <w:szCs w:val="24"/>
              </w:rPr>
              <w:br w:type="textWrapping"/>
            </w:r>
            <w:r>
              <w:rPr>
                <w:rFonts w:hint="eastAsia" w:ascii="宋体" w:hAnsi="宋体" w:eastAsia="宋体" w:cs="Times New Roman"/>
                <w:b w:val="0"/>
                <w:sz w:val="24"/>
                <w:szCs w:val="24"/>
              </w:rPr>
              <w:t>3</w:t>
            </w:r>
            <w:r>
              <w:rPr>
                <w:rFonts w:ascii="宋体" w:hAnsi="宋体" w:eastAsia="宋体" w:cs="Times New Roman"/>
                <w:b w:val="0"/>
                <w:sz w:val="24"/>
                <w:szCs w:val="24"/>
              </w:rPr>
              <w:t>.</w:t>
            </w:r>
            <w:r>
              <w:rPr>
                <w:rFonts w:hint="eastAsia" w:ascii="宋体" w:hAnsi="宋体" w:eastAsia="宋体" w:cs="Times New Roman"/>
                <w:b w:val="0"/>
                <w:sz w:val="24"/>
                <w:szCs w:val="24"/>
              </w:rPr>
              <w:t>加强连接部位的检查</w:t>
            </w:r>
          </w:p>
        </w:tc>
        <w:tc>
          <w:tcPr>
            <w:tcW w:w="1530" w:type="dxa"/>
            <w:tcBorders>
              <w:top w:val="single" w:color="auto" w:sz="4" w:space="0"/>
              <w:bottom w:val="single" w:color="auto" w:sz="4" w:space="0"/>
            </w:tcBorders>
            <w:vAlign w:val="center"/>
          </w:tcPr>
          <w:p w14:paraId="27A26034">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宋体"/>
                <w:b w:val="0"/>
                <w:bCs/>
                <w:sz w:val="24"/>
                <w:szCs w:val="24"/>
              </w:rPr>
              <w:t>日管控</w:t>
            </w:r>
          </w:p>
        </w:tc>
        <w:tc>
          <w:tcPr>
            <w:tcW w:w="1245" w:type="dxa"/>
            <w:tcBorders>
              <w:top w:val="single" w:color="auto" w:sz="4" w:space="0"/>
              <w:bottom w:val="single" w:color="auto" w:sz="4" w:space="0"/>
            </w:tcBorders>
            <w:vAlign w:val="center"/>
          </w:tcPr>
          <w:p w14:paraId="7C375BD7">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安全员</w:t>
            </w:r>
          </w:p>
        </w:tc>
        <w:tc>
          <w:tcPr>
            <w:tcW w:w="890" w:type="dxa"/>
            <w:vAlign w:val="center"/>
          </w:tcPr>
          <w:p w14:paraId="574EA310">
            <w:pPr>
              <w:spacing w:line="320" w:lineRule="exact"/>
              <w:ind w:left="0" w:leftChars="0" w:firstLine="0" w:firstLineChars="0"/>
              <w:jc w:val="left"/>
              <w:rPr>
                <w:rFonts w:ascii="宋体" w:hAnsi="宋体" w:eastAsia="宋体" w:cs="宋体"/>
                <w:b w:val="0"/>
                <w:bCs/>
                <w:color w:val="FF0000"/>
                <w:sz w:val="24"/>
                <w:szCs w:val="24"/>
              </w:rPr>
            </w:pPr>
          </w:p>
        </w:tc>
      </w:tr>
      <w:tr w14:paraId="6D862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bottom w:val="single" w:color="auto" w:sz="4" w:space="0"/>
            </w:tcBorders>
            <w:vAlign w:val="center"/>
          </w:tcPr>
          <w:p w14:paraId="42269E6E">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28</w:t>
            </w:r>
          </w:p>
        </w:tc>
        <w:tc>
          <w:tcPr>
            <w:tcW w:w="1358" w:type="dxa"/>
            <w:vMerge w:val="continue"/>
            <w:vAlign w:val="center"/>
          </w:tcPr>
          <w:p w14:paraId="50A719D7">
            <w:pPr>
              <w:tabs>
                <w:tab w:val="left" w:pos="1016"/>
              </w:tabs>
              <w:spacing w:line="320" w:lineRule="exact"/>
              <w:ind w:left="0" w:leftChars="0" w:firstLine="0" w:firstLineChars="0"/>
              <w:jc w:val="center"/>
              <w:rPr>
                <w:rFonts w:ascii="宋体" w:hAnsi="宋体" w:eastAsia="宋体" w:cs="宋体"/>
                <w:b w:val="0"/>
                <w:bCs/>
                <w:color w:val="000000"/>
                <w:sz w:val="24"/>
                <w:szCs w:val="24"/>
                <w:lang w:bidi="zh-TW"/>
              </w:rPr>
            </w:pPr>
          </w:p>
        </w:tc>
        <w:tc>
          <w:tcPr>
            <w:tcW w:w="3749" w:type="dxa"/>
            <w:tcBorders>
              <w:bottom w:val="single" w:color="auto" w:sz="4" w:space="0"/>
            </w:tcBorders>
            <w:vAlign w:val="center"/>
          </w:tcPr>
          <w:p w14:paraId="0CE320A1">
            <w:pPr>
              <w:tabs>
                <w:tab w:val="left" w:pos="1016"/>
              </w:tabs>
              <w:spacing w:line="320" w:lineRule="exact"/>
              <w:ind w:left="0" w:leftChars="0" w:firstLine="0" w:firstLineChars="0"/>
              <w:jc w:val="left"/>
              <w:rPr>
                <w:rFonts w:ascii="宋体" w:hAnsi="宋体" w:eastAsia="宋体" w:cs="Times New Roman"/>
                <w:b w:val="0"/>
                <w:color w:val="FF0000"/>
                <w:spacing w:val="6"/>
                <w:sz w:val="24"/>
                <w:szCs w:val="24"/>
              </w:rPr>
            </w:pPr>
            <w:r>
              <w:rPr>
                <w:rFonts w:hint="eastAsia" w:ascii="宋体" w:hAnsi="宋体" w:eastAsia="宋体" w:cs="宋体"/>
                <w:b w:val="0"/>
                <w:bCs/>
                <w:color w:val="000000"/>
                <w:sz w:val="24"/>
                <w:szCs w:val="24"/>
                <w:lang w:bidi="zh-TW"/>
              </w:rPr>
              <w:t>未配备符合要求的气瓶</w:t>
            </w:r>
            <w:r>
              <w:rPr>
                <w:rFonts w:hint="eastAsia" w:ascii="宋体" w:hAnsi="宋体" w:eastAsia="宋体" w:cs="宋体"/>
                <w:b w:val="0"/>
                <w:bCs/>
                <w:color w:val="000000"/>
                <w:sz w:val="24"/>
                <w:szCs w:val="24"/>
                <w:lang w:val="zh-TW" w:eastAsia="zh-TW" w:bidi="zh-TW"/>
              </w:rPr>
              <w:t>充装装置</w:t>
            </w:r>
          </w:p>
        </w:tc>
        <w:tc>
          <w:tcPr>
            <w:tcW w:w="5146" w:type="dxa"/>
            <w:vAlign w:val="center"/>
          </w:tcPr>
          <w:p w14:paraId="183F5C8F">
            <w:pPr>
              <w:tabs>
                <w:tab w:val="left" w:pos="969"/>
              </w:tabs>
              <w:spacing w:line="320" w:lineRule="exact"/>
              <w:ind w:left="0" w:leftChars="0" w:firstLine="0" w:firstLineChars="0"/>
              <w:jc w:val="left"/>
              <w:rPr>
                <w:rFonts w:ascii="宋体" w:hAnsi="宋体" w:eastAsia="宋体" w:cs="宋体"/>
                <w:b w:val="0"/>
                <w:bCs/>
                <w:sz w:val="24"/>
                <w:szCs w:val="24"/>
                <w:lang w:val="zh-TW" w:eastAsia="zh-TW" w:bidi="zh-TW"/>
              </w:rPr>
            </w:pPr>
            <w:r>
              <w:rPr>
                <w:rFonts w:hint="eastAsia" w:ascii="宋体" w:hAnsi="宋体" w:eastAsia="宋体" w:cs="宋体"/>
                <w:b w:val="0"/>
                <w:bCs/>
                <w:color w:val="000000"/>
                <w:sz w:val="24"/>
                <w:szCs w:val="24"/>
                <w:lang w:bidi="zh-TW"/>
              </w:rPr>
              <w:t>1.</w:t>
            </w:r>
            <w:r>
              <w:rPr>
                <w:rFonts w:hint="eastAsia" w:ascii="宋体" w:hAnsi="宋体" w:eastAsia="宋体" w:cs="宋体"/>
                <w:b w:val="0"/>
                <w:bCs/>
                <w:color w:val="000000"/>
                <w:sz w:val="24"/>
                <w:szCs w:val="24"/>
                <w:lang w:val="zh-TW" w:eastAsia="zh-TW" w:bidi="zh-TW"/>
              </w:rPr>
              <w:t>充装装置应当能够有效防止气体错装，必要时应当先抽真空再进行充装；</w:t>
            </w:r>
          </w:p>
          <w:p w14:paraId="156C2E81">
            <w:pPr>
              <w:tabs>
                <w:tab w:val="left" w:pos="1016"/>
              </w:tabs>
              <w:spacing w:line="320" w:lineRule="exact"/>
              <w:ind w:left="0" w:leftChars="0" w:firstLine="0" w:firstLineChars="0"/>
              <w:jc w:val="left"/>
              <w:rPr>
                <w:rFonts w:ascii="宋体" w:hAnsi="宋体" w:eastAsia="宋体" w:cs="宋体"/>
                <w:b w:val="0"/>
                <w:bCs/>
                <w:color w:val="000000"/>
                <w:sz w:val="24"/>
                <w:szCs w:val="24"/>
                <w:lang w:val="zh-TW" w:bidi="zh-TW"/>
              </w:rPr>
            </w:pPr>
            <w:r>
              <w:rPr>
                <w:rFonts w:hint="eastAsia" w:ascii="宋体" w:hAnsi="宋体" w:eastAsia="宋体" w:cs="宋体"/>
                <w:b w:val="0"/>
                <w:bCs/>
                <w:color w:val="000000"/>
                <w:sz w:val="24"/>
                <w:szCs w:val="24"/>
                <w:lang w:bidi="zh-TW"/>
              </w:rPr>
              <w:t>2.</w:t>
            </w:r>
            <w:r>
              <w:rPr>
                <w:rFonts w:hint="eastAsia" w:ascii="宋体" w:hAnsi="宋体" w:eastAsia="宋体" w:cs="宋体"/>
                <w:b w:val="0"/>
                <w:bCs/>
                <w:color w:val="000000"/>
                <w:sz w:val="24"/>
                <w:szCs w:val="24"/>
                <w:lang w:val="zh-TW" w:eastAsia="zh-TW" w:bidi="zh-TW"/>
              </w:rPr>
              <w:t>充装高</w:t>
            </w:r>
            <w:r>
              <w:rPr>
                <w:rFonts w:hint="eastAsia" w:ascii="宋体" w:hAnsi="宋体" w:eastAsia="宋体" w:cs="宋体"/>
                <w:b w:val="0"/>
                <w:bCs/>
                <w:color w:val="000000"/>
                <w:sz w:val="24"/>
                <w:szCs w:val="24"/>
                <w:lang w:val="zh-TW" w:bidi="zh-TW"/>
              </w:rPr>
              <w:t>（</w:t>
            </w:r>
            <w:r>
              <w:rPr>
                <w:rFonts w:hint="eastAsia" w:ascii="宋体" w:hAnsi="宋体" w:eastAsia="宋体" w:cs="宋体"/>
                <w:b w:val="0"/>
                <w:bCs/>
                <w:color w:val="000000"/>
                <w:sz w:val="24"/>
                <w:szCs w:val="24"/>
                <w:lang w:val="zh-TW" w:eastAsia="zh-TW" w:bidi="zh-TW"/>
              </w:rPr>
              <w:t>低</w:t>
            </w:r>
            <w:r>
              <w:rPr>
                <w:rFonts w:hint="eastAsia" w:ascii="宋体" w:hAnsi="宋体" w:eastAsia="宋体" w:cs="宋体"/>
                <w:b w:val="0"/>
                <w:bCs/>
                <w:color w:val="000000"/>
                <w:sz w:val="24"/>
                <w:szCs w:val="24"/>
                <w:lang w:val="zh-TW" w:bidi="zh-TW"/>
              </w:rPr>
              <w:t>）</w:t>
            </w:r>
            <w:r>
              <w:rPr>
                <w:rFonts w:hint="eastAsia" w:ascii="宋体" w:hAnsi="宋体" w:eastAsia="宋体" w:cs="宋体"/>
                <w:b w:val="0"/>
                <w:bCs/>
                <w:color w:val="000000"/>
                <w:sz w:val="24"/>
                <w:szCs w:val="24"/>
                <w:lang w:val="zh-TW" w:eastAsia="zh-TW" w:bidi="zh-TW"/>
              </w:rPr>
              <w:t>压液化气体、低温液化气体以及溶解</w:t>
            </w:r>
            <w:r>
              <w:rPr>
                <w:rFonts w:hint="eastAsia" w:ascii="宋体" w:hAnsi="宋体" w:eastAsia="宋体" w:cs="宋体"/>
                <w:b w:val="0"/>
                <w:bCs/>
                <w:color w:val="000000"/>
                <w:sz w:val="24"/>
                <w:szCs w:val="24"/>
                <w:lang w:bidi="zh-TW"/>
              </w:rPr>
              <w:t>乙炔</w:t>
            </w:r>
            <w:r>
              <w:rPr>
                <w:rFonts w:hint="eastAsia" w:ascii="宋体" w:hAnsi="宋体" w:eastAsia="宋体" w:cs="宋体"/>
                <w:b w:val="0"/>
                <w:bCs/>
                <w:color w:val="000000"/>
                <w:sz w:val="24"/>
                <w:szCs w:val="24"/>
                <w:lang w:val="zh-TW" w:eastAsia="zh-TW" w:bidi="zh-TW"/>
              </w:rPr>
              <w:t>气体时，所采用的称重衡器的最大称量值以及校验有效期应当符合相关计量规范或标准的要求</w:t>
            </w:r>
            <w:r>
              <w:rPr>
                <w:rFonts w:hint="eastAsia" w:ascii="宋体" w:hAnsi="宋体" w:eastAsia="宋体" w:cs="宋体"/>
                <w:b w:val="0"/>
                <w:bCs/>
                <w:color w:val="000000"/>
                <w:sz w:val="24"/>
                <w:szCs w:val="24"/>
                <w:lang w:val="zh-TW" w:bidi="zh-TW"/>
              </w:rPr>
              <w:t>；</w:t>
            </w:r>
          </w:p>
          <w:p w14:paraId="25203864">
            <w:pPr>
              <w:tabs>
                <w:tab w:val="left" w:pos="1016"/>
              </w:tabs>
              <w:spacing w:line="320" w:lineRule="exact"/>
              <w:ind w:left="0" w:leftChars="0" w:firstLine="0" w:firstLineChars="0"/>
              <w:jc w:val="left"/>
              <w:rPr>
                <w:rFonts w:ascii="宋体" w:hAnsi="宋体" w:eastAsia="宋体" w:cs="Times New Roman"/>
                <w:b w:val="0"/>
                <w:color w:val="FF0000"/>
                <w:sz w:val="24"/>
                <w:szCs w:val="24"/>
              </w:rPr>
            </w:pPr>
            <w:r>
              <w:rPr>
                <w:rFonts w:hint="eastAsia" w:ascii="宋体" w:hAnsi="宋体" w:eastAsia="宋体" w:cs="宋体"/>
                <w:b w:val="0"/>
                <w:bCs/>
                <w:color w:val="000000"/>
                <w:sz w:val="24"/>
                <w:szCs w:val="24"/>
                <w:lang w:bidi="zh-TW"/>
              </w:rPr>
              <w:t>3.充装压缩气体、混合气体的压力计量仪表</w:t>
            </w:r>
            <w:r>
              <w:rPr>
                <w:rFonts w:hint="eastAsia" w:ascii="宋体" w:hAnsi="宋体" w:eastAsia="宋体" w:cs="宋体"/>
                <w:b w:val="0"/>
                <w:bCs/>
                <w:color w:val="000000"/>
                <w:sz w:val="24"/>
                <w:szCs w:val="24"/>
                <w:lang w:val="zh-TW" w:eastAsia="zh-TW" w:bidi="zh-TW"/>
              </w:rPr>
              <w:t>校验有效期应当符合相关计量规范或标准的要求</w:t>
            </w:r>
          </w:p>
        </w:tc>
        <w:tc>
          <w:tcPr>
            <w:tcW w:w="1530" w:type="dxa"/>
            <w:tcBorders>
              <w:top w:val="single" w:color="auto" w:sz="4" w:space="0"/>
            </w:tcBorders>
            <w:vAlign w:val="center"/>
          </w:tcPr>
          <w:p w14:paraId="51C8DE99">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周排查</w:t>
            </w:r>
          </w:p>
        </w:tc>
        <w:tc>
          <w:tcPr>
            <w:tcW w:w="1245" w:type="dxa"/>
            <w:tcBorders>
              <w:top w:val="single" w:color="auto" w:sz="4" w:space="0"/>
            </w:tcBorders>
            <w:vAlign w:val="center"/>
          </w:tcPr>
          <w:p w14:paraId="2AC4B02B">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color w:val="000000"/>
                <w:sz w:val="24"/>
                <w:szCs w:val="24"/>
              </w:rPr>
              <w:t>安全总监</w:t>
            </w:r>
          </w:p>
        </w:tc>
        <w:tc>
          <w:tcPr>
            <w:tcW w:w="890" w:type="dxa"/>
            <w:vAlign w:val="center"/>
          </w:tcPr>
          <w:p w14:paraId="071125FB">
            <w:pPr>
              <w:spacing w:line="320" w:lineRule="exact"/>
              <w:ind w:left="0" w:leftChars="0" w:firstLine="0" w:firstLineChars="0"/>
              <w:jc w:val="left"/>
              <w:rPr>
                <w:rFonts w:ascii="宋体" w:hAnsi="宋体" w:eastAsia="宋体" w:cs="宋体"/>
                <w:b w:val="0"/>
                <w:bCs/>
                <w:color w:val="FF0000"/>
                <w:sz w:val="24"/>
                <w:szCs w:val="24"/>
              </w:rPr>
            </w:pPr>
          </w:p>
        </w:tc>
      </w:tr>
      <w:tr w14:paraId="23503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824" w:type="dxa"/>
            <w:tcBorders>
              <w:bottom w:val="single" w:color="auto" w:sz="4" w:space="0"/>
            </w:tcBorders>
            <w:vAlign w:val="center"/>
          </w:tcPr>
          <w:p w14:paraId="0B38F172">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29</w:t>
            </w:r>
          </w:p>
        </w:tc>
        <w:tc>
          <w:tcPr>
            <w:tcW w:w="1358" w:type="dxa"/>
            <w:vMerge w:val="continue"/>
            <w:vAlign w:val="center"/>
          </w:tcPr>
          <w:p w14:paraId="1F8EEC60">
            <w:pPr>
              <w:spacing w:line="320" w:lineRule="exact"/>
              <w:ind w:left="0" w:leftChars="0" w:firstLine="0" w:firstLineChars="0"/>
              <w:jc w:val="left"/>
              <w:rPr>
                <w:rFonts w:ascii="宋体" w:hAnsi="宋体" w:eastAsia="宋体" w:cs="宋体"/>
                <w:b w:val="0"/>
                <w:bCs/>
                <w:color w:val="FF0000"/>
                <w:sz w:val="24"/>
                <w:szCs w:val="24"/>
              </w:rPr>
            </w:pPr>
          </w:p>
        </w:tc>
        <w:tc>
          <w:tcPr>
            <w:tcW w:w="3749" w:type="dxa"/>
            <w:tcBorders>
              <w:bottom w:val="single" w:color="auto" w:sz="4" w:space="0"/>
            </w:tcBorders>
            <w:vAlign w:val="center"/>
          </w:tcPr>
          <w:p w14:paraId="3EA10CCF">
            <w:pPr>
              <w:widowControl/>
              <w:spacing w:line="320" w:lineRule="exact"/>
              <w:ind w:left="0" w:leftChars="0" w:firstLine="0" w:firstLineChars="0"/>
              <w:jc w:val="left"/>
              <w:rPr>
                <w:rFonts w:ascii="宋体" w:hAnsi="宋体" w:eastAsia="宋体" w:cs="Times New Roman"/>
                <w:b w:val="0"/>
                <w:color w:val="FF0000"/>
                <w:spacing w:val="6"/>
                <w:sz w:val="24"/>
                <w:szCs w:val="24"/>
              </w:rPr>
            </w:pPr>
            <w:r>
              <w:rPr>
                <w:rFonts w:hint="eastAsia" w:ascii="宋体" w:hAnsi="宋体" w:eastAsia="宋体" w:cs="宋体"/>
                <w:b w:val="0"/>
                <w:bCs/>
                <w:kern w:val="0"/>
                <w:sz w:val="24"/>
                <w:szCs w:val="24"/>
              </w:rPr>
              <w:t>未按要求装设紧急切断系统</w:t>
            </w:r>
          </w:p>
        </w:tc>
        <w:tc>
          <w:tcPr>
            <w:tcW w:w="5146" w:type="dxa"/>
            <w:vAlign w:val="center"/>
          </w:tcPr>
          <w:p w14:paraId="5452A0F7">
            <w:pPr>
              <w:autoSpaceDE w:val="0"/>
              <w:autoSpaceDN w:val="0"/>
              <w:spacing w:before="69" w:line="320" w:lineRule="exact"/>
              <w:ind w:left="28" w:leftChars="0" w:firstLine="0" w:firstLineChars="0"/>
              <w:jc w:val="left"/>
              <w:rPr>
                <w:rFonts w:ascii="宋体" w:hAnsi="宋体" w:eastAsia="宋体" w:cs="Times New Roman"/>
                <w:b w:val="0"/>
                <w:color w:val="FF0000"/>
                <w:sz w:val="24"/>
                <w:szCs w:val="24"/>
              </w:rPr>
            </w:pPr>
            <w:r>
              <w:rPr>
                <w:rFonts w:hint="eastAsia" w:ascii="宋体" w:hAnsi="宋体" w:eastAsia="宋体" w:cs="宋体"/>
                <w:b w:val="0"/>
                <w:bCs/>
                <w:kern w:val="0"/>
                <w:sz w:val="24"/>
                <w:szCs w:val="24"/>
              </w:rPr>
              <w:t>装设紧急切断系统并定期调试</w:t>
            </w:r>
          </w:p>
        </w:tc>
        <w:tc>
          <w:tcPr>
            <w:tcW w:w="1530" w:type="dxa"/>
            <w:vAlign w:val="center"/>
          </w:tcPr>
          <w:p w14:paraId="4D3D58AB">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sz w:val="24"/>
                <w:szCs w:val="24"/>
              </w:rPr>
              <w:t>周排查</w:t>
            </w:r>
          </w:p>
        </w:tc>
        <w:tc>
          <w:tcPr>
            <w:tcW w:w="1245" w:type="dxa"/>
            <w:vAlign w:val="center"/>
          </w:tcPr>
          <w:p w14:paraId="41B42073">
            <w:pPr>
              <w:spacing w:line="320" w:lineRule="exact"/>
              <w:ind w:left="0" w:leftChars="0" w:firstLine="0" w:firstLineChars="0"/>
              <w:jc w:val="center"/>
              <w:rPr>
                <w:rFonts w:ascii="宋体" w:hAnsi="宋体" w:eastAsia="宋体" w:cs="宋体"/>
                <w:b w:val="0"/>
                <w:bCs/>
                <w:color w:val="FF0000"/>
                <w:sz w:val="24"/>
                <w:szCs w:val="24"/>
              </w:rPr>
            </w:pPr>
            <w:r>
              <w:rPr>
                <w:rFonts w:hint="eastAsia" w:ascii="宋体" w:hAnsi="宋体" w:eastAsia="宋体" w:cs="宋体"/>
                <w:b w:val="0"/>
                <w:bCs/>
                <w:color w:val="000000"/>
                <w:sz w:val="24"/>
                <w:szCs w:val="24"/>
              </w:rPr>
              <w:t>安全总监</w:t>
            </w:r>
          </w:p>
        </w:tc>
        <w:tc>
          <w:tcPr>
            <w:tcW w:w="890" w:type="dxa"/>
            <w:vAlign w:val="center"/>
          </w:tcPr>
          <w:p w14:paraId="7086AF70">
            <w:pPr>
              <w:spacing w:line="320" w:lineRule="exact"/>
              <w:ind w:left="0" w:leftChars="0" w:firstLine="0" w:firstLineChars="0"/>
              <w:jc w:val="left"/>
              <w:rPr>
                <w:rFonts w:ascii="宋体" w:hAnsi="宋体" w:eastAsia="宋体" w:cs="宋体"/>
                <w:b w:val="0"/>
                <w:bCs/>
                <w:color w:val="FF0000"/>
                <w:sz w:val="24"/>
                <w:szCs w:val="24"/>
              </w:rPr>
            </w:pPr>
          </w:p>
        </w:tc>
      </w:tr>
      <w:tr w14:paraId="06A7E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bottom w:val="single" w:color="auto" w:sz="4" w:space="0"/>
            </w:tcBorders>
            <w:vAlign w:val="center"/>
          </w:tcPr>
          <w:p w14:paraId="75465A5D">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30</w:t>
            </w:r>
          </w:p>
        </w:tc>
        <w:tc>
          <w:tcPr>
            <w:tcW w:w="1358" w:type="dxa"/>
            <w:vMerge w:val="continue"/>
            <w:vAlign w:val="center"/>
          </w:tcPr>
          <w:p w14:paraId="24A48611">
            <w:pPr>
              <w:spacing w:line="320" w:lineRule="exact"/>
              <w:ind w:left="0" w:leftChars="0" w:firstLine="0" w:firstLineChars="0"/>
              <w:jc w:val="left"/>
              <w:rPr>
                <w:rFonts w:ascii="宋体" w:hAnsi="宋体" w:eastAsia="宋体" w:cs="宋体"/>
                <w:b w:val="0"/>
                <w:bCs/>
                <w:color w:val="FF0000"/>
                <w:sz w:val="24"/>
                <w:szCs w:val="24"/>
              </w:rPr>
            </w:pPr>
          </w:p>
        </w:tc>
        <w:tc>
          <w:tcPr>
            <w:tcW w:w="3749" w:type="dxa"/>
            <w:tcBorders>
              <w:bottom w:val="single" w:color="auto" w:sz="4" w:space="0"/>
            </w:tcBorders>
            <w:vAlign w:val="center"/>
          </w:tcPr>
          <w:p w14:paraId="6C79B983">
            <w:pPr>
              <w:spacing w:line="320" w:lineRule="exact"/>
              <w:ind w:left="0" w:leftChars="0" w:firstLine="0" w:firstLineChars="0"/>
              <w:jc w:val="left"/>
              <w:rPr>
                <w:rFonts w:ascii="宋体" w:hAnsi="宋体" w:eastAsia="宋体" w:cs="宋体"/>
                <w:b w:val="0"/>
                <w:bCs/>
                <w:kern w:val="0"/>
                <w:sz w:val="24"/>
                <w:szCs w:val="24"/>
              </w:rPr>
            </w:pPr>
            <w:r>
              <w:rPr>
                <w:rFonts w:hint="eastAsia" w:ascii="宋体" w:hAnsi="宋体" w:eastAsia="宋体" w:cs="宋体"/>
                <w:b w:val="0"/>
                <w:bCs/>
                <w:sz w:val="24"/>
                <w:szCs w:val="24"/>
              </w:rPr>
              <w:t>所使用的压力容器、压力管道等特种设备未办理使用登记的，超过使用年限的，超过检验有效期的，安全附件超过校验有效期的</w:t>
            </w:r>
          </w:p>
        </w:tc>
        <w:tc>
          <w:tcPr>
            <w:tcW w:w="5146" w:type="dxa"/>
            <w:vAlign w:val="center"/>
          </w:tcPr>
          <w:p w14:paraId="6194F2D4">
            <w:pPr>
              <w:autoSpaceDE w:val="0"/>
              <w:autoSpaceDN w:val="0"/>
              <w:spacing w:before="69" w:line="320" w:lineRule="exact"/>
              <w:ind w:left="28" w:leftChars="0"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对所使用的压力容器、压力管道等特种设备办理使用登记证和落实定期检验、校验</w:t>
            </w:r>
          </w:p>
          <w:p w14:paraId="73A21591">
            <w:pPr>
              <w:autoSpaceDE w:val="0"/>
              <w:autoSpaceDN w:val="0"/>
              <w:spacing w:before="69" w:line="320" w:lineRule="exact"/>
              <w:ind w:left="28" w:leftChars="0" w:firstLine="0" w:firstLineChars="0"/>
              <w:jc w:val="left"/>
              <w:rPr>
                <w:rFonts w:ascii="宋体" w:hAnsi="宋体" w:eastAsia="宋体" w:cs="宋体"/>
                <w:b w:val="0"/>
                <w:bCs/>
                <w:kern w:val="0"/>
                <w:sz w:val="24"/>
                <w:szCs w:val="24"/>
              </w:rPr>
            </w:pPr>
          </w:p>
        </w:tc>
        <w:tc>
          <w:tcPr>
            <w:tcW w:w="1530" w:type="dxa"/>
            <w:vAlign w:val="center"/>
          </w:tcPr>
          <w:p w14:paraId="0B03ACE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vAlign w:val="center"/>
          </w:tcPr>
          <w:p w14:paraId="4304CCB8">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sz w:val="24"/>
                <w:szCs w:val="24"/>
              </w:rPr>
              <w:t>主要负责人</w:t>
            </w:r>
          </w:p>
        </w:tc>
        <w:tc>
          <w:tcPr>
            <w:tcW w:w="890" w:type="dxa"/>
            <w:vAlign w:val="center"/>
          </w:tcPr>
          <w:p w14:paraId="0D750974">
            <w:pPr>
              <w:spacing w:line="320" w:lineRule="exact"/>
              <w:ind w:left="0" w:leftChars="0" w:firstLine="0" w:firstLineChars="0"/>
              <w:jc w:val="left"/>
              <w:rPr>
                <w:rFonts w:ascii="宋体" w:hAnsi="宋体" w:eastAsia="宋体" w:cs="宋体"/>
                <w:b w:val="0"/>
                <w:bCs/>
                <w:color w:val="FF0000"/>
                <w:sz w:val="24"/>
                <w:szCs w:val="24"/>
              </w:rPr>
            </w:pPr>
          </w:p>
        </w:tc>
      </w:tr>
      <w:tr w14:paraId="1115A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9" w:hRule="atLeast"/>
        </w:trPr>
        <w:tc>
          <w:tcPr>
            <w:tcW w:w="824" w:type="dxa"/>
            <w:tcBorders>
              <w:bottom w:val="single" w:color="auto" w:sz="4" w:space="0"/>
            </w:tcBorders>
            <w:vAlign w:val="center"/>
          </w:tcPr>
          <w:p w14:paraId="01A1CB08">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31</w:t>
            </w:r>
          </w:p>
        </w:tc>
        <w:tc>
          <w:tcPr>
            <w:tcW w:w="1358" w:type="dxa"/>
            <w:vMerge w:val="continue"/>
            <w:vAlign w:val="center"/>
          </w:tcPr>
          <w:p w14:paraId="3FD36E6F">
            <w:pPr>
              <w:spacing w:line="320" w:lineRule="exact"/>
              <w:ind w:left="0" w:leftChars="0" w:firstLine="0" w:firstLineChars="0"/>
              <w:jc w:val="left"/>
              <w:rPr>
                <w:rFonts w:ascii="宋体" w:hAnsi="宋体" w:eastAsia="宋体" w:cs="宋体"/>
                <w:b w:val="0"/>
                <w:bCs/>
                <w:color w:val="FF0000"/>
                <w:sz w:val="24"/>
                <w:szCs w:val="24"/>
              </w:rPr>
            </w:pPr>
          </w:p>
        </w:tc>
        <w:tc>
          <w:tcPr>
            <w:tcW w:w="3749" w:type="dxa"/>
            <w:tcBorders>
              <w:bottom w:val="single" w:color="auto" w:sz="4" w:space="0"/>
            </w:tcBorders>
            <w:vAlign w:val="center"/>
          </w:tcPr>
          <w:p w14:paraId="543C8A87">
            <w:pPr>
              <w:widowControl/>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kern w:val="0"/>
                <w:sz w:val="24"/>
                <w:szCs w:val="24"/>
              </w:rPr>
              <w:t>易燃有毒气体充装未配备气瓶识读锁枪功能</w:t>
            </w:r>
          </w:p>
        </w:tc>
        <w:tc>
          <w:tcPr>
            <w:tcW w:w="5146" w:type="dxa"/>
            <w:vAlign w:val="center"/>
          </w:tcPr>
          <w:p w14:paraId="68F20077">
            <w:pPr>
              <w:autoSpaceDE w:val="0"/>
              <w:autoSpaceDN w:val="0"/>
              <w:spacing w:before="69" w:line="320" w:lineRule="exact"/>
              <w:ind w:left="28" w:leftChars="0"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易燃有毒气体的充装设施应具备识读本单位经使用登记气瓶功能，非本单位气瓶应锁定充装枪</w:t>
            </w:r>
          </w:p>
        </w:tc>
        <w:tc>
          <w:tcPr>
            <w:tcW w:w="1530" w:type="dxa"/>
            <w:vAlign w:val="center"/>
          </w:tcPr>
          <w:p w14:paraId="7FD9DB94">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vAlign w:val="center"/>
          </w:tcPr>
          <w:p w14:paraId="2F4831F2">
            <w:pPr>
              <w:spacing w:line="320" w:lineRule="exact"/>
              <w:ind w:left="0" w:leftChars="0" w:firstLine="0" w:firstLineChars="0"/>
              <w:jc w:val="center"/>
              <w:rPr>
                <w:rFonts w:ascii="宋体" w:hAnsi="宋体" w:eastAsia="宋体" w:cs="宋体"/>
                <w:b w:val="0"/>
                <w:bCs/>
                <w:color w:val="000000"/>
                <w:sz w:val="24"/>
                <w:szCs w:val="24"/>
              </w:rPr>
            </w:pPr>
            <w:r>
              <w:rPr>
                <w:rFonts w:hint="eastAsia" w:ascii="宋体" w:hAnsi="宋体" w:eastAsia="宋体" w:cs="宋体"/>
                <w:b w:val="0"/>
                <w:bCs/>
                <w:sz w:val="24"/>
                <w:szCs w:val="24"/>
              </w:rPr>
              <w:t>主要负责人</w:t>
            </w:r>
          </w:p>
        </w:tc>
        <w:tc>
          <w:tcPr>
            <w:tcW w:w="890" w:type="dxa"/>
            <w:vAlign w:val="center"/>
          </w:tcPr>
          <w:p w14:paraId="57DF47F6">
            <w:pPr>
              <w:spacing w:line="320" w:lineRule="exact"/>
              <w:ind w:left="0" w:leftChars="0" w:firstLine="0" w:firstLineChars="0"/>
              <w:jc w:val="left"/>
              <w:rPr>
                <w:rFonts w:ascii="宋体" w:hAnsi="宋体" w:eastAsia="宋体" w:cs="宋体"/>
                <w:b w:val="0"/>
                <w:bCs/>
                <w:color w:val="FF0000"/>
                <w:sz w:val="24"/>
                <w:szCs w:val="24"/>
              </w:rPr>
            </w:pPr>
          </w:p>
        </w:tc>
      </w:tr>
      <w:tr w14:paraId="3FC53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bottom w:val="single" w:color="auto" w:sz="4" w:space="0"/>
            </w:tcBorders>
            <w:vAlign w:val="center"/>
          </w:tcPr>
          <w:p w14:paraId="7C4FF736">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32</w:t>
            </w:r>
          </w:p>
        </w:tc>
        <w:tc>
          <w:tcPr>
            <w:tcW w:w="1358" w:type="dxa"/>
            <w:vMerge w:val="restart"/>
            <w:vAlign w:val="center"/>
          </w:tcPr>
          <w:p w14:paraId="1694A7B2">
            <w:pPr>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安全泄压装置及安全附件</w:t>
            </w:r>
          </w:p>
        </w:tc>
        <w:tc>
          <w:tcPr>
            <w:tcW w:w="3749" w:type="dxa"/>
            <w:tcBorders>
              <w:bottom w:val="single" w:color="auto" w:sz="4" w:space="0"/>
            </w:tcBorders>
            <w:vAlign w:val="center"/>
          </w:tcPr>
          <w:p w14:paraId="4AB4FF7F">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气瓶安全泄压装置不符合有关要求</w:t>
            </w:r>
          </w:p>
        </w:tc>
        <w:tc>
          <w:tcPr>
            <w:tcW w:w="5146" w:type="dxa"/>
            <w:vAlign w:val="center"/>
          </w:tcPr>
          <w:p w14:paraId="319E9DD3">
            <w:pPr>
              <w:numPr>
                <w:ilvl w:val="0"/>
                <w:numId w:val="32"/>
              </w:num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及时更换安全泄压装置；</w:t>
            </w:r>
          </w:p>
          <w:p w14:paraId="1F5C0DC9">
            <w:pPr>
              <w:numPr>
                <w:ilvl w:val="0"/>
                <w:numId w:val="32"/>
              </w:num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安全阀定期校验</w:t>
            </w:r>
          </w:p>
        </w:tc>
        <w:tc>
          <w:tcPr>
            <w:tcW w:w="1530" w:type="dxa"/>
            <w:vMerge w:val="restart"/>
            <w:vAlign w:val="center"/>
          </w:tcPr>
          <w:p w14:paraId="4104A788">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宋体"/>
                <w:b w:val="0"/>
                <w:bCs/>
                <w:sz w:val="24"/>
                <w:szCs w:val="24"/>
              </w:rPr>
              <w:t>日管控</w:t>
            </w:r>
          </w:p>
        </w:tc>
        <w:tc>
          <w:tcPr>
            <w:tcW w:w="1245" w:type="dxa"/>
            <w:vMerge w:val="restart"/>
            <w:vAlign w:val="center"/>
          </w:tcPr>
          <w:p w14:paraId="28D363AD">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vAlign w:val="center"/>
          </w:tcPr>
          <w:p w14:paraId="6BEFF04B">
            <w:pPr>
              <w:spacing w:line="320" w:lineRule="exact"/>
              <w:ind w:left="0" w:leftChars="0" w:firstLine="0" w:firstLineChars="0"/>
              <w:jc w:val="left"/>
              <w:rPr>
                <w:rFonts w:ascii="宋体" w:hAnsi="宋体" w:eastAsia="宋体" w:cs="宋体"/>
                <w:b w:val="0"/>
                <w:bCs/>
                <w:sz w:val="24"/>
                <w:szCs w:val="24"/>
              </w:rPr>
            </w:pPr>
          </w:p>
        </w:tc>
      </w:tr>
      <w:tr w14:paraId="3178D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bottom w:val="single" w:color="auto" w:sz="4" w:space="0"/>
            </w:tcBorders>
            <w:vAlign w:val="center"/>
          </w:tcPr>
          <w:p w14:paraId="15BB63B4">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33</w:t>
            </w:r>
          </w:p>
        </w:tc>
        <w:tc>
          <w:tcPr>
            <w:tcW w:w="1358" w:type="dxa"/>
            <w:vMerge w:val="continue"/>
            <w:tcBorders>
              <w:bottom w:val="single" w:color="auto" w:sz="4" w:space="0"/>
            </w:tcBorders>
            <w:vAlign w:val="center"/>
          </w:tcPr>
          <w:p w14:paraId="55C6BFCE">
            <w:pPr>
              <w:spacing w:line="320" w:lineRule="exact"/>
              <w:ind w:left="0" w:leftChars="0" w:firstLine="0" w:firstLineChars="0"/>
              <w:jc w:val="left"/>
              <w:rPr>
                <w:rFonts w:ascii="宋体" w:hAnsi="宋体" w:eastAsia="宋体" w:cs="宋体"/>
                <w:b w:val="0"/>
                <w:bCs/>
                <w:sz w:val="24"/>
                <w:szCs w:val="24"/>
                <w:highlight w:val="yellow"/>
              </w:rPr>
            </w:pPr>
          </w:p>
        </w:tc>
        <w:tc>
          <w:tcPr>
            <w:tcW w:w="3749" w:type="dxa"/>
            <w:tcBorders>
              <w:bottom w:val="single" w:color="auto" w:sz="4" w:space="0"/>
            </w:tcBorders>
            <w:vAlign w:val="center"/>
          </w:tcPr>
          <w:p w14:paraId="3EC23F17">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气瓶安全仪表及安全附件不符合有关要求</w:t>
            </w:r>
          </w:p>
        </w:tc>
        <w:tc>
          <w:tcPr>
            <w:tcW w:w="5146" w:type="dxa"/>
            <w:vAlign w:val="center"/>
          </w:tcPr>
          <w:p w14:paraId="7967916B">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及时更换</w:t>
            </w:r>
            <w:r>
              <w:rPr>
                <w:rFonts w:hint="eastAsia" w:ascii="宋体" w:hAnsi="宋体" w:eastAsia="宋体" w:cs="Times New Roman"/>
                <w:b w:val="0"/>
                <w:spacing w:val="6"/>
                <w:sz w:val="24"/>
                <w:szCs w:val="24"/>
              </w:rPr>
              <w:t>仪表及安全附件</w:t>
            </w:r>
          </w:p>
        </w:tc>
        <w:tc>
          <w:tcPr>
            <w:tcW w:w="1530" w:type="dxa"/>
            <w:vMerge w:val="continue"/>
            <w:vAlign w:val="center"/>
          </w:tcPr>
          <w:p w14:paraId="7CF7E371">
            <w:pPr>
              <w:spacing w:line="320" w:lineRule="exact"/>
              <w:ind w:left="0" w:leftChars="0" w:firstLine="0" w:firstLineChars="0"/>
              <w:jc w:val="center"/>
              <w:rPr>
                <w:rFonts w:ascii="宋体" w:hAnsi="宋体" w:eastAsia="宋体" w:cs="Times New Roman"/>
                <w:b w:val="0"/>
                <w:sz w:val="24"/>
                <w:szCs w:val="24"/>
              </w:rPr>
            </w:pPr>
          </w:p>
        </w:tc>
        <w:tc>
          <w:tcPr>
            <w:tcW w:w="1245" w:type="dxa"/>
            <w:vMerge w:val="continue"/>
            <w:vAlign w:val="center"/>
          </w:tcPr>
          <w:p w14:paraId="03CB5401">
            <w:pPr>
              <w:spacing w:line="320" w:lineRule="exact"/>
              <w:ind w:left="0" w:leftChars="0" w:firstLine="0" w:firstLineChars="0"/>
              <w:jc w:val="center"/>
              <w:rPr>
                <w:rFonts w:ascii="宋体" w:hAnsi="宋体" w:eastAsia="宋体" w:cs="宋体"/>
                <w:b w:val="0"/>
                <w:bCs/>
                <w:sz w:val="24"/>
                <w:szCs w:val="24"/>
              </w:rPr>
            </w:pPr>
          </w:p>
        </w:tc>
        <w:tc>
          <w:tcPr>
            <w:tcW w:w="890" w:type="dxa"/>
            <w:vAlign w:val="center"/>
          </w:tcPr>
          <w:p w14:paraId="1BD8BC42">
            <w:pPr>
              <w:spacing w:line="320" w:lineRule="exact"/>
              <w:ind w:left="0" w:leftChars="0" w:firstLine="0" w:firstLineChars="0"/>
              <w:jc w:val="left"/>
              <w:rPr>
                <w:rFonts w:ascii="宋体" w:hAnsi="宋体" w:eastAsia="宋体" w:cs="宋体"/>
                <w:b w:val="0"/>
                <w:bCs/>
                <w:sz w:val="24"/>
                <w:szCs w:val="24"/>
              </w:rPr>
            </w:pPr>
          </w:p>
        </w:tc>
      </w:tr>
      <w:tr w14:paraId="09B31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7" w:hRule="atLeast"/>
        </w:trPr>
        <w:tc>
          <w:tcPr>
            <w:tcW w:w="824" w:type="dxa"/>
            <w:vAlign w:val="center"/>
          </w:tcPr>
          <w:p w14:paraId="7CD16687">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34</w:t>
            </w:r>
          </w:p>
        </w:tc>
        <w:tc>
          <w:tcPr>
            <w:tcW w:w="1358" w:type="dxa"/>
            <w:vMerge w:val="restart"/>
            <w:tcBorders>
              <w:top w:val="single" w:color="auto" w:sz="4" w:space="0"/>
            </w:tcBorders>
            <w:vAlign w:val="center"/>
          </w:tcPr>
          <w:p w14:paraId="399F6577">
            <w:pPr>
              <w:autoSpaceDE w:val="0"/>
              <w:autoSpaceDN w:val="0"/>
              <w:spacing w:line="320" w:lineRule="exact"/>
              <w:ind w:left="39" w:leftChars="0" w:firstLine="0" w:firstLineChars="0"/>
              <w:jc w:val="center"/>
              <w:rPr>
                <w:rFonts w:ascii="宋体" w:hAnsi="宋体" w:eastAsia="宋体" w:cs="宋体"/>
                <w:b w:val="0"/>
                <w:bCs/>
                <w:kern w:val="0"/>
                <w:sz w:val="24"/>
                <w:szCs w:val="24"/>
                <w:lang w:eastAsia="en-US"/>
              </w:rPr>
            </w:pPr>
            <w:r>
              <w:rPr>
                <w:rFonts w:hint="eastAsia" w:ascii="宋体" w:hAnsi="宋体" w:eastAsia="宋体" w:cs="宋体"/>
                <w:b w:val="0"/>
                <w:bCs/>
                <w:kern w:val="0"/>
                <w:sz w:val="24"/>
                <w:szCs w:val="24"/>
              </w:rPr>
              <w:t>环境</w:t>
            </w:r>
            <w:r>
              <w:rPr>
                <w:rFonts w:hint="eastAsia" w:ascii="宋体" w:hAnsi="宋体" w:eastAsia="宋体" w:cs="宋体"/>
                <w:b w:val="0"/>
                <w:bCs/>
                <w:kern w:val="0"/>
                <w:sz w:val="24"/>
                <w:szCs w:val="24"/>
                <w:lang w:eastAsia="en-US"/>
              </w:rPr>
              <w:t>因素</w:t>
            </w:r>
          </w:p>
        </w:tc>
        <w:tc>
          <w:tcPr>
            <w:tcW w:w="3749" w:type="dxa"/>
            <w:vAlign w:val="center"/>
          </w:tcPr>
          <w:p w14:paraId="5E8E13F9">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pacing w:val="6"/>
                <w:sz w:val="24"/>
                <w:szCs w:val="24"/>
              </w:rPr>
              <w:t>在禁止卸载作业情境下（如恶劣天气、异常工况等）继续作业</w:t>
            </w:r>
          </w:p>
        </w:tc>
        <w:tc>
          <w:tcPr>
            <w:tcW w:w="5146" w:type="dxa"/>
            <w:vAlign w:val="center"/>
          </w:tcPr>
          <w:p w14:paraId="1A0E7790">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Times New Roman"/>
                <w:b w:val="0"/>
                <w:sz w:val="24"/>
                <w:szCs w:val="24"/>
              </w:rPr>
              <w:t>1</w:t>
            </w:r>
            <w:r>
              <w:rPr>
                <w:rFonts w:ascii="宋体" w:hAnsi="宋体" w:eastAsia="宋体" w:cs="Times New Roman"/>
                <w:b w:val="0"/>
                <w:sz w:val="24"/>
                <w:szCs w:val="24"/>
              </w:rPr>
              <w:t>.</w:t>
            </w:r>
            <w:r>
              <w:rPr>
                <w:rFonts w:hint="eastAsia" w:ascii="宋体" w:hAnsi="宋体" w:eastAsia="宋体" w:cs="Times New Roman"/>
                <w:b w:val="0"/>
                <w:sz w:val="24"/>
                <w:szCs w:val="24"/>
              </w:rPr>
              <w:t>建立完善操作规程；</w:t>
            </w:r>
            <w:r>
              <w:rPr>
                <w:rFonts w:ascii="宋体" w:hAnsi="宋体" w:eastAsia="宋体" w:cs="Times New Roman"/>
                <w:b w:val="0"/>
                <w:sz w:val="24"/>
                <w:szCs w:val="24"/>
              </w:rPr>
              <w:br w:type="textWrapping"/>
            </w:r>
            <w:r>
              <w:rPr>
                <w:rFonts w:ascii="宋体" w:hAnsi="宋体" w:eastAsia="宋体" w:cs="Times New Roman"/>
                <w:b w:val="0"/>
                <w:sz w:val="24"/>
                <w:szCs w:val="24"/>
              </w:rPr>
              <w:t>2.</w:t>
            </w:r>
            <w:r>
              <w:rPr>
                <w:rFonts w:hint="eastAsia" w:ascii="宋体" w:hAnsi="宋体" w:eastAsia="宋体" w:cs="Times New Roman"/>
                <w:b w:val="0"/>
                <w:sz w:val="24"/>
                <w:szCs w:val="24"/>
              </w:rPr>
              <w:t>加强人员培训并组织实施</w:t>
            </w:r>
          </w:p>
        </w:tc>
        <w:tc>
          <w:tcPr>
            <w:tcW w:w="1530" w:type="dxa"/>
            <w:vAlign w:val="center"/>
          </w:tcPr>
          <w:p w14:paraId="687D95A7">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245" w:type="dxa"/>
            <w:vAlign w:val="center"/>
          </w:tcPr>
          <w:p w14:paraId="49C81774">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安全员</w:t>
            </w:r>
          </w:p>
        </w:tc>
        <w:tc>
          <w:tcPr>
            <w:tcW w:w="890" w:type="dxa"/>
            <w:vAlign w:val="center"/>
          </w:tcPr>
          <w:p w14:paraId="2B235B3A">
            <w:pPr>
              <w:spacing w:line="320" w:lineRule="exact"/>
              <w:ind w:left="0" w:leftChars="0" w:firstLine="0" w:firstLineChars="0"/>
              <w:jc w:val="left"/>
              <w:rPr>
                <w:rFonts w:ascii="宋体" w:hAnsi="宋体" w:eastAsia="宋体" w:cs="Times New Roman"/>
                <w:b w:val="0"/>
                <w:sz w:val="24"/>
                <w:szCs w:val="24"/>
              </w:rPr>
            </w:pPr>
          </w:p>
        </w:tc>
      </w:tr>
      <w:tr w14:paraId="4944B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824" w:type="dxa"/>
            <w:tcBorders>
              <w:bottom w:val="single" w:color="auto" w:sz="4" w:space="0"/>
            </w:tcBorders>
            <w:vAlign w:val="center"/>
          </w:tcPr>
          <w:p w14:paraId="5BB4B4DD">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35</w:t>
            </w:r>
          </w:p>
        </w:tc>
        <w:tc>
          <w:tcPr>
            <w:tcW w:w="1358" w:type="dxa"/>
            <w:vMerge w:val="continue"/>
            <w:vAlign w:val="center"/>
          </w:tcPr>
          <w:p w14:paraId="3BF0D016">
            <w:pPr>
              <w:autoSpaceDE w:val="0"/>
              <w:autoSpaceDN w:val="0"/>
              <w:spacing w:line="320" w:lineRule="exact"/>
              <w:ind w:left="39" w:leftChars="0" w:firstLine="0" w:firstLineChars="0"/>
              <w:jc w:val="center"/>
              <w:rPr>
                <w:rFonts w:ascii="宋体" w:hAnsi="宋体" w:eastAsia="宋体" w:cs="宋体"/>
                <w:b w:val="0"/>
                <w:bCs/>
                <w:kern w:val="0"/>
                <w:sz w:val="24"/>
                <w:szCs w:val="24"/>
              </w:rPr>
            </w:pPr>
          </w:p>
        </w:tc>
        <w:tc>
          <w:tcPr>
            <w:tcW w:w="3749" w:type="dxa"/>
            <w:vAlign w:val="center"/>
          </w:tcPr>
          <w:p w14:paraId="6F6C648B">
            <w:pPr>
              <w:spacing w:line="320" w:lineRule="exact"/>
              <w:ind w:left="0" w:leftChars="0" w:firstLine="0" w:firstLineChars="0"/>
              <w:jc w:val="left"/>
              <w:rPr>
                <w:rFonts w:ascii="宋体" w:hAnsi="宋体" w:eastAsia="宋体" w:cs="Times New Roman"/>
                <w:b w:val="0"/>
                <w:spacing w:val="6"/>
                <w:sz w:val="24"/>
                <w:szCs w:val="24"/>
              </w:rPr>
            </w:pPr>
            <w:r>
              <w:rPr>
                <w:rFonts w:hint="eastAsia" w:ascii="宋体" w:hAnsi="宋体" w:eastAsia="宋体" w:cs="宋体"/>
                <w:b w:val="0"/>
                <w:bCs/>
                <w:sz w:val="24"/>
                <w:szCs w:val="24"/>
              </w:rPr>
              <w:t>气体浓度监测报警装置不符合相关要求；</w:t>
            </w:r>
          </w:p>
        </w:tc>
        <w:tc>
          <w:tcPr>
            <w:tcW w:w="5146" w:type="dxa"/>
            <w:vAlign w:val="center"/>
          </w:tcPr>
          <w:p w14:paraId="4EE2B166">
            <w:pPr>
              <w:spacing w:line="320" w:lineRule="exact"/>
              <w:ind w:left="0" w:leftChars="0" w:firstLine="0" w:firstLineChars="0"/>
              <w:jc w:val="left"/>
              <w:rPr>
                <w:rFonts w:ascii="宋体" w:hAnsi="宋体" w:eastAsia="宋体" w:cs="Times New Roman"/>
                <w:b w:val="0"/>
                <w:sz w:val="24"/>
                <w:szCs w:val="24"/>
              </w:rPr>
            </w:pPr>
            <w:r>
              <w:rPr>
                <w:rFonts w:hint="eastAsia" w:ascii="宋体" w:hAnsi="宋体" w:eastAsia="宋体" w:cs="宋体"/>
                <w:b w:val="0"/>
                <w:bCs/>
                <w:sz w:val="24"/>
                <w:szCs w:val="24"/>
              </w:rPr>
              <w:t>配备符合相关要求的气体浓度监测报警装置并定期校验</w:t>
            </w:r>
          </w:p>
        </w:tc>
        <w:tc>
          <w:tcPr>
            <w:tcW w:w="1530" w:type="dxa"/>
            <w:vAlign w:val="center"/>
          </w:tcPr>
          <w:p w14:paraId="1880A690">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宋体"/>
                <w:b w:val="0"/>
                <w:bCs/>
                <w:sz w:val="24"/>
                <w:szCs w:val="24"/>
              </w:rPr>
              <w:t>周排查</w:t>
            </w:r>
          </w:p>
        </w:tc>
        <w:tc>
          <w:tcPr>
            <w:tcW w:w="1245" w:type="dxa"/>
            <w:vAlign w:val="center"/>
          </w:tcPr>
          <w:p w14:paraId="40BCE8FA">
            <w:pPr>
              <w:spacing w:line="320" w:lineRule="exact"/>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安全总监</w:t>
            </w:r>
          </w:p>
        </w:tc>
        <w:tc>
          <w:tcPr>
            <w:tcW w:w="890" w:type="dxa"/>
            <w:vAlign w:val="center"/>
          </w:tcPr>
          <w:p w14:paraId="52F229C3">
            <w:pPr>
              <w:spacing w:line="320" w:lineRule="exact"/>
              <w:ind w:left="0" w:leftChars="0" w:firstLine="0" w:firstLineChars="0"/>
              <w:jc w:val="left"/>
              <w:rPr>
                <w:rFonts w:ascii="宋体" w:hAnsi="宋体" w:eastAsia="宋体" w:cs="Times New Roman"/>
                <w:b w:val="0"/>
                <w:sz w:val="24"/>
                <w:szCs w:val="24"/>
              </w:rPr>
            </w:pPr>
          </w:p>
        </w:tc>
      </w:tr>
      <w:tr w14:paraId="72942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exact"/>
        </w:trPr>
        <w:tc>
          <w:tcPr>
            <w:tcW w:w="824" w:type="dxa"/>
            <w:tcBorders>
              <w:top w:val="single" w:color="auto" w:sz="4" w:space="0"/>
            </w:tcBorders>
            <w:vAlign w:val="center"/>
          </w:tcPr>
          <w:p w14:paraId="1A449DDA">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36</w:t>
            </w:r>
          </w:p>
        </w:tc>
        <w:tc>
          <w:tcPr>
            <w:tcW w:w="1358" w:type="dxa"/>
            <w:vMerge w:val="continue"/>
            <w:vAlign w:val="center"/>
          </w:tcPr>
          <w:p w14:paraId="4BEED5BE">
            <w:pPr>
              <w:autoSpaceDE w:val="0"/>
              <w:autoSpaceDN w:val="0"/>
              <w:spacing w:line="320" w:lineRule="exact"/>
              <w:ind w:left="39" w:leftChars="0" w:firstLine="0" w:firstLineChars="0"/>
              <w:jc w:val="center"/>
              <w:rPr>
                <w:rFonts w:ascii="宋体" w:hAnsi="宋体" w:eastAsia="宋体" w:cs="宋体"/>
                <w:b w:val="0"/>
                <w:bCs/>
                <w:kern w:val="0"/>
                <w:sz w:val="24"/>
                <w:szCs w:val="24"/>
                <w:lang w:eastAsia="en-US"/>
              </w:rPr>
            </w:pPr>
          </w:p>
        </w:tc>
        <w:tc>
          <w:tcPr>
            <w:tcW w:w="3749" w:type="dxa"/>
            <w:vAlign w:val="center"/>
          </w:tcPr>
          <w:p w14:paraId="62F82245">
            <w:pPr>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充装区域通风不畅、未遮阳</w:t>
            </w:r>
          </w:p>
        </w:tc>
        <w:tc>
          <w:tcPr>
            <w:tcW w:w="5146" w:type="dxa"/>
            <w:vAlign w:val="center"/>
          </w:tcPr>
          <w:p w14:paraId="7D5D5FD3">
            <w:pPr>
              <w:autoSpaceDE w:val="0"/>
              <w:autoSpaceDN w:val="0"/>
              <w:spacing w:before="129" w:line="320" w:lineRule="exact"/>
              <w:ind w:left="28"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按安全技术要求确保充装区域通风、遮阳</w:t>
            </w:r>
          </w:p>
        </w:tc>
        <w:tc>
          <w:tcPr>
            <w:tcW w:w="1530" w:type="dxa"/>
            <w:tcBorders>
              <w:bottom w:val="single" w:color="auto" w:sz="4" w:space="0"/>
            </w:tcBorders>
            <w:vAlign w:val="center"/>
          </w:tcPr>
          <w:p w14:paraId="702B1533">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bottom w:val="single" w:color="auto" w:sz="4" w:space="0"/>
            </w:tcBorders>
            <w:vAlign w:val="center"/>
          </w:tcPr>
          <w:p w14:paraId="61090E94">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714308B4">
            <w:pPr>
              <w:spacing w:line="320" w:lineRule="exact"/>
              <w:ind w:left="0" w:leftChars="0" w:firstLine="0" w:firstLineChars="0"/>
              <w:jc w:val="left"/>
              <w:rPr>
                <w:rFonts w:ascii="宋体" w:hAnsi="宋体" w:eastAsia="宋体" w:cs="宋体"/>
                <w:b w:val="0"/>
                <w:bCs/>
                <w:sz w:val="24"/>
                <w:szCs w:val="24"/>
              </w:rPr>
            </w:pPr>
          </w:p>
        </w:tc>
      </w:tr>
      <w:tr w14:paraId="0ED35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824" w:type="dxa"/>
            <w:vAlign w:val="center"/>
          </w:tcPr>
          <w:p w14:paraId="76640D66">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37</w:t>
            </w:r>
          </w:p>
        </w:tc>
        <w:tc>
          <w:tcPr>
            <w:tcW w:w="1358" w:type="dxa"/>
            <w:vMerge w:val="continue"/>
            <w:vAlign w:val="center"/>
          </w:tcPr>
          <w:p w14:paraId="21123BDC">
            <w:pPr>
              <w:autoSpaceDE w:val="0"/>
              <w:autoSpaceDN w:val="0"/>
              <w:spacing w:line="320" w:lineRule="exact"/>
              <w:ind w:left="39" w:leftChars="0" w:firstLine="0" w:firstLineChars="0"/>
              <w:jc w:val="center"/>
              <w:rPr>
                <w:rFonts w:ascii="宋体" w:hAnsi="宋体" w:eastAsia="宋体" w:cs="宋体"/>
                <w:b w:val="0"/>
                <w:bCs/>
                <w:sz w:val="24"/>
                <w:szCs w:val="24"/>
              </w:rPr>
            </w:pPr>
          </w:p>
        </w:tc>
        <w:tc>
          <w:tcPr>
            <w:tcW w:w="3749" w:type="dxa"/>
            <w:vAlign w:val="center"/>
          </w:tcPr>
          <w:p w14:paraId="5877F62A">
            <w:pPr>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未配备消防设施，消防通道不明确、不通畅，安全间距不足</w:t>
            </w:r>
          </w:p>
        </w:tc>
        <w:tc>
          <w:tcPr>
            <w:tcW w:w="5146" w:type="dxa"/>
            <w:tcBorders>
              <w:bottom w:val="single" w:color="auto" w:sz="4" w:space="0"/>
            </w:tcBorders>
            <w:vAlign w:val="center"/>
          </w:tcPr>
          <w:p w14:paraId="42191197">
            <w:pPr>
              <w:autoSpaceDE w:val="0"/>
              <w:autoSpaceDN w:val="0"/>
              <w:spacing w:before="110" w:line="320" w:lineRule="exact"/>
              <w:ind w:left="28" w:leftChars="0" w:right="25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按安全技术要求配备消防设施，明确消防通道并通畅</w:t>
            </w:r>
          </w:p>
        </w:tc>
        <w:tc>
          <w:tcPr>
            <w:tcW w:w="1530" w:type="dxa"/>
            <w:tcBorders>
              <w:top w:val="single" w:color="auto" w:sz="4" w:space="0"/>
              <w:bottom w:val="single" w:color="auto" w:sz="4" w:space="0"/>
            </w:tcBorders>
            <w:vAlign w:val="center"/>
          </w:tcPr>
          <w:p w14:paraId="4AE62047">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7D12E9D1">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5869510F">
            <w:pPr>
              <w:spacing w:line="320" w:lineRule="exact"/>
              <w:ind w:left="0" w:leftChars="0" w:firstLine="0" w:firstLineChars="0"/>
              <w:jc w:val="left"/>
              <w:rPr>
                <w:rFonts w:ascii="宋体" w:hAnsi="宋体" w:eastAsia="宋体" w:cs="宋体"/>
                <w:b w:val="0"/>
                <w:bCs/>
                <w:sz w:val="24"/>
                <w:szCs w:val="24"/>
              </w:rPr>
            </w:pPr>
          </w:p>
        </w:tc>
      </w:tr>
      <w:tr w14:paraId="27B83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4" w:hRule="exact"/>
        </w:trPr>
        <w:tc>
          <w:tcPr>
            <w:tcW w:w="824" w:type="dxa"/>
            <w:vAlign w:val="center"/>
          </w:tcPr>
          <w:p w14:paraId="64B7B87A">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38</w:t>
            </w:r>
          </w:p>
        </w:tc>
        <w:tc>
          <w:tcPr>
            <w:tcW w:w="1358" w:type="dxa"/>
            <w:vMerge w:val="continue"/>
            <w:vAlign w:val="center"/>
          </w:tcPr>
          <w:p w14:paraId="04ABE946">
            <w:pPr>
              <w:autoSpaceDE w:val="0"/>
              <w:autoSpaceDN w:val="0"/>
              <w:spacing w:line="320" w:lineRule="exact"/>
              <w:ind w:left="39" w:leftChars="0" w:firstLine="0" w:firstLineChars="0"/>
              <w:jc w:val="center"/>
              <w:rPr>
                <w:rFonts w:ascii="宋体" w:hAnsi="宋体" w:eastAsia="宋体" w:cs="宋体"/>
                <w:b w:val="0"/>
                <w:bCs/>
                <w:sz w:val="24"/>
                <w:szCs w:val="24"/>
              </w:rPr>
            </w:pPr>
          </w:p>
        </w:tc>
        <w:tc>
          <w:tcPr>
            <w:tcW w:w="3749" w:type="dxa"/>
            <w:vAlign w:val="center"/>
          </w:tcPr>
          <w:p w14:paraId="1337B4E9">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易燃易爆气体充装场地、设施、电器设备未按要求配置防雷、防爆、防静电设施</w:t>
            </w:r>
          </w:p>
        </w:tc>
        <w:tc>
          <w:tcPr>
            <w:tcW w:w="5146" w:type="dxa"/>
            <w:tcBorders>
              <w:top w:val="single" w:color="auto" w:sz="4" w:space="0"/>
              <w:bottom w:val="single" w:color="auto" w:sz="4" w:space="0"/>
            </w:tcBorders>
            <w:vAlign w:val="center"/>
          </w:tcPr>
          <w:p w14:paraId="4FFDDB8A">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易燃易爆气体充装场地、设施、电器设备按要求配置防雷、防爆、防静电设施</w:t>
            </w:r>
          </w:p>
        </w:tc>
        <w:tc>
          <w:tcPr>
            <w:tcW w:w="1530" w:type="dxa"/>
            <w:tcBorders>
              <w:top w:val="single" w:color="auto" w:sz="4" w:space="0"/>
              <w:bottom w:val="single" w:color="auto" w:sz="4" w:space="0"/>
            </w:tcBorders>
            <w:vAlign w:val="center"/>
          </w:tcPr>
          <w:p w14:paraId="0168266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35109F74">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56E7336F">
            <w:pPr>
              <w:spacing w:line="320" w:lineRule="exact"/>
              <w:ind w:left="0" w:leftChars="0" w:firstLine="0" w:firstLineChars="0"/>
              <w:jc w:val="left"/>
              <w:rPr>
                <w:rFonts w:ascii="宋体" w:hAnsi="宋体" w:eastAsia="宋体" w:cs="宋体"/>
                <w:b w:val="0"/>
                <w:bCs/>
                <w:sz w:val="24"/>
                <w:szCs w:val="24"/>
              </w:rPr>
            </w:pPr>
          </w:p>
        </w:tc>
      </w:tr>
      <w:tr w14:paraId="1EDB8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824" w:type="dxa"/>
            <w:vAlign w:val="center"/>
          </w:tcPr>
          <w:p w14:paraId="09F1070E">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39</w:t>
            </w:r>
          </w:p>
        </w:tc>
        <w:tc>
          <w:tcPr>
            <w:tcW w:w="1358" w:type="dxa"/>
            <w:vMerge w:val="continue"/>
            <w:vAlign w:val="center"/>
          </w:tcPr>
          <w:p w14:paraId="1C9994C1">
            <w:pPr>
              <w:autoSpaceDE w:val="0"/>
              <w:autoSpaceDN w:val="0"/>
              <w:spacing w:line="320" w:lineRule="exact"/>
              <w:ind w:left="39" w:leftChars="0" w:firstLine="0" w:firstLineChars="0"/>
              <w:jc w:val="center"/>
              <w:rPr>
                <w:rFonts w:ascii="宋体" w:hAnsi="宋体" w:eastAsia="宋体" w:cs="宋体"/>
                <w:b w:val="0"/>
                <w:bCs/>
                <w:sz w:val="24"/>
                <w:szCs w:val="24"/>
              </w:rPr>
            </w:pPr>
          </w:p>
        </w:tc>
        <w:tc>
          <w:tcPr>
            <w:tcW w:w="3749" w:type="dxa"/>
            <w:vAlign w:val="center"/>
          </w:tcPr>
          <w:p w14:paraId="33CF31C8">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未按所充装介质特性配备相应的保护用具和用品</w:t>
            </w:r>
          </w:p>
        </w:tc>
        <w:tc>
          <w:tcPr>
            <w:tcW w:w="5146" w:type="dxa"/>
            <w:tcBorders>
              <w:top w:val="single" w:color="auto" w:sz="4" w:space="0"/>
              <w:bottom w:val="single" w:color="auto" w:sz="4" w:space="0"/>
            </w:tcBorders>
            <w:vAlign w:val="center"/>
          </w:tcPr>
          <w:p w14:paraId="71247A5D">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按所充装介质特性配备相应的保护用具和用品</w:t>
            </w:r>
          </w:p>
        </w:tc>
        <w:tc>
          <w:tcPr>
            <w:tcW w:w="1530" w:type="dxa"/>
            <w:tcBorders>
              <w:top w:val="single" w:color="auto" w:sz="4" w:space="0"/>
              <w:bottom w:val="single" w:color="auto" w:sz="4" w:space="0"/>
            </w:tcBorders>
            <w:vAlign w:val="center"/>
          </w:tcPr>
          <w:p w14:paraId="0F98F457">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08CDD33A">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07CBA3EF">
            <w:pPr>
              <w:spacing w:line="320" w:lineRule="exact"/>
              <w:ind w:left="0" w:leftChars="0" w:firstLine="0" w:firstLineChars="0"/>
              <w:jc w:val="left"/>
              <w:rPr>
                <w:rFonts w:ascii="宋体" w:hAnsi="宋体" w:eastAsia="宋体" w:cs="宋体"/>
                <w:b w:val="0"/>
                <w:bCs/>
                <w:sz w:val="24"/>
                <w:szCs w:val="24"/>
              </w:rPr>
            </w:pPr>
          </w:p>
        </w:tc>
      </w:tr>
      <w:tr w14:paraId="5E276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exact"/>
        </w:trPr>
        <w:tc>
          <w:tcPr>
            <w:tcW w:w="824" w:type="dxa"/>
            <w:vAlign w:val="center"/>
          </w:tcPr>
          <w:p w14:paraId="1AC09C93">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40</w:t>
            </w:r>
          </w:p>
        </w:tc>
        <w:tc>
          <w:tcPr>
            <w:tcW w:w="1358" w:type="dxa"/>
            <w:vMerge w:val="continue"/>
            <w:vAlign w:val="center"/>
          </w:tcPr>
          <w:p w14:paraId="1165F578">
            <w:pPr>
              <w:autoSpaceDE w:val="0"/>
              <w:autoSpaceDN w:val="0"/>
              <w:spacing w:line="320" w:lineRule="exact"/>
              <w:ind w:left="39" w:leftChars="0" w:firstLine="0" w:firstLineChars="0"/>
              <w:jc w:val="center"/>
              <w:rPr>
                <w:rFonts w:ascii="宋体" w:hAnsi="宋体" w:eastAsia="宋体" w:cs="宋体"/>
                <w:b w:val="0"/>
                <w:bCs/>
                <w:sz w:val="24"/>
                <w:szCs w:val="24"/>
              </w:rPr>
            </w:pPr>
          </w:p>
        </w:tc>
        <w:tc>
          <w:tcPr>
            <w:tcW w:w="3749" w:type="dxa"/>
            <w:vAlign w:val="center"/>
          </w:tcPr>
          <w:p w14:paraId="2F778D3E">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未配备事故应急救援预案涉及的应急工、器具</w:t>
            </w:r>
          </w:p>
        </w:tc>
        <w:tc>
          <w:tcPr>
            <w:tcW w:w="5146" w:type="dxa"/>
            <w:tcBorders>
              <w:top w:val="single" w:color="auto" w:sz="4" w:space="0"/>
            </w:tcBorders>
            <w:vAlign w:val="center"/>
          </w:tcPr>
          <w:p w14:paraId="20BF7E01">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配备事故应急救援预案涉及的应急工器具</w:t>
            </w:r>
          </w:p>
        </w:tc>
        <w:tc>
          <w:tcPr>
            <w:tcW w:w="1530" w:type="dxa"/>
            <w:tcBorders>
              <w:top w:val="single" w:color="auto" w:sz="4" w:space="0"/>
              <w:bottom w:val="single" w:color="auto" w:sz="4" w:space="0"/>
            </w:tcBorders>
            <w:vAlign w:val="center"/>
          </w:tcPr>
          <w:p w14:paraId="13BB8141">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bottom w:val="single" w:color="auto" w:sz="4" w:space="0"/>
            </w:tcBorders>
            <w:vAlign w:val="center"/>
          </w:tcPr>
          <w:p w14:paraId="25FA483C">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2B4C6EE3">
            <w:pPr>
              <w:spacing w:line="320" w:lineRule="exact"/>
              <w:ind w:left="0" w:leftChars="0" w:firstLine="0" w:firstLineChars="0"/>
              <w:jc w:val="left"/>
              <w:rPr>
                <w:rFonts w:ascii="宋体" w:hAnsi="宋体" w:eastAsia="宋体" w:cs="宋体"/>
                <w:b w:val="0"/>
                <w:bCs/>
                <w:sz w:val="24"/>
                <w:szCs w:val="24"/>
              </w:rPr>
            </w:pPr>
          </w:p>
        </w:tc>
      </w:tr>
      <w:tr w14:paraId="4E7CE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exact"/>
        </w:trPr>
        <w:tc>
          <w:tcPr>
            <w:tcW w:w="824" w:type="dxa"/>
            <w:tcBorders>
              <w:bottom w:val="single" w:color="auto" w:sz="4" w:space="0"/>
            </w:tcBorders>
            <w:vAlign w:val="center"/>
          </w:tcPr>
          <w:p w14:paraId="4374A511">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41</w:t>
            </w:r>
          </w:p>
        </w:tc>
        <w:tc>
          <w:tcPr>
            <w:tcW w:w="1358" w:type="dxa"/>
            <w:vMerge w:val="continue"/>
            <w:tcBorders>
              <w:bottom w:val="single" w:color="auto" w:sz="4" w:space="0"/>
            </w:tcBorders>
            <w:vAlign w:val="center"/>
          </w:tcPr>
          <w:p w14:paraId="317B700D">
            <w:pPr>
              <w:autoSpaceDE w:val="0"/>
              <w:autoSpaceDN w:val="0"/>
              <w:spacing w:line="320" w:lineRule="exact"/>
              <w:ind w:left="39" w:leftChars="0" w:firstLine="0" w:firstLineChars="0"/>
              <w:jc w:val="center"/>
              <w:rPr>
                <w:rFonts w:ascii="宋体" w:hAnsi="宋体" w:eastAsia="宋体" w:cs="宋体"/>
                <w:b w:val="0"/>
                <w:bCs/>
                <w:kern w:val="0"/>
                <w:sz w:val="24"/>
                <w:szCs w:val="24"/>
              </w:rPr>
            </w:pPr>
          </w:p>
        </w:tc>
        <w:tc>
          <w:tcPr>
            <w:tcW w:w="3749" w:type="dxa"/>
            <w:vAlign w:val="center"/>
          </w:tcPr>
          <w:p w14:paraId="29D552B4">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未告知进站须知、安全警示标识不全的</w:t>
            </w:r>
          </w:p>
        </w:tc>
        <w:tc>
          <w:tcPr>
            <w:tcW w:w="5146" w:type="dxa"/>
            <w:vAlign w:val="center"/>
          </w:tcPr>
          <w:p w14:paraId="053DA8A6">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告知进站须知、安全警示标识应齐全</w:t>
            </w:r>
          </w:p>
        </w:tc>
        <w:tc>
          <w:tcPr>
            <w:tcW w:w="1530" w:type="dxa"/>
            <w:tcBorders>
              <w:top w:val="single" w:color="auto" w:sz="4" w:space="0"/>
            </w:tcBorders>
            <w:vAlign w:val="center"/>
          </w:tcPr>
          <w:p w14:paraId="4A9BB46D">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月调度</w:t>
            </w:r>
          </w:p>
        </w:tc>
        <w:tc>
          <w:tcPr>
            <w:tcW w:w="1245" w:type="dxa"/>
            <w:tcBorders>
              <w:top w:val="single" w:color="auto" w:sz="4" w:space="0"/>
            </w:tcBorders>
            <w:vAlign w:val="center"/>
          </w:tcPr>
          <w:p w14:paraId="5A8DFC1C">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62BFA357">
            <w:pPr>
              <w:spacing w:line="320" w:lineRule="exact"/>
              <w:ind w:left="0" w:leftChars="0" w:firstLine="0" w:firstLineChars="0"/>
              <w:jc w:val="left"/>
              <w:rPr>
                <w:rFonts w:ascii="宋体" w:hAnsi="宋体" w:eastAsia="宋体" w:cs="宋体"/>
                <w:b w:val="0"/>
                <w:bCs/>
                <w:sz w:val="24"/>
                <w:szCs w:val="24"/>
              </w:rPr>
            </w:pPr>
          </w:p>
        </w:tc>
      </w:tr>
      <w:tr w14:paraId="46B77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trPr>
        <w:tc>
          <w:tcPr>
            <w:tcW w:w="824" w:type="dxa"/>
            <w:tcBorders>
              <w:bottom w:val="single" w:color="auto" w:sz="4" w:space="0"/>
            </w:tcBorders>
            <w:vAlign w:val="center"/>
          </w:tcPr>
          <w:p w14:paraId="351E21A6">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42</w:t>
            </w:r>
          </w:p>
        </w:tc>
        <w:tc>
          <w:tcPr>
            <w:tcW w:w="1358" w:type="dxa"/>
            <w:tcBorders>
              <w:bottom w:val="single" w:color="auto" w:sz="4" w:space="0"/>
            </w:tcBorders>
            <w:vAlign w:val="center"/>
          </w:tcPr>
          <w:p w14:paraId="0D65E939">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政府监督、通报、预警</w:t>
            </w:r>
          </w:p>
        </w:tc>
        <w:tc>
          <w:tcPr>
            <w:tcW w:w="3749" w:type="dxa"/>
            <w:vAlign w:val="center"/>
          </w:tcPr>
          <w:p w14:paraId="35A97BC2">
            <w:pPr>
              <w:autoSpaceDE w:val="0"/>
              <w:autoSpaceDN w:val="0"/>
              <w:spacing w:line="320" w:lineRule="exact"/>
              <w:ind w:left="39" w:leftChars="0"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发现不合格项</w:t>
            </w:r>
          </w:p>
        </w:tc>
        <w:tc>
          <w:tcPr>
            <w:tcW w:w="5146" w:type="dxa"/>
            <w:vAlign w:val="center"/>
          </w:tcPr>
          <w:p w14:paraId="4472A9E2">
            <w:pPr>
              <w:autoSpaceDE w:val="0"/>
              <w:autoSpaceDN w:val="0"/>
              <w:spacing w:line="320" w:lineRule="exact"/>
              <w:ind w:left="39" w:leftChars="0" w:firstLine="0" w:firstLineChars="0"/>
              <w:jc w:val="left"/>
              <w:rPr>
                <w:rFonts w:ascii="宋体" w:hAnsi="宋体" w:eastAsia="宋体" w:cs="宋体"/>
                <w:b w:val="0"/>
                <w:bCs/>
                <w:kern w:val="0"/>
                <w:sz w:val="24"/>
                <w:szCs w:val="24"/>
              </w:rPr>
            </w:pPr>
            <w:r>
              <w:rPr>
                <w:rFonts w:ascii="宋体" w:hAnsi="宋体" w:eastAsia="宋体" w:cs="宋体"/>
                <w:b w:val="0"/>
                <w:bCs/>
                <w:kern w:val="0"/>
                <w:sz w:val="24"/>
                <w:szCs w:val="24"/>
              </w:rPr>
              <w:t>记录，整改</w:t>
            </w:r>
          </w:p>
        </w:tc>
        <w:tc>
          <w:tcPr>
            <w:tcW w:w="1530" w:type="dxa"/>
            <w:vAlign w:val="center"/>
          </w:tcPr>
          <w:p w14:paraId="590393BE">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周排查</w:t>
            </w:r>
          </w:p>
        </w:tc>
        <w:tc>
          <w:tcPr>
            <w:tcW w:w="1245" w:type="dxa"/>
            <w:vAlign w:val="center"/>
          </w:tcPr>
          <w:p w14:paraId="506B70B0">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安全总监</w:t>
            </w:r>
          </w:p>
        </w:tc>
        <w:tc>
          <w:tcPr>
            <w:tcW w:w="890" w:type="dxa"/>
            <w:vAlign w:val="center"/>
          </w:tcPr>
          <w:p w14:paraId="394878E9">
            <w:pPr>
              <w:spacing w:line="320" w:lineRule="exact"/>
              <w:ind w:left="0" w:leftChars="0" w:firstLine="0" w:firstLineChars="0"/>
              <w:jc w:val="left"/>
              <w:rPr>
                <w:rFonts w:ascii="宋体" w:hAnsi="宋体" w:eastAsia="宋体" w:cs="宋体"/>
                <w:b w:val="0"/>
                <w:bCs/>
                <w:sz w:val="24"/>
                <w:szCs w:val="24"/>
              </w:rPr>
            </w:pPr>
          </w:p>
        </w:tc>
      </w:tr>
      <w:tr w14:paraId="200F3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trPr>
        <w:tc>
          <w:tcPr>
            <w:tcW w:w="824" w:type="dxa"/>
            <w:tcBorders>
              <w:bottom w:val="single" w:color="auto" w:sz="4" w:space="0"/>
            </w:tcBorders>
            <w:vAlign w:val="center"/>
          </w:tcPr>
          <w:p w14:paraId="4B8823EE">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43</w:t>
            </w:r>
          </w:p>
        </w:tc>
        <w:tc>
          <w:tcPr>
            <w:tcW w:w="1358" w:type="dxa"/>
            <w:tcBorders>
              <w:bottom w:val="single" w:color="auto" w:sz="4" w:space="0"/>
            </w:tcBorders>
            <w:vAlign w:val="center"/>
          </w:tcPr>
          <w:p w14:paraId="1CAB5231">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投诉举报</w:t>
            </w:r>
          </w:p>
        </w:tc>
        <w:tc>
          <w:tcPr>
            <w:tcW w:w="3749" w:type="dxa"/>
            <w:vAlign w:val="center"/>
          </w:tcPr>
          <w:p w14:paraId="2C7A2E2C">
            <w:pPr>
              <w:autoSpaceDE w:val="0"/>
              <w:autoSpaceDN w:val="0"/>
              <w:spacing w:line="320" w:lineRule="exact"/>
              <w:ind w:left="39" w:leftChars="0"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发现不合格项</w:t>
            </w:r>
          </w:p>
        </w:tc>
        <w:tc>
          <w:tcPr>
            <w:tcW w:w="5146" w:type="dxa"/>
            <w:vAlign w:val="center"/>
          </w:tcPr>
          <w:p w14:paraId="0FDF926C">
            <w:pPr>
              <w:autoSpaceDE w:val="0"/>
              <w:autoSpaceDN w:val="0"/>
              <w:spacing w:line="320" w:lineRule="exact"/>
              <w:ind w:left="39" w:leftChars="0" w:firstLine="0" w:firstLineChars="0"/>
              <w:jc w:val="left"/>
              <w:rPr>
                <w:rFonts w:ascii="宋体" w:hAnsi="宋体" w:eastAsia="宋体" w:cs="宋体"/>
                <w:b w:val="0"/>
                <w:bCs/>
                <w:kern w:val="0"/>
                <w:sz w:val="24"/>
                <w:szCs w:val="24"/>
              </w:rPr>
            </w:pPr>
            <w:r>
              <w:rPr>
                <w:rFonts w:ascii="宋体" w:hAnsi="宋体" w:eastAsia="宋体" w:cs="宋体"/>
                <w:b w:val="0"/>
                <w:bCs/>
                <w:kern w:val="0"/>
                <w:sz w:val="24"/>
                <w:szCs w:val="24"/>
              </w:rPr>
              <w:t>记录，整改，消除安全隐患</w:t>
            </w:r>
          </w:p>
        </w:tc>
        <w:tc>
          <w:tcPr>
            <w:tcW w:w="1530" w:type="dxa"/>
            <w:vAlign w:val="center"/>
          </w:tcPr>
          <w:p w14:paraId="7BD534B3">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日管控</w:t>
            </w:r>
          </w:p>
        </w:tc>
        <w:tc>
          <w:tcPr>
            <w:tcW w:w="1245" w:type="dxa"/>
            <w:vAlign w:val="center"/>
          </w:tcPr>
          <w:p w14:paraId="142DB842">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安全员</w:t>
            </w:r>
          </w:p>
        </w:tc>
        <w:tc>
          <w:tcPr>
            <w:tcW w:w="890" w:type="dxa"/>
            <w:vAlign w:val="center"/>
          </w:tcPr>
          <w:p w14:paraId="74F296E1">
            <w:pPr>
              <w:spacing w:line="320" w:lineRule="exact"/>
              <w:ind w:left="0" w:leftChars="0" w:firstLine="0" w:firstLineChars="0"/>
              <w:jc w:val="left"/>
              <w:rPr>
                <w:rFonts w:ascii="宋体" w:hAnsi="宋体" w:eastAsia="宋体" w:cs="宋体"/>
                <w:b w:val="0"/>
                <w:bCs/>
                <w:sz w:val="24"/>
                <w:szCs w:val="24"/>
              </w:rPr>
            </w:pPr>
          </w:p>
        </w:tc>
      </w:tr>
      <w:tr w14:paraId="6E0AA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trPr>
        <w:tc>
          <w:tcPr>
            <w:tcW w:w="824" w:type="dxa"/>
            <w:tcBorders>
              <w:bottom w:val="single" w:color="auto" w:sz="4" w:space="0"/>
            </w:tcBorders>
            <w:vAlign w:val="center"/>
          </w:tcPr>
          <w:p w14:paraId="34FB0526">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44</w:t>
            </w:r>
          </w:p>
        </w:tc>
        <w:tc>
          <w:tcPr>
            <w:tcW w:w="1358" w:type="dxa"/>
            <w:tcBorders>
              <w:bottom w:val="single" w:color="auto" w:sz="4" w:space="0"/>
            </w:tcBorders>
            <w:vAlign w:val="center"/>
          </w:tcPr>
          <w:p w14:paraId="44CA1E57">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舆情信息</w:t>
            </w:r>
          </w:p>
        </w:tc>
        <w:tc>
          <w:tcPr>
            <w:tcW w:w="3749" w:type="dxa"/>
            <w:vAlign w:val="center"/>
          </w:tcPr>
          <w:p w14:paraId="5B8B51ED">
            <w:pPr>
              <w:autoSpaceDE w:val="0"/>
              <w:autoSpaceDN w:val="0"/>
              <w:spacing w:line="320" w:lineRule="exact"/>
              <w:ind w:left="39" w:leftChars="0"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发现不合格项</w:t>
            </w:r>
          </w:p>
        </w:tc>
        <w:tc>
          <w:tcPr>
            <w:tcW w:w="5146" w:type="dxa"/>
            <w:vAlign w:val="center"/>
          </w:tcPr>
          <w:p w14:paraId="6C4A1CB8">
            <w:pPr>
              <w:autoSpaceDE w:val="0"/>
              <w:autoSpaceDN w:val="0"/>
              <w:spacing w:line="320" w:lineRule="exact"/>
              <w:ind w:left="39" w:leftChars="0" w:firstLine="0" w:firstLineChars="0"/>
              <w:jc w:val="left"/>
              <w:rPr>
                <w:rFonts w:ascii="宋体" w:hAnsi="宋体" w:eastAsia="宋体" w:cs="宋体"/>
                <w:b w:val="0"/>
                <w:bCs/>
                <w:kern w:val="0"/>
                <w:sz w:val="24"/>
                <w:szCs w:val="24"/>
              </w:rPr>
            </w:pPr>
            <w:r>
              <w:rPr>
                <w:rFonts w:ascii="宋体" w:hAnsi="宋体" w:eastAsia="宋体" w:cs="宋体"/>
                <w:b w:val="0"/>
                <w:bCs/>
                <w:kern w:val="0"/>
                <w:sz w:val="24"/>
                <w:szCs w:val="24"/>
              </w:rPr>
              <w:t>记录，整改</w:t>
            </w:r>
          </w:p>
        </w:tc>
        <w:tc>
          <w:tcPr>
            <w:tcW w:w="1530" w:type="dxa"/>
            <w:vAlign w:val="center"/>
          </w:tcPr>
          <w:p w14:paraId="7897358B">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日管控</w:t>
            </w:r>
          </w:p>
        </w:tc>
        <w:tc>
          <w:tcPr>
            <w:tcW w:w="1245" w:type="dxa"/>
            <w:vAlign w:val="center"/>
          </w:tcPr>
          <w:p w14:paraId="500B6F2B">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安全员</w:t>
            </w:r>
          </w:p>
        </w:tc>
        <w:tc>
          <w:tcPr>
            <w:tcW w:w="890" w:type="dxa"/>
            <w:vAlign w:val="center"/>
          </w:tcPr>
          <w:p w14:paraId="7A8E846B">
            <w:pPr>
              <w:spacing w:line="320" w:lineRule="exact"/>
              <w:ind w:left="0" w:leftChars="0" w:firstLine="0" w:firstLineChars="0"/>
              <w:jc w:val="left"/>
              <w:rPr>
                <w:rFonts w:ascii="宋体" w:hAnsi="宋体" w:eastAsia="宋体" w:cs="宋体"/>
                <w:b w:val="0"/>
                <w:bCs/>
                <w:sz w:val="24"/>
                <w:szCs w:val="24"/>
              </w:rPr>
            </w:pPr>
          </w:p>
        </w:tc>
      </w:tr>
      <w:tr w14:paraId="283AA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824" w:type="dxa"/>
            <w:tcBorders>
              <w:top w:val="single" w:color="auto" w:sz="4" w:space="0"/>
            </w:tcBorders>
            <w:vAlign w:val="center"/>
          </w:tcPr>
          <w:p w14:paraId="21B11539">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45</w:t>
            </w:r>
          </w:p>
        </w:tc>
        <w:tc>
          <w:tcPr>
            <w:tcW w:w="1358" w:type="dxa"/>
            <w:vMerge w:val="restart"/>
            <w:tcBorders>
              <w:top w:val="single" w:color="auto" w:sz="4" w:space="0"/>
            </w:tcBorders>
            <w:vAlign w:val="center"/>
          </w:tcPr>
          <w:p w14:paraId="2849800D">
            <w:pPr>
              <w:autoSpaceDE w:val="0"/>
              <w:autoSpaceDN w:val="0"/>
              <w:spacing w:line="320" w:lineRule="exact"/>
              <w:ind w:left="39" w:leftChars="0" w:firstLine="0" w:firstLineChars="0"/>
              <w:jc w:val="center"/>
              <w:rPr>
                <w:rFonts w:ascii="宋体" w:hAnsi="宋体" w:eastAsia="宋体" w:cs="宋体"/>
                <w:b w:val="0"/>
                <w:bCs/>
                <w:color w:val="0000FF"/>
                <w:kern w:val="0"/>
                <w:sz w:val="24"/>
                <w:szCs w:val="24"/>
              </w:rPr>
            </w:pPr>
            <w:r>
              <w:rPr>
                <w:rFonts w:hint="eastAsia" w:ascii="宋体" w:hAnsi="宋体" w:eastAsia="宋体" w:cs="宋体"/>
                <w:b w:val="0"/>
                <w:bCs/>
                <w:kern w:val="0"/>
                <w:sz w:val="24"/>
                <w:szCs w:val="24"/>
              </w:rPr>
              <w:t>压缩气体充装专项</w:t>
            </w:r>
          </w:p>
        </w:tc>
        <w:tc>
          <w:tcPr>
            <w:tcW w:w="3749" w:type="dxa"/>
            <w:vAlign w:val="center"/>
          </w:tcPr>
          <w:p w14:paraId="168DEB35">
            <w:pPr>
              <w:autoSpaceDE w:val="0"/>
              <w:autoSpaceDN w:val="0"/>
              <w:spacing w:before="113" w:line="320" w:lineRule="exact"/>
              <w:ind w:left="76" w:leftChars="0" w:firstLine="0" w:firstLineChars="0"/>
              <w:jc w:val="left"/>
              <w:rPr>
                <w:rFonts w:ascii="宋体" w:hAnsi="宋体" w:eastAsia="宋体" w:cs="宋体"/>
                <w:b w:val="0"/>
                <w:bCs/>
                <w:kern w:val="0"/>
                <w:sz w:val="24"/>
                <w:szCs w:val="24"/>
              </w:rPr>
            </w:pPr>
            <w:r>
              <w:rPr>
                <w:rFonts w:hint="eastAsia" w:ascii="宋体" w:hAnsi="宋体" w:eastAsia="宋体" w:cs="宋体"/>
                <w:b w:val="0"/>
                <w:bCs/>
                <w:kern w:val="0"/>
                <w:sz w:val="24"/>
                <w:szCs w:val="24"/>
              </w:rPr>
              <w:t>未制定充装温度与最高充装压力对照表，未按要求控制</w:t>
            </w:r>
          </w:p>
        </w:tc>
        <w:tc>
          <w:tcPr>
            <w:tcW w:w="5146" w:type="dxa"/>
            <w:tcBorders>
              <w:bottom w:val="single" w:color="auto" w:sz="4" w:space="0"/>
            </w:tcBorders>
            <w:vAlign w:val="center"/>
          </w:tcPr>
          <w:p w14:paraId="6A8E3114">
            <w:pPr>
              <w:autoSpaceDE w:val="0"/>
              <w:autoSpaceDN w:val="0"/>
              <w:spacing w:before="69" w:line="320" w:lineRule="exact"/>
              <w:ind w:left="0" w:leftChars="0" w:firstLine="0" w:firstLineChars="0"/>
              <w:jc w:val="left"/>
              <w:rPr>
                <w:rFonts w:ascii="宋体" w:hAnsi="宋体" w:eastAsia="宋体" w:cs="宋体"/>
                <w:b w:val="0"/>
                <w:bCs/>
                <w:kern w:val="0"/>
                <w:sz w:val="24"/>
                <w:szCs w:val="24"/>
              </w:rPr>
            </w:pPr>
            <w:r>
              <w:rPr>
                <w:rFonts w:ascii="宋体" w:hAnsi="宋体" w:eastAsia="宋体" w:cs="宋体"/>
                <w:b w:val="0"/>
                <w:bCs/>
                <w:kern w:val="0"/>
                <w:sz w:val="24"/>
                <w:szCs w:val="24"/>
              </w:rPr>
              <w:t>1</w:t>
            </w:r>
            <w:r>
              <w:rPr>
                <w:rFonts w:hint="eastAsia" w:ascii="宋体" w:hAnsi="宋体" w:eastAsia="宋体" w:cs="宋体"/>
                <w:b w:val="0"/>
                <w:bCs/>
                <w:kern w:val="0"/>
                <w:sz w:val="24"/>
                <w:szCs w:val="24"/>
              </w:rPr>
              <w:t>.制定充装温度与最高充装压力对照表</w:t>
            </w:r>
          </w:p>
          <w:p w14:paraId="5343DA67">
            <w:pPr>
              <w:autoSpaceDE w:val="0"/>
              <w:autoSpaceDN w:val="0"/>
              <w:spacing w:before="69" w:line="320" w:lineRule="exact"/>
              <w:ind w:left="0" w:leftChars="0" w:firstLine="0" w:firstLineChars="0"/>
              <w:jc w:val="left"/>
              <w:rPr>
                <w:rFonts w:ascii="宋体" w:hAnsi="宋体" w:eastAsia="宋体" w:cs="宋体"/>
                <w:b w:val="0"/>
                <w:bCs/>
                <w:kern w:val="0"/>
                <w:sz w:val="24"/>
                <w:szCs w:val="24"/>
              </w:rPr>
            </w:pPr>
            <w:r>
              <w:rPr>
                <w:rFonts w:ascii="宋体" w:hAnsi="宋体" w:eastAsia="宋体" w:cs="宋体"/>
                <w:b w:val="0"/>
                <w:bCs/>
                <w:kern w:val="0"/>
                <w:sz w:val="24"/>
                <w:szCs w:val="24"/>
              </w:rPr>
              <w:t>2</w:t>
            </w:r>
            <w:r>
              <w:rPr>
                <w:rFonts w:hint="eastAsia" w:ascii="宋体" w:hAnsi="宋体" w:eastAsia="宋体" w:cs="宋体"/>
                <w:b w:val="0"/>
                <w:bCs/>
                <w:kern w:val="0"/>
                <w:sz w:val="24"/>
                <w:szCs w:val="24"/>
              </w:rPr>
              <w:t>.充装后的压力</w:t>
            </w:r>
            <w:r>
              <w:rPr>
                <w:rFonts w:ascii="宋体" w:hAnsi="宋体" w:eastAsia="宋体" w:cs="宋体"/>
                <w:b w:val="0"/>
                <w:bCs/>
                <w:kern w:val="0"/>
                <w:sz w:val="24"/>
                <w:szCs w:val="24"/>
              </w:rPr>
              <w:t>（</w:t>
            </w:r>
            <w:r>
              <w:rPr>
                <w:rFonts w:hint="eastAsia" w:ascii="宋体" w:hAnsi="宋体" w:eastAsia="宋体" w:cs="宋体"/>
                <w:b w:val="0"/>
                <w:bCs/>
                <w:kern w:val="0"/>
                <w:sz w:val="24"/>
                <w:szCs w:val="24"/>
              </w:rPr>
              <w:t>换算成</w:t>
            </w:r>
            <w:r>
              <w:rPr>
                <w:rFonts w:ascii="宋体" w:hAnsi="宋体" w:eastAsia="宋体" w:cs="宋体"/>
                <w:b w:val="0"/>
                <w:bCs/>
                <w:kern w:val="0"/>
                <w:sz w:val="24"/>
                <w:szCs w:val="24"/>
              </w:rPr>
              <w:t>20</w:t>
            </w:r>
            <w:r>
              <w:rPr>
                <w:rFonts w:hint="eastAsia" w:ascii="宋体" w:hAnsi="宋体" w:eastAsia="宋体" w:cs="宋体"/>
                <w:b w:val="0"/>
                <w:bCs/>
                <w:kern w:val="0"/>
                <w:sz w:val="24"/>
                <w:szCs w:val="24"/>
              </w:rPr>
              <w:t>℃</w:t>
            </w:r>
            <w:r>
              <w:rPr>
                <w:rFonts w:ascii="宋体" w:hAnsi="宋体" w:eastAsia="宋体" w:cs="微软雅黑"/>
                <w:b w:val="0"/>
                <w:bCs/>
                <w:kern w:val="0"/>
                <w:sz w:val="24"/>
                <w:szCs w:val="24"/>
              </w:rPr>
              <w:t>）</w:t>
            </w:r>
            <w:r>
              <w:rPr>
                <w:rFonts w:hint="eastAsia" w:ascii="宋体" w:hAnsi="宋体" w:eastAsia="宋体" w:cs="微软雅黑"/>
                <w:b w:val="0"/>
                <w:bCs/>
                <w:kern w:val="0"/>
                <w:sz w:val="24"/>
                <w:szCs w:val="24"/>
              </w:rPr>
              <w:t>不得超过气瓶的公称工作压力</w:t>
            </w:r>
          </w:p>
        </w:tc>
        <w:tc>
          <w:tcPr>
            <w:tcW w:w="1530" w:type="dxa"/>
            <w:tcBorders>
              <w:bottom w:val="single" w:color="auto" w:sz="4" w:space="0"/>
            </w:tcBorders>
            <w:vAlign w:val="center"/>
          </w:tcPr>
          <w:p w14:paraId="082708BD">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tcBorders>
              <w:bottom w:val="single" w:color="auto" w:sz="4" w:space="0"/>
            </w:tcBorders>
            <w:vAlign w:val="center"/>
          </w:tcPr>
          <w:p w14:paraId="1DB7E405">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tcBorders>
              <w:bottom w:val="single" w:color="auto" w:sz="4" w:space="0"/>
            </w:tcBorders>
            <w:vAlign w:val="center"/>
          </w:tcPr>
          <w:p w14:paraId="5F59A1AB">
            <w:pPr>
              <w:spacing w:line="320" w:lineRule="exact"/>
              <w:ind w:left="0" w:leftChars="0" w:firstLine="0" w:firstLineChars="0"/>
              <w:jc w:val="left"/>
              <w:rPr>
                <w:rFonts w:ascii="宋体" w:hAnsi="宋体" w:eastAsia="宋体" w:cs="宋体"/>
                <w:b w:val="0"/>
                <w:bCs/>
                <w:color w:val="0000FF"/>
                <w:sz w:val="24"/>
                <w:szCs w:val="24"/>
              </w:rPr>
            </w:pPr>
          </w:p>
        </w:tc>
      </w:tr>
      <w:tr w14:paraId="3046C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5" w:hRule="atLeast"/>
        </w:trPr>
        <w:tc>
          <w:tcPr>
            <w:tcW w:w="824" w:type="dxa"/>
            <w:vAlign w:val="center"/>
          </w:tcPr>
          <w:p w14:paraId="1D0352BE">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46</w:t>
            </w:r>
          </w:p>
        </w:tc>
        <w:tc>
          <w:tcPr>
            <w:tcW w:w="1358" w:type="dxa"/>
            <w:vMerge w:val="continue"/>
            <w:vAlign w:val="center"/>
          </w:tcPr>
          <w:p w14:paraId="1337CAED">
            <w:pPr>
              <w:autoSpaceDE w:val="0"/>
              <w:autoSpaceDN w:val="0"/>
              <w:spacing w:line="320" w:lineRule="exact"/>
              <w:ind w:left="39" w:leftChars="0" w:firstLine="0" w:firstLineChars="0"/>
              <w:jc w:val="center"/>
              <w:rPr>
                <w:rFonts w:ascii="宋体" w:hAnsi="宋体" w:eastAsia="宋体" w:cs="宋体"/>
                <w:b w:val="0"/>
                <w:bCs/>
                <w:color w:val="0000FF"/>
                <w:kern w:val="0"/>
                <w:sz w:val="24"/>
                <w:szCs w:val="24"/>
              </w:rPr>
            </w:pPr>
          </w:p>
        </w:tc>
        <w:tc>
          <w:tcPr>
            <w:tcW w:w="3749" w:type="dxa"/>
            <w:vAlign w:val="center"/>
          </w:tcPr>
          <w:p w14:paraId="73FDA765">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氧化性压缩气体阀未采用余压保持装置（充装采用先抽后充工艺的阀除外）；充装氧气或其他强氧化性气体的气瓶，其瓶体、瓶阀沾染油脂或其他可燃物</w:t>
            </w:r>
          </w:p>
        </w:tc>
        <w:tc>
          <w:tcPr>
            <w:tcW w:w="5146" w:type="dxa"/>
            <w:tcBorders>
              <w:top w:val="single" w:color="auto" w:sz="4" w:space="0"/>
            </w:tcBorders>
            <w:vAlign w:val="center"/>
          </w:tcPr>
          <w:p w14:paraId="58133A97">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按照相应规定配备余压保持阀，氧化性气体充装瓶体、瓶阀禁油</w:t>
            </w:r>
          </w:p>
        </w:tc>
        <w:tc>
          <w:tcPr>
            <w:tcW w:w="1530" w:type="dxa"/>
            <w:tcBorders>
              <w:top w:val="single" w:color="auto" w:sz="4" w:space="0"/>
              <w:bottom w:val="single" w:color="auto" w:sz="4" w:space="0"/>
            </w:tcBorders>
            <w:vAlign w:val="center"/>
          </w:tcPr>
          <w:p w14:paraId="5558F2CB">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tcBorders>
              <w:top w:val="single" w:color="auto" w:sz="4" w:space="0"/>
              <w:bottom w:val="single" w:color="auto" w:sz="4" w:space="0"/>
            </w:tcBorders>
            <w:vAlign w:val="center"/>
          </w:tcPr>
          <w:p w14:paraId="0F24D0F9">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tcBorders>
              <w:top w:val="single" w:color="auto" w:sz="4" w:space="0"/>
              <w:bottom w:val="single" w:color="auto" w:sz="4" w:space="0"/>
            </w:tcBorders>
            <w:vAlign w:val="center"/>
          </w:tcPr>
          <w:p w14:paraId="6382AF7F">
            <w:pPr>
              <w:spacing w:line="320" w:lineRule="exact"/>
              <w:ind w:left="0" w:leftChars="0" w:firstLine="0" w:firstLineChars="0"/>
              <w:jc w:val="left"/>
              <w:rPr>
                <w:rFonts w:ascii="宋体" w:hAnsi="宋体" w:eastAsia="宋体" w:cs="宋体"/>
                <w:b w:val="0"/>
                <w:bCs/>
                <w:color w:val="0000FF"/>
                <w:sz w:val="24"/>
                <w:szCs w:val="24"/>
              </w:rPr>
            </w:pPr>
          </w:p>
        </w:tc>
      </w:tr>
      <w:tr w14:paraId="2C924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5327CF6A">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47</w:t>
            </w:r>
          </w:p>
        </w:tc>
        <w:tc>
          <w:tcPr>
            <w:tcW w:w="1358" w:type="dxa"/>
            <w:vMerge w:val="continue"/>
            <w:vAlign w:val="center"/>
          </w:tcPr>
          <w:p w14:paraId="67DFA5A3">
            <w:pPr>
              <w:autoSpaceDE w:val="0"/>
              <w:autoSpaceDN w:val="0"/>
              <w:spacing w:line="320" w:lineRule="exact"/>
              <w:ind w:left="39" w:leftChars="0" w:firstLine="0" w:firstLineChars="0"/>
              <w:jc w:val="center"/>
              <w:rPr>
                <w:rFonts w:ascii="宋体" w:hAnsi="宋体" w:eastAsia="宋体" w:cs="宋体"/>
                <w:b w:val="0"/>
                <w:bCs/>
                <w:color w:val="0000FF"/>
                <w:kern w:val="0"/>
                <w:sz w:val="24"/>
                <w:szCs w:val="24"/>
              </w:rPr>
            </w:pPr>
          </w:p>
        </w:tc>
        <w:tc>
          <w:tcPr>
            <w:tcW w:w="3749" w:type="dxa"/>
            <w:vAlign w:val="center"/>
          </w:tcPr>
          <w:p w14:paraId="78B7CD44">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充装氟或者二氟化氧的气瓶</w:t>
            </w:r>
            <w:r>
              <w:rPr>
                <w:rFonts w:ascii="宋体" w:hAnsi="宋体" w:eastAsia="宋体" w:cs="宋体"/>
                <w:b w:val="0"/>
                <w:bCs/>
                <w:sz w:val="24"/>
                <w:szCs w:val="24"/>
              </w:rPr>
              <w:t>，</w:t>
            </w:r>
            <w:r>
              <w:rPr>
                <w:rFonts w:hint="eastAsia" w:ascii="宋体" w:hAnsi="宋体" w:eastAsia="宋体" w:cs="宋体"/>
                <w:b w:val="0"/>
                <w:bCs/>
                <w:sz w:val="24"/>
                <w:szCs w:val="24"/>
              </w:rPr>
              <w:t>最大充装量大于</w:t>
            </w:r>
            <w:r>
              <w:rPr>
                <w:rFonts w:ascii="宋体" w:hAnsi="宋体" w:eastAsia="宋体" w:cs="宋体"/>
                <w:b w:val="0"/>
                <w:bCs/>
                <w:sz w:val="24"/>
                <w:szCs w:val="24"/>
              </w:rPr>
              <w:t>5</w:t>
            </w:r>
            <w:r>
              <w:rPr>
                <w:rFonts w:hint="eastAsia" w:ascii="宋体" w:hAnsi="宋体" w:eastAsia="宋体" w:cs="宋体"/>
                <w:b w:val="0"/>
                <w:bCs/>
                <w:sz w:val="24"/>
                <w:szCs w:val="24"/>
              </w:rPr>
              <w:t>kg</w:t>
            </w:r>
            <w:r>
              <w:rPr>
                <w:rFonts w:ascii="宋体" w:hAnsi="宋体" w:eastAsia="宋体" w:cs="宋体"/>
                <w:b w:val="0"/>
                <w:bCs/>
                <w:sz w:val="24"/>
                <w:szCs w:val="24"/>
              </w:rPr>
              <w:t>，</w:t>
            </w:r>
            <w:r>
              <w:rPr>
                <w:rFonts w:hint="eastAsia" w:ascii="宋体" w:hAnsi="宋体" w:eastAsia="宋体" w:cs="宋体"/>
                <w:b w:val="0"/>
                <w:bCs/>
                <w:sz w:val="24"/>
                <w:szCs w:val="24"/>
              </w:rPr>
              <w:t>充装压力大于</w:t>
            </w:r>
            <w:r>
              <w:rPr>
                <w:rFonts w:ascii="宋体" w:hAnsi="宋体" w:eastAsia="宋体" w:cs="宋体"/>
                <w:b w:val="0"/>
                <w:bCs/>
                <w:sz w:val="24"/>
                <w:szCs w:val="24"/>
              </w:rPr>
              <w:t>3MPa</w:t>
            </w:r>
            <w:r>
              <w:rPr>
                <w:rFonts w:hint="eastAsia" w:ascii="宋体" w:hAnsi="宋体" w:eastAsia="宋体" w:cs="宋体"/>
                <w:b w:val="0"/>
                <w:bCs/>
                <w:sz w:val="24"/>
                <w:szCs w:val="24"/>
              </w:rPr>
              <w:t>（</w:t>
            </w:r>
            <w:r>
              <w:rPr>
                <w:rFonts w:ascii="宋体" w:hAnsi="宋体" w:eastAsia="宋体" w:cs="宋体"/>
                <w:b w:val="0"/>
                <w:bCs/>
                <w:kern w:val="0"/>
                <w:sz w:val="24"/>
                <w:szCs w:val="24"/>
              </w:rPr>
              <w:t>20</w:t>
            </w:r>
            <w:r>
              <w:rPr>
                <w:rFonts w:hint="eastAsia" w:ascii="宋体" w:hAnsi="宋体" w:eastAsia="宋体" w:cs="宋体"/>
                <w:b w:val="0"/>
                <w:bCs/>
                <w:kern w:val="0"/>
                <w:sz w:val="24"/>
                <w:szCs w:val="24"/>
              </w:rPr>
              <w:t>℃</w:t>
            </w:r>
            <w:r>
              <w:rPr>
                <w:rFonts w:hint="eastAsia" w:ascii="宋体" w:hAnsi="宋体" w:eastAsia="宋体" w:cs="微软雅黑"/>
                <w:b w:val="0"/>
                <w:bCs/>
                <w:kern w:val="0"/>
                <w:sz w:val="24"/>
                <w:szCs w:val="24"/>
              </w:rPr>
              <w:t>时）</w:t>
            </w:r>
          </w:p>
        </w:tc>
        <w:tc>
          <w:tcPr>
            <w:tcW w:w="5146" w:type="dxa"/>
            <w:vAlign w:val="center"/>
          </w:tcPr>
          <w:p w14:paraId="7CBDF901">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充装氟或者二氟化氧的气瓶</w:t>
            </w:r>
            <w:r>
              <w:rPr>
                <w:rFonts w:ascii="宋体" w:hAnsi="宋体" w:eastAsia="宋体" w:cs="宋体"/>
                <w:b w:val="0"/>
                <w:bCs/>
                <w:sz w:val="24"/>
                <w:szCs w:val="24"/>
              </w:rPr>
              <w:t>，</w:t>
            </w:r>
            <w:r>
              <w:rPr>
                <w:rFonts w:hint="eastAsia" w:ascii="宋体" w:hAnsi="宋体" w:eastAsia="宋体" w:cs="宋体"/>
                <w:b w:val="0"/>
                <w:bCs/>
                <w:sz w:val="24"/>
                <w:szCs w:val="24"/>
              </w:rPr>
              <w:t>最大充装量不得大于</w:t>
            </w:r>
            <w:r>
              <w:rPr>
                <w:rFonts w:ascii="宋体" w:hAnsi="宋体" w:eastAsia="宋体" w:cs="宋体"/>
                <w:b w:val="0"/>
                <w:bCs/>
                <w:sz w:val="24"/>
                <w:szCs w:val="24"/>
              </w:rPr>
              <w:t>5</w:t>
            </w:r>
            <w:r>
              <w:rPr>
                <w:rFonts w:hint="eastAsia" w:ascii="宋体" w:hAnsi="宋体" w:eastAsia="宋体" w:cs="宋体"/>
                <w:b w:val="0"/>
                <w:bCs/>
                <w:sz w:val="24"/>
                <w:szCs w:val="24"/>
              </w:rPr>
              <w:t>kg</w:t>
            </w:r>
            <w:r>
              <w:rPr>
                <w:rFonts w:ascii="宋体" w:hAnsi="宋体" w:eastAsia="宋体" w:cs="宋体"/>
                <w:b w:val="0"/>
                <w:bCs/>
                <w:sz w:val="24"/>
                <w:szCs w:val="24"/>
              </w:rPr>
              <w:t>，</w:t>
            </w:r>
            <w:r>
              <w:rPr>
                <w:rFonts w:hint="eastAsia" w:ascii="宋体" w:hAnsi="宋体" w:eastAsia="宋体" w:cs="宋体"/>
                <w:b w:val="0"/>
                <w:bCs/>
                <w:sz w:val="24"/>
                <w:szCs w:val="24"/>
              </w:rPr>
              <w:t>充装压力不得大于</w:t>
            </w:r>
            <w:r>
              <w:rPr>
                <w:rFonts w:ascii="宋体" w:hAnsi="宋体" w:eastAsia="宋体" w:cs="宋体"/>
                <w:b w:val="0"/>
                <w:bCs/>
                <w:sz w:val="24"/>
                <w:szCs w:val="24"/>
              </w:rPr>
              <w:t>3MPa</w:t>
            </w:r>
            <w:r>
              <w:rPr>
                <w:rFonts w:hint="eastAsia" w:ascii="宋体" w:hAnsi="宋体" w:eastAsia="宋体" w:cs="宋体"/>
                <w:b w:val="0"/>
                <w:bCs/>
                <w:sz w:val="24"/>
                <w:szCs w:val="24"/>
              </w:rPr>
              <w:t>（</w:t>
            </w:r>
            <w:r>
              <w:rPr>
                <w:rFonts w:ascii="宋体" w:hAnsi="宋体" w:eastAsia="宋体" w:cs="宋体"/>
                <w:b w:val="0"/>
                <w:bCs/>
                <w:kern w:val="0"/>
                <w:sz w:val="24"/>
                <w:szCs w:val="24"/>
              </w:rPr>
              <w:t>20</w:t>
            </w:r>
            <w:r>
              <w:rPr>
                <w:rFonts w:hint="eastAsia" w:ascii="宋体" w:hAnsi="宋体" w:eastAsia="宋体" w:cs="宋体"/>
                <w:b w:val="0"/>
                <w:bCs/>
                <w:kern w:val="0"/>
                <w:sz w:val="24"/>
                <w:szCs w:val="24"/>
              </w:rPr>
              <w:t>℃</w:t>
            </w:r>
            <w:r>
              <w:rPr>
                <w:rFonts w:hint="eastAsia" w:ascii="宋体" w:hAnsi="宋体" w:eastAsia="宋体" w:cs="微软雅黑"/>
                <w:b w:val="0"/>
                <w:bCs/>
                <w:kern w:val="0"/>
                <w:sz w:val="24"/>
                <w:szCs w:val="24"/>
              </w:rPr>
              <w:t>时 ）</w:t>
            </w:r>
          </w:p>
        </w:tc>
        <w:tc>
          <w:tcPr>
            <w:tcW w:w="1530" w:type="dxa"/>
            <w:tcBorders>
              <w:top w:val="single" w:color="auto" w:sz="4" w:space="0"/>
              <w:bottom w:val="single" w:color="auto" w:sz="4" w:space="0"/>
            </w:tcBorders>
            <w:vAlign w:val="center"/>
          </w:tcPr>
          <w:p w14:paraId="6BC1113B">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tcBorders>
              <w:top w:val="single" w:color="auto" w:sz="4" w:space="0"/>
              <w:bottom w:val="single" w:color="auto" w:sz="4" w:space="0"/>
            </w:tcBorders>
            <w:vAlign w:val="center"/>
          </w:tcPr>
          <w:p w14:paraId="2AAD8AA9">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tcBorders>
              <w:top w:val="single" w:color="auto" w:sz="4" w:space="0"/>
              <w:bottom w:val="single" w:color="auto" w:sz="4" w:space="0"/>
            </w:tcBorders>
            <w:vAlign w:val="center"/>
          </w:tcPr>
          <w:p w14:paraId="246919CE">
            <w:pPr>
              <w:spacing w:line="320" w:lineRule="exact"/>
              <w:ind w:left="0" w:leftChars="0" w:firstLine="0" w:firstLineChars="0"/>
              <w:jc w:val="left"/>
              <w:rPr>
                <w:rFonts w:ascii="宋体" w:hAnsi="宋体" w:eastAsia="宋体" w:cs="宋体"/>
                <w:b w:val="0"/>
                <w:bCs/>
                <w:color w:val="0000FF"/>
                <w:sz w:val="24"/>
                <w:szCs w:val="24"/>
              </w:rPr>
            </w:pPr>
          </w:p>
        </w:tc>
      </w:tr>
      <w:tr w14:paraId="0C766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rPr>
        <w:tc>
          <w:tcPr>
            <w:tcW w:w="824" w:type="dxa"/>
            <w:vAlign w:val="center"/>
          </w:tcPr>
          <w:p w14:paraId="6CF10251">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48</w:t>
            </w:r>
          </w:p>
        </w:tc>
        <w:tc>
          <w:tcPr>
            <w:tcW w:w="1358" w:type="dxa"/>
            <w:vMerge w:val="continue"/>
            <w:vAlign w:val="center"/>
          </w:tcPr>
          <w:p w14:paraId="1A1F62D1">
            <w:pPr>
              <w:autoSpaceDE w:val="0"/>
              <w:autoSpaceDN w:val="0"/>
              <w:spacing w:line="320" w:lineRule="exact"/>
              <w:ind w:left="39" w:leftChars="0" w:firstLine="0" w:firstLineChars="0"/>
              <w:jc w:val="center"/>
              <w:rPr>
                <w:rFonts w:ascii="宋体" w:hAnsi="宋体" w:eastAsia="宋体" w:cs="宋体"/>
                <w:b w:val="0"/>
                <w:bCs/>
                <w:kern w:val="0"/>
                <w:sz w:val="24"/>
                <w:szCs w:val="24"/>
              </w:rPr>
            </w:pPr>
          </w:p>
        </w:tc>
        <w:tc>
          <w:tcPr>
            <w:tcW w:w="3749" w:type="dxa"/>
            <w:vAlign w:val="center"/>
          </w:tcPr>
          <w:p w14:paraId="7301ED89">
            <w:pPr>
              <w:autoSpaceDE w:val="0"/>
              <w:autoSpaceDN w:val="0"/>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采用电解法制取氢气、氧气的充装单位，未装设自动测定氢、氧纯度的化学分析仪器和超标报警装置</w:t>
            </w:r>
          </w:p>
        </w:tc>
        <w:tc>
          <w:tcPr>
            <w:tcW w:w="5146" w:type="dxa"/>
            <w:vAlign w:val="center"/>
          </w:tcPr>
          <w:p w14:paraId="5676E121">
            <w:pPr>
              <w:autoSpaceDE w:val="0"/>
              <w:autoSpaceDN w:val="0"/>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1.必须装设自动测定氢、氧纯度的化学分析仪器和超标报警装置，并定期对氢</w:t>
            </w:r>
            <w:r>
              <w:rPr>
                <w:rFonts w:ascii="宋体" w:hAnsi="宋体" w:eastAsia="宋体" w:cs="宋体"/>
                <w:b w:val="0"/>
                <w:bCs/>
                <w:sz w:val="24"/>
                <w:szCs w:val="24"/>
              </w:rPr>
              <w:t>、</w:t>
            </w:r>
            <w:r>
              <w:rPr>
                <w:rFonts w:hint="eastAsia" w:ascii="宋体" w:hAnsi="宋体" w:eastAsia="宋体" w:cs="宋体"/>
                <w:b w:val="0"/>
                <w:bCs/>
                <w:sz w:val="24"/>
                <w:szCs w:val="24"/>
              </w:rPr>
              <w:t>氧浓度进行人工检测；</w:t>
            </w:r>
          </w:p>
          <w:p w14:paraId="6D651A6C">
            <w:pPr>
              <w:autoSpaceDE w:val="0"/>
              <w:autoSpaceDN w:val="0"/>
              <w:spacing w:line="320" w:lineRule="exact"/>
              <w:ind w:left="0" w:leftChars="0"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2.当氢气中含氧或者氧气中含氢量超过0.5%（体积比）时，须停止充装作业，并查明原因采取有效处理措施</w:t>
            </w:r>
          </w:p>
        </w:tc>
        <w:tc>
          <w:tcPr>
            <w:tcW w:w="1530" w:type="dxa"/>
            <w:tcBorders>
              <w:top w:val="single" w:color="auto" w:sz="4" w:space="0"/>
            </w:tcBorders>
            <w:vAlign w:val="center"/>
          </w:tcPr>
          <w:p w14:paraId="1AA8BB77">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tcBorders>
              <w:top w:val="single" w:color="auto" w:sz="4" w:space="0"/>
            </w:tcBorders>
            <w:vAlign w:val="center"/>
          </w:tcPr>
          <w:p w14:paraId="2718591E">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tcBorders>
              <w:top w:val="single" w:color="auto" w:sz="4" w:space="0"/>
            </w:tcBorders>
            <w:vAlign w:val="center"/>
          </w:tcPr>
          <w:p w14:paraId="37020D2A">
            <w:pPr>
              <w:spacing w:line="320" w:lineRule="exact"/>
              <w:ind w:left="0" w:leftChars="0" w:firstLine="0" w:firstLineChars="0"/>
              <w:jc w:val="left"/>
              <w:rPr>
                <w:rFonts w:ascii="宋体" w:hAnsi="宋体" w:eastAsia="宋体" w:cs="宋体"/>
                <w:b w:val="0"/>
                <w:bCs/>
                <w:color w:val="0000FF"/>
                <w:sz w:val="24"/>
                <w:szCs w:val="24"/>
              </w:rPr>
            </w:pPr>
          </w:p>
        </w:tc>
      </w:tr>
      <w:tr w14:paraId="3B30E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186C1A10">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49</w:t>
            </w:r>
          </w:p>
        </w:tc>
        <w:tc>
          <w:tcPr>
            <w:tcW w:w="1358" w:type="dxa"/>
            <w:vMerge w:val="continue"/>
            <w:vAlign w:val="center"/>
          </w:tcPr>
          <w:p w14:paraId="34578D79">
            <w:pPr>
              <w:autoSpaceDE w:val="0"/>
              <w:autoSpaceDN w:val="0"/>
              <w:spacing w:line="320" w:lineRule="exact"/>
              <w:ind w:left="39" w:leftChars="0" w:firstLine="0" w:firstLineChars="0"/>
              <w:jc w:val="center"/>
              <w:rPr>
                <w:rFonts w:ascii="宋体" w:hAnsi="宋体" w:eastAsia="宋体" w:cs="宋体"/>
                <w:b w:val="0"/>
                <w:bCs/>
                <w:kern w:val="0"/>
                <w:sz w:val="24"/>
                <w:szCs w:val="24"/>
              </w:rPr>
            </w:pPr>
          </w:p>
        </w:tc>
        <w:tc>
          <w:tcPr>
            <w:tcW w:w="3749" w:type="dxa"/>
            <w:vAlign w:val="center"/>
          </w:tcPr>
          <w:p w14:paraId="2FD59179">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有抽真空工艺要求的</w:t>
            </w:r>
            <w:r>
              <w:rPr>
                <w:rFonts w:ascii="宋体" w:hAnsi="宋体" w:eastAsia="宋体" w:cs="宋体"/>
                <w:b w:val="0"/>
                <w:bCs/>
                <w:sz w:val="24"/>
                <w:szCs w:val="24"/>
              </w:rPr>
              <w:t>，</w:t>
            </w:r>
            <w:r>
              <w:rPr>
                <w:rFonts w:hint="eastAsia" w:ascii="宋体" w:hAnsi="宋体" w:eastAsia="宋体" w:cs="宋体"/>
                <w:b w:val="0"/>
                <w:bCs/>
                <w:sz w:val="24"/>
                <w:szCs w:val="24"/>
              </w:rPr>
              <w:t>未设置抽真空装置或未进行抽真空</w:t>
            </w:r>
          </w:p>
        </w:tc>
        <w:tc>
          <w:tcPr>
            <w:tcW w:w="5146" w:type="dxa"/>
            <w:tcBorders>
              <w:bottom w:val="single" w:color="auto" w:sz="4" w:space="0"/>
            </w:tcBorders>
            <w:vAlign w:val="center"/>
          </w:tcPr>
          <w:p w14:paraId="0193D9D3">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有抽真空工艺要求的</w:t>
            </w:r>
            <w:r>
              <w:rPr>
                <w:rFonts w:ascii="宋体" w:hAnsi="宋体" w:eastAsia="宋体" w:cs="宋体"/>
                <w:b w:val="0"/>
                <w:bCs/>
                <w:sz w:val="24"/>
                <w:szCs w:val="24"/>
              </w:rPr>
              <w:t>，</w:t>
            </w:r>
            <w:r>
              <w:rPr>
                <w:rFonts w:hint="eastAsia" w:ascii="宋体" w:hAnsi="宋体" w:eastAsia="宋体" w:cs="宋体"/>
                <w:b w:val="0"/>
                <w:bCs/>
                <w:sz w:val="24"/>
                <w:szCs w:val="24"/>
              </w:rPr>
              <w:t>应设置抽真空装置或进行抽真空</w:t>
            </w:r>
            <w:r>
              <w:rPr>
                <w:rFonts w:ascii="宋体" w:hAnsi="宋体" w:eastAsia="宋体" w:cs="宋体"/>
                <w:b w:val="0"/>
                <w:bCs/>
                <w:sz w:val="24"/>
                <w:szCs w:val="24"/>
              </w:rPr>
              <w:t>（</w:t>
            </w:r>
            <w:r>
              <w:rPr>
                <w:rFonts w:hint="eastAsia" w:ascii="宋体" w:hAnsi="宋体" w:eastAsia="宋体" w:cs="宋体"/>
                <w:b w:val="0"/>
                <w:bCs/>
                <w:sz w:val="24"/>
                <w:szCs w:val="24"/>
              </w:rPr>
              <w:t>氧气充装所配置的抽真空设备应当使用氧专用油脂或无油脂润滑</w:t>
            </w:r>
            <w:r>
              <w:rPr>
                <w:rFonts w:ascii="宋体" w:hAnsi="宋体" w:eastAsia="宋体" w:cs="宋体"/>
                <w:b w:val="0"/>
                <w:bCs/>
                <w:sz w:val="24"/>
                <w:szCs w:val="24"/>
              </w:rPr>
              <w:t>）</w:t>
            </w:r>
          </w:p>
        </w:tc>
        <w:tc>
          <w:tcPr>
            <w:tcW w:w="1530" w:type="dxa"/>
            <w:tcBorders>
              <w:bottom w:val="single" w:color="auto" w:sz="4" w:space="0"/>
            </w:tcBorders>
            <w:vAlign w:val="center"/>
          </w:tcPr>
          <w:p w14:paraId="419B67BB">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周排查</w:t>
            </w:r>
          </w:p>
        </w:tc>
        <w:tc>
          <w:tcPr>
            <w:tcW w:w="1245" w:type="dxa"/>
            <w:tcBorders>
              <w:bottom w:val="single" w:color="auto" w:sz="4" w:space="0"/>
            </w:tcBorders>
            <w:vAlign w:val="center"/>
          </w:tcPr>
          <w:p w14:paraId="3382A191">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安全总监</w:t>
            </w:r>
          </w:p>
        </w:tc>
        <w:tc>
          <w:tcPr>
            <w:tcW w:w="890" w:type="dxa"/>
            <w:vAlign w:val="center"/>
          </w:tcPr>
          <w:p w14:paraId="617D5230">
            <w:pPr>
              <w:spacing w:line="320" w:lineRule="exact"/>
              <w:ind w:left="0" w:leftChars="0" w:firstLine="0" w:firstLineChars="0"/>
              <w:jc w:val="left"/>
              <w:rPr>
                <w:rFonts w:ascii="宋体" w:hAnsi="宋体" w:eastAsia="宋体" w:cs="宋体"/>
                <w:b w:val="0"/>
                <w:bCs/>
                <w:color w:val="0000FF"/>
                <w:sz w:val="24"/>
                <w:szCs w:val="24"/>
              </w:rPr>
            </w:pPr>
          </w:p>
        </w:tc>
      </w:tr>
      <w:tr w14:paraId="568CC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trPr>
        <w:tc>
          <w:tcPr>
            <w:tcW w:w="824" w:type="dxa"/>
            <w:vAlign w:val="center"/>
          </w:tcPr>
          <w:p w14:paraId="47697E02">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50</w:t>
            </w:r>
          </w:p>
        </w:tc>
        <w:tc>
          <w:tcPr>
            <w:tcW w:w="1358" w:type="dxa"/>
            <w:vMerge w:val="continue"/>
            <w:vAlign w:val="center"/>
          </w:tcPr>
          <w:p w14:paraId="381CAACD">
            <w:pPr>
              <w:autoSpaceDE w:val="0"/>
              <w:autoSpaceDN w:val="0"/>
              <w:spacing w:line="320" w:lineRule="exact"/>
              <w:ind w:left="39" w:leftChars="0" w:firstLine="0" w:firstLineChars="0"/>
              <w:jc w:val="center"/>
              <w:rPr>
                <w:rFonts w:ascii="宋体" w:hAnsi="宋体" w:eastAsia="宋体" w:cs="宋体"/>
                <w:b w:val="0"/>
                <w:bCs/>
                <w:kern w:val="0"/>
                <w:sz w:val="24"/>
                <w:szCs w:val="24"/>
              </w:rPr>
            </w:pPr>
          </w:p>
        </w:tc>
        <w:tc>
          <w:tcPr>
            <w:tcW w:w="3749" w:type="dxa"/>
            <w:vAlign w:val="center"/>
          </w:tcPr>
          <w:p w14:paraId="5A862019">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未按照有关要求装设防错装接头</w:t>
            </w:r>
          </w:p>
        </w:tc>
        <w:tc>
          <w:tcPr>
            <w:tcW w:w="5146" w:type="dxa"/>
            <w:tcBorders>
              <w:top w:val="single" w:color="auto" w:sz="4" w:space="0"/>
            </w:tcBorders>
            <w:vAlign w:val="center"/>
          </w:tcPr>
          <w:p w14:paraId="119466DB">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按照有关要求装设防错装接头</w:t>
            </w:r>
          </w:p>
        </w:tc>
        <w:tc>
          <w:tcPr>
            <w:tcW w:w="1530" w:type="dxa"/>
            <w:tcBorders>
              <w:top w:val="single" w:color="auto" w:sz="4" w:space="0"/>
            </w:tcBorders>
            <w:vAlign w:val="center"/>
          </w:tcPr>
          <w:p w14:paraId="6B3D5464">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周排查</w:t>
            </w:r>
          </w:p>
        </w:tc>
        <w:tc>
          <w:tcPr>
            <w:tcW w:w="1245" w:type="dxa"/>
            <w:tcBorders>
              <w:top w:val="single" w:color="auto" w:sz="4" w:space="0"/>
            </w:tcBorders>
            <w:vAlign w:val="center"/>
          </w:tcPr>
          <w:p w14:paraId="06458C6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安全总监</w:t>
            </w:r>
          </w:p>
        </w:tc>
        <w:tc>
          <w:tcPr>
            <w:tcW w:w="890" w:type="dxa"/>
            <w:vAlign w:val="center"/>
          </w:tcPr>
          <w:p w14:paraId="3277715B">
            <w:pPr>
              <w:spacing w:line="320" w:lineRule="exact"/>
              <w:ind w:left="0" w:leftChars="0" w:firstLine="0" w:firstLineChars="0"/>
              <w:jc w:val="left"/>
              <w:rPr>
                <w:rFonts w:ascii="宋体" w:hAnsi="宋体" w:eastAsia="宋体" w:cs="宋体"/>
                <w:b w:val="0"/>
                <w:bCs/>
                <w:color w:val="0000FF"/>
                <w:sz w:val="24"/>
                <w:szCs w:val="24"/>
              </w:rPr>
            </w:pPr>
          </w:p>
        </w:tc>
      </w:tr>
      <w:tr w14:paraId="35B84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exact"/>
        </w:trPr>
        <w:tc>
          <w:tcPr>
            <w:tcW w:w="824" w:type="dxa"/>
            <w:vAlign w:val="center"/>
          </w:tcPr>
          <w:p w14:paraId="006B0158">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51</w:t>
            </w:r>
          </w:p>
        </w:tc>
        <w:tc>
          <w:tcPr>
            <w:tcW w:w="1358" w:type="dxa"/>
            <w:vMerge w:val="restart"/>
            <w:vAlign w:val="center"/>
          </w:tcPr>
          <w:p w14:paraId="37869E07">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高</w:t>
            </w:r>
            <w:r>
              <w:rPr>
                <w:rFonts w:ascii="宋体" w:hAnsi="宋体" w:eastAsia="宋体" w:cs="宋体"/>
                <w:b w:val="0"/>
                <w:bCs/>
                <w:kern w:val="0"/>
                <w:sz w:val="24"/>
                <w:szCs w:val="24"/>
              </w:rPr>
              <w:t>（</w:t>
            </w:r>
            <w:r>
              <w:rPr>
                <w:rFonts w:hint="eastAsia" w:ascii="宋体" w:hAnsi="宋体" w:eastAsia="宋体" w:cs="宋体"/>
                <w:b w:val="0"/>
                <w:bCs/>
                <w:kern w:val="0"/>
                <w:sz w:val="24"/>
                <w:szCs w:val="24"/>
              </w:rPr>
              <w:t>低</w:t>
            </w:r>
            <w:r>
              <w:rPr>
                <w:rFonts w:ascii="宋体" w:hAnsi="宋体" w:eastAsia="宋体" w:cs="宋体"/>
                <w:b w:val="0"/>
                <w:bCs/>
                <w:kern w:val="0"/>
                <w:sz w:val="24"/>
                <w:szCs w:val="24"/>
              </w:rPr>
              <w:t>）</w:t>
            </w:r>
            <w:r>
              <w:rPr>
                <w:rFonts w:hint="eastAsia" w:ascii="宋体" w:hAnsi="宋体" w:eastAsia="宋体" w:cs="宋体"/>
                <w:b w:val="0"/>
                <w:bCs/>
                <w:kern w:val="0"/>
                <w:sz w:val="24"/>
                <w:szCs w:val="24"/>
              </w:rPr>
              <w:t>压液化气体充装专项</w:t>
            </w:r>
          </w:p>
        </w:tc>
        <w:tc>
          <w:tcPr>
            <w:tcW w:w="3749" w:type="dxa"/>
            <w:vAlign w:val="center"/>
          </w:tcPr>
          <w:p w14:paraId="42BC7EE8">
            <w:pPr>
              <w:autoSpaceDE w:val="0"/>
              <w:autoSpaceDN w:val="0"/>
              <w:spacing w:before="4" w:line="320" w:lineRule="exact"/>
              <w:ind w:left="39" w:leftChars="0" w:right="-138" w:rightChars="-43"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充装前未逐瓶称重</w:t>
            </w:r>
            <w:r>
              <w:rPr>
                <w:rFonts w:ascii="宋体" w:hAnsi="宋体" w:eastAsia="宋体" w:cs="宋体"/>
                <w:b w:val="0"/>
                <w:bCs/>
                <w:sz w:val="24"/>
                <w:szCs w:val="24"/>
              </w:rPr>
              <w:t>（</w:t>
            </w:r>
            <w:r>
              <w:rPr>
                <w:rFonts w:hint="eastAsia" w:ascii="宋体" w:hAnsi="宋体" w:eastAsia="宋体" w:cs="宋体"/>
                <w:b w:val="0"/>
                <w:bCs/>
                <w:sz w:val="24"/>
                <w:szCs w:val="24"/>
              </w:rPr>
              <w:t>车用气瓶除外</w:t>
            </w:r>
            <w:r>
              <w:rPr>
                <w:rFonts w:ascii="宋体" w:hAnsi="宋体" w:eastAsia="宋体" w:cs="宋体"/>
                <w:b w:val="0"/>
                <w:bCs/>
                <w:sz w:val="24"/>
                <w:szCs w:val="24"/>
              </w:rPr>
              <w:t>）</w:t>
            </w:r>
          </w:p>
        </w:tc>
        <w:tc>
          <w:tcPr>
            <w:tcW w:w="5146" w:type="dxa"/>
            <w:vAlign w:val="center"/>
          </w:tcPr>
          <w:p w14:paraId="72AC4BF6">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充装前逐瓶称重</w:t>
            </w:r>
            <w:r>
              <w:rPr>
                <w:rFonts w:ascii="宋体" w:hAnsi="宋体" w:eastAsia="宋体" w:cs="宋体"/>
                <w:b w:val="0"/>
                <w:bCs/>
                <w:sz w:val="24"/>
                <w:szCs w:val="24"/>
              </w:rPr>
              <w:t>（</w:t>
            </w:r>
            <w:r>
              <w:rPr>
                <w:rFonts w:hint="eastAsia" w:ascii="宋体" w:hAnsi="宋体" w:eastAsia="宋体" w:cs="宋体"/>
                <w:b w:val="0"/>
                <w:bCs/>
                <w:sz w:val="24"/>
                <w:szCs w:val="24"/>
              </w:rPr>
              <w:t>车用气瓶除外</w:t>
            </w:r>
            <w:r>
              <w:rPr>
                <w:rFonts w:ascii="宋体" w:hAnsi="宋体" w:eastAsia="宋体" w:cs="宋体"/>
                <w:b w:val="0"/>
                <w:bCs/>
                <w:sz w:val="24"/>
                <w:szCs w:val="24"/>
              </w:rPr>
              <w:t>）</w:t>
            </w:r>
          </w:p>
        </w:tc>
        <w:tc>
          <w:tcPr>
            <w:tcW w:w="1530" w:type="dxa"/>
            <w:tcBorders>
              <w:bottom w:val="single" w:color="auto" w:sz="4" w:space="0"/>
            </w:tcBorders>
            <w:vAlign w:val="center"/>
          </w:tcPr>
          <w:p w14:paraId="44E4BAE8">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tcBorders>
              <w:bottom w:val="single" w:color="auto" w:sz="4" w:space="0"/>
            </w:tcBorders>
            <w:vAlign w:val="center"/>
          </w:tcPr>
          <w:p w14:paraId="1B2C55E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vAlign w:val="center"/>
          </w:tcPr>
          <w:p w14:paraId="6AA4AB99">
            <w:pPr>
              <w:widowControl/>
              <w:spacing w:before="100" w:beforeAutospacing="1" w:line="320" w:lineRule="exact"/>
              <w:ind w:left="0" w:leftChars="0" w:firstLine="240" w:firstLineChars="100"/>
              <w:jc w:val="left"/>
              <w:rPr>
                <w:rFonts w:ascii="宋体" w:hAnsi="宋体" w:eastAsia="宋体" w:cs="Times New Roman"/>
                <w:b w:val="0"/>
                <w:kern w:val="0"/>
                <w:sz w:val="24"/>
                <w:szCs w:val="24"/>
              </w:rPr>
            </w:pPr>
          </w:p>
        </w:tc>
      </w:tr>
      <w:tr w14:paraId="78DB1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8" w:hRule="atLeast"/>
        </w:trPr>
        <w:tc>
          <w:tcPr>
            <w:tcW w:w="824" w:type="dxa"/>
            <w:tcBorders>
              <w:bottom w:val="single" w:color="auto" w:sz="4" w:space="0"/>
            </w:tcBorders>
            <w:vAlign w:val="center"/>
          </w:tcPr>
          <w:p w14:paraId="0001BE09">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52</w:t>
            </w:r>
          </w:p>
        </w:tc>
        <w:tc>
          <w:tcPr>
            <w:tcW w:w="1358" w:type="dxa"/>
            <w:vMerge w:val="continue"/>
            <w:vAlign w:val="center"/>
          </w:tcPr>
          <w:p w14:paraId="5CE5E199">
            <w:pPr>
              <w:autoSpaceDE w:val="0"/>
              <w:autoSpaceDN w:val="0"/>
              <w:spacing w:line="320" w:lineRule="exact"/>
              <w:ind w:left="39" w:leftChars="0" w:firstLine="0" w:firstLineChars="0"/>
              <w:jc w:val="left"/>
              <w:rPr>
                <w:rFonts w:ascii="宋体" w:hAnsi="宋体" w:eastAsia="宋体" w:cs="宋体"/>
                <w:b w:val="0"/>
                <w:bCs/>
                <w:kern w:val="0"/>
                <w:sz w:val="24"/>
                <w:szCs w:val="24"/>
              </w:rPr>
            </w:pPr>
          </w:p>
        </w:tc>
        <w:tc>
          <w:tcPr>
            <w:tcW w:w="3749" w:type="dxa"/>
            <w:vAlign w:val="center"/>
          </w:tcPr>
          <w:p w14:paraId="58066711">
            <w:pPr>
              <w:autoSpaceDE w:val="0"/>
              <w:autoSpaceDN w:val="0"/>
              <w:spacing w:before="4" w:line="320" w:lineRule="exact"/>
              <w:ind w:left="39" w:leftChars="0" w:right="-138" w:rightChars="-43"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未设置复检衡器</w:t>
            </w:r>
            <w:r>
              <w:rPr>
                <w:rFonts w:ascii="宋体" w:hAnsi="宋体" w:eastAsia="宋体" w:cs="宋体"/>
                <w:b w:val="0"/>
                <w:bCs/>
                <w:sz w:val="24"/>
                <w:szCs w:val="24"/>
              </w:rPr>
              <w:t>，</w:t>
            </w:r>
            <w:r>
              <w:rPr>
                <w:rFonts w:hint="eastAsia" w:ascii="宋体" w:hAnsi="宋体" w:eastAsia="宋体" w:cs="宋体"/>
                <w:b w:val="0"/>
                <w:bCs/>
                <w:sz w:val="24"/>
                <w:szCs w:val="24"/>
              </w:rPr>
              <w:t>对充装量逐瓶复检</w:t>
            </w:r>
            <w:r>
              <w:rPr>
                <w:rFonts w:ascii="宋体" w:hAnsi="宋体" w:eastAsia="宋体" w:cs="宋体"/>
                <w:b w:val="0"/>
                <w:bCs/>
                <w:sz w:val="24"/>
                <w:szCs w:val="24"/>
              </w:rPr>
              <w:t>；</w:t>
            </w:r>
            <w:r>
              <w:rPr>
                <w:rFonts w:hint="eastAsia" w:ascii="宋体" w:hAnsi="宋体" w:eastAsia="宋体" w:cs="宋体"/>
                <w:b w:val="0"/>
                <w:bCs/>
                <w:sz w:val="24"/>
                <w:szCs w:val="24"/>
              </w:rPr>
              <w:t>自动化充装对</w:t>
            </w:r>
            <w:r>
              <w:rPr>
                <w:rFonts w:ascii="宋体" w:hAnsi="宋体" w:eastAsia="宋体" w:cs="宋体"/>
                <w:b w:val="0"/>
                <w:bCs/>
                <w:sz w:val="24"/>
                <w:szCs w:val="24"/>
              </w:rPr>
              <w:t>，</w:t>
            </w:r>
            <w:r>
              <w:rPr>
                <w:rFonts w:hint="eastAsia" w:ascii="宋体" w:hAnsi="宋体" w:eastAsia="宋体" w:cs="宋体"/>
                <w:b w:val="0"/>
                <w:bCs/>
                <w:sz w:val="24"/>
                <w:szCs w:val="24"/>
              </w:rPr>
              <w:t>未按照批量抽样有关规定进行复检</w:t>
            </w:r>
            <w:r>
              <w:rPr>
                <w:rFonts w:ascii="宋体" w:hAnsi="宋体" w:eastAsia="宋体" w:cs="宋体"/>
                <w:b w:val="0"/>
                <w:bCs/>
                <w:sz w:val="24"/>
                <w:szCs w:val="24"/>
              </w:rPr>
              <w:t>；</w:t>
            </w:r>
            <w:r>
              <w:rPr>
                <w:rFonts w:hint="eastAsia" w:ascii="宋体" w:hAnsi="宋体" w:eastAsia="宋体" w:cs="宋体"/>
                <w:b w:val="0"/>
                <w:bCs/>
                <w:sz w:val="24"/>
                <w:szCs w:val="24"/>
              </w:rPr>
              <w:t>充装超量对气瓶未及时采取有效措施进行处置</w:t>
            </w:r>
          </w:p>
        </w:tc>
        <w:tc>
          <w:tcPr>
            <w:tcW w:w="5146" w:type="dxa"/>
            <w:vAlign w:val="center"/>
          </w:tcPr>
          <w:p w14:paraId="51E78B14">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ascii="宋体" w:hAnsi="宋体" w:eastAsia="宋体" w:cs="宋体"/>
                <w:b w:val="0"/>
                <w:bCs/>
                <w:sz w:val="24"/>
                <w:szCs w:val="24"/>
              </w:rPr>
              <w:t>1</w:t>
            </w:r>
            <w:r>
              <w:rPr>
                <w:rFonts w:hint="eastAsia" w:ascii="宋体" w:hAnsi="宋体" w:eastAsia="宋体" w:cs="宋体"/>
                <w:b w:val="0"/>
                <w:bCs/>
                <w:sz w:val="24"/>
                <w:szCs w:val="24"/>
              </w:rPr>
              <w:t>.设置复检衡器</w:t>
            </w:r>
            <w:r>
              <w:rPr>
                <w:rFonts w:ascii="宋体" w:hAnsi="宋体" w:eastAsia="宋体" w:cs="宋体"/>
                <w:b w:val="0"/>
                <w:bCs/>
                <w:sz w:val="24"/>
                <w:szCs w:val="24"/>
              </w:rPr>
              <w:t>，</w:t>
            </w:r>
            <w:r>
              <w:rPr>
                <w:rFonts w:hint="eastAsia" w:ascii="宋体" w:hAnsi="宋体" w:eastAsia="宋体" w:cs="宋体"/>
                <w:b w:val="0"/>
                <w:bCs/>
                <w:sz w:val="24"/>
                <w:szCs w:val="24"/>
              </w:rPr>
              <w:t>对充装量逐瓶复检；</w:t>
            </w:r>
          </w:p>
          <w:p w14:paraId="37F4C854">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ascii="宋体" w:hAnsi="宋体" w:eastAsia="宋体" w:cs="宋体"/>
                <w:b w:val="0"/>
                <w:bCs/>
                <w:sz w:val="24"/>
                <w:szCs w:val="24"/>
              </w:rPr>
              <w:t>2</w:t>
            </w:r>
            <w:r>
              <w:rPr>
                <w:rFonts w:hint="eastAsia" w:ascii="宋体" w:hAnsi="宋体" w:eastAsia="宋体" w:cs="宋体"/>
                <w:b w:val="0"/>
                <w:bCs/>
                <w:sz w:val="24"/>
                <w:szCs w:val="24"/>
              </w:rPr>
              <w:t>.自动化充装对</w:t>
            </w:r>
            <w:r>
              <w:rPr>
                <w:rFonts w:ascii="宋体" w:hAnsi="宋体" w:eastAsia="宋体" w:cs="宋体"/>
                <w:b w:val="0"/>
                <w:bCs/>
                <w:sz w:val="24"/>
                <w:szCs w:val="24"/>
              </w:rPr>
              <w:t>，</w:t>
            </w:r>
            <w:r>
              <w:rPr>
                <w:rFonts w:hint="eastAsia" w:ascii="宋体" w:hAnsi="宋体" w:eastAsia="宋体" w:cs="宋体"/>
                <w:b w:val="0"/>
                <w:bCs/>
                <w:sz w:val="24"/>
                <w:szCs w:val="24"/>
              </w:rPr>
              <w:t>按照批量抽样有关规定进行复检；</w:t>
            </w:r>
          </w:p>
          <w:p w14:paraId="18E9BF65">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ascii="宋体" w:hAnsi="宋体" w:eastAsia="宋体" w:cs="宋体"/>
                <w:b w:val="0"/>
                <w:bCs/>
                <w:sz w:val="24"/>
                <w:szCs w:val="24"/>
              </w:rPr>
              <w:t>3</w:t>
            </w:r>
            <w:r>
              <w:rPr>
                <w:rFonts w:hint="eastAsia" w:ascii="宋体" w:hAnsi="宋体" w:eastAsia="宋体" w:cs="宋体"/>
                <w:b w:val="0"/>
                <w:bCs/>
                <w:sz w:val="24"/>
                <w:szCs w:val="24"/>
              </w:rPr>
              <w:t>.充装超量对气瓶及时采取有效措施进行处置</w:t>
            </w:r>
          </w:p>
        </w:tc>
        <w:tc>
          <w:tcPr>
            <w:tcW w:w="1530" w:type="dxa"/>
            <w:tcBorders>
              <w:top w:val="single" w:color="auto" w:sz="4" w:space="0"/>
            </w:tcBorders>
            <w:vAlign w:val="center"/>
          </w:tcPr>
          <w:p w14:paraId="72FD1AF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tcBorders>
              <w:top w:val="single" w:color="auto" w:sz="4" w:space="0"/>
            </w:tcBorders>
            <w:vAlign w:val="center"/>
          </w:tcPr>
          <w:p w14:paraId="2877ADA5">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vAlign w:val="center"/>
          </w:tcPr>
          <w:p w14:paraId="31286C40">
            <w:pPr>
              <w:spacing w:line="320" w:lineRule="exact"/>
              <w:ind w:left="0" w:leftChars="0" w:firstLine="0" w:firstLineChars="0"/>
              <w:jc w:val="left"/>
              <w:rPr>
                <w:rFonts w:ascii="宋体" w:hAnsi="宋体" w:eastAsia="宋体" w:cs="宋体"/>
                <w:b w:val="0"/>
                <w:bCs/>
                <w:color w:val="0000FF"/>
                <w:sz w:val="24"/>
                <w:szCs w:val="24"/>
              </w:rPr>
            </w:pPr>
          </w:p>
        </w:tc>
      </w:tr>
      <w:tr w14:paraId="64F8D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8" w:hRule="atLeast"/>
        </w:trPr>
        <w:tc>
          <w:tcPr>
            <w:tcW w:w="824" w:type="dxa"/>
            <w:tcBorders>
              <w:top w:val="single" w:color="auto" w:sz="4" w:space="0"/>
              <w:bottom w:val="single" w:color="auto" w:sz="4" w:space="0"/>
            </w:tcBorders>
            <w:vAlign w:val="center"/>
          </w:tcPr>
          <w:p w14:paraId="0C38DBCB">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53</w:t>
            </w:r>
          </w:p>
        </w:tc>
        <w:tc>
          <w:tcPr>
            <w:tcW w:w="1358" w:type="dxa"/>
            <w:vMerge w:val="continue"/>
            <w:vAlign w:val="center"/>
          </w:tcPr>
          <w:p w14:paraId="66885294">
            <w:pPr>
              <w:autoSpaceDE w:val="0"/>
              <w:autoSpaceDN w:val="0"/>
              <w:spacing w:line="320" w:lineRule="exact"/>
              <w:ind w:left="39" w:leftChars="0" w:firstLine="0" w:firstLineChars="0"/>
              <w:jc w:val="left"/>
              <w:rPr>
                <w:rFonts w:ascii="宋体" w:hAnsi="宋体" w:eastAsia="宋体" w:cs="宋体"/>
                <w:b w:val="0"/>
                <w:bCs/>
                <w:kern w:val="0"/>
                <w:sz w:val="24"/>
                <w:szCs w:val="24"/>
              </w:rPr>
            </w:pPr>
          </w:p>
        </w:tc>
        <w:tc>
          <w:tcPr>
            <w:tcW w:w="3749" w:type="dxa"/>
            <w:vAlign w:val="center"/>
          </w:tcPr>
          <w:p w14:paraId="3525223A">
            <w:pPr>
              <w:autoSpaceDE w:val="0"/>
              <w:autoSpaceDN w:val="0"/>
              <w:spacing w:before="4" w:line="320" w:lineRule="exact"/>
              <w:ind w:left="39" w:leftChars="0" w:right="-138" w:rightChars="-43"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液氨</w:t>
            </w:r>
            <w:r>
              <w:rPr>
                <w:rFonts w:ascii="宋体" w:hAnsi="宋体" w:eastAsia="宋体" w:cs="宋体"/>
                <w:b w:val="0"/>
                <w:bCs/>
                <w:sz w:val="24"/>
                <w:szCs w:val="24"/>
              </w:rPr>
              <w:t>、</w:t>
            </w:r>
            <w:r>
              <w:rPr>
                <w:rFonts w:hint="eastAsia" w:ascii="宋体" w:hAnsi="宋体" w:eastAsia="宋体" w:cs="宋体"/>
                <w:b w:val="0"/>
                <w:bCs/>
                <w:sz w:val="24"/>
                <w:szCs w:val="24"/>
              </w:rPr>
              <w:t>液氯等毒性气体充装</w:t>
            </w:r>
            <w:r>
              <w:rPr>
                <w:rFonts w:ascii="宋体" w:hAnsi="宋体" w:eastAsia="宋体" w:cs="宋体"/>
                <w:b w:val="0"/>
                <w:bCs/>
                <w:sz w:val="24"/>
                <w:szCs w:val="24"/>
              </w:rPr>
              <w:t>，</w:t>
            </w:r>
            <w:r>
              <w:rPr>
                <w:rFonts w:hint="eastAsia" w:ascii="宋体" w:hAnsi="宋体" w:eastAsia="宋体" w:cs="宋体"/>
                <w:b w:val="0"/>
                <w:bCs/>
                <w:sz w:val="24"/>
                <w:szCs w:val="24"/>
              </w:rPr>
              <w:t>不具有回收或处理瓶内余气的装置</w:t>
            </w:r>
            <w:r>
              <w:rPr>
                <w:rFonts w:ascii="宋体" w:hAnsi="宋体" w:eastAsia="宋体" w:cs="宋体"/>
                <w:b w:val="0"/>
                <w:bCs/>
                <w:sz w:val="24"/>
                <w:szCs w:val="24"/>
              </w:rPr>
              <w:t>，</w:t>
            </w:r>
            <w:r>
              <w:rPr>
                <w:rFonts w:hint="eastAsia" w:ascii="宋体" w:hAnsi="宋体" w:eastAsia="宋体" w:cs="宋体"/>
                <w:b w:val="0"/>
                <w:bCs/>
                <w:sz w:val="24"/>
                <w:szCs w:val="24"/>
              </w:rPr>
              <w:t>未安装在可防止充装时气体溢出的负压操作</w:t>
            </w:r>
            <w:r>
              <w:rPr>
                <w:rFonts w:ascii="宋体" w:hAnsi="宋体" w:eastAsia="宋体" w:cs="宋体"/>
                <w:b w:val="0"/>
                <w:bCs/>
                <w:sz w:val="24"/>
                <w:szCs w:val="24"/>
              </w:rPr>
              <w:t xml:space="preserve"> </w:t>
            </w:r>
            <w:r>
              <w:rPr>
                <w:rFonts w:hint="eastAsia" w:ascii="宋体" w:hAnsi="宋体" w:eastAsia="宋体" w:cs="宋体"/>
                <w:b w:val="0"/>
                <w:bCs/>
                <w:sz w:val="24"/>
                <w:szCs w:val="24"/>
              </w:rPr>
              <w:t>系统上</w:t>
            </w:r>
          </w:p>
        </w:tc>
        <w:tc>
          <w:tcPr>
            <w:tcW w:w="5146" w:type="dxa"/>
            <w:vAlign w:val="center"/>
          </w:tcPr>
          <w:p w14:paraId="28158EA9">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ascii="宋体" w:hAnsi="宋体" w:eastAsia="宋体" w:cs="宋体"/>
                <w:b w:val="0"/>
                <w:bCs/>
                <w:sz w:val="24"/>
                <w:szCs w:val="24"/>
              </w:rPr>
              <w:t>1</w:t>
            </w:r>
            <w:r>
              <w:rPr>
                <w:rFonts w:hint="eastAsia" w:ascii="宋体" w:hAnsi="宋体" w:eastAsia="宋体" w:cs="宋体"/>
                <w:b w:val="0"/>
                <w:bCs/>
                <w:sz w:val="24"/>
                <w:szCs w:val="24"/>
              </w:rPr>
              <w:t>.液氨</w:t>
            </w:r>
            <w:r>
              <w:rPr>
                <w:rFonts w:ascii="宋体" w:hAnsi="宋体" w:eastAsia="宋体" w:cs="宋体"/>
                <w:b w:val="0"/>
                <w:bCs/>
                <w:sz w:val="24"/>
                <w:szCs w:val="24"/>
              </w:rPr>
              <w:t>、</w:t>
            </w:r>
            <w:r>
              <w:rPr>
                <w:rFonts w:hint="eastAsia" w:ascii="宋体" w:hAnsi="宋体" w:eastAsia="宋体" w:cs="宋体"/>
                <w:b w:val="0"/>
                <w:bCs/>
                <w:sz w:val="24"/>
                <w:szCs w:val="24"/>
              </w:rPr>
              <w:t>液氯等毒性气体充装</w:t>
            </w:r>
            <w:r>
              <w:rPr>
                <w:rFonts w:ascii="宋体" w:hAnsi="宋体" w:eastAsia="宋体" w:cs="宋体"/>
                <w:b w:val="0"/>
                <w:bCs/>
                <w:sz w:val="24"/>
                <w:szCs w:val="24"/>
              </w:rPr>
              <w:t>，</w:t>
            </w:r>
            <w:r>
              <w:rPr>
                <w:rFonts w:hint="eastAsia" w:ascii="宋体" w:hAnsi="宋体" w:eastAsia="宋体" w:cs="宋体"/>
                <w:b w:val="0"/>
                <w:bCs/>
                <w:sz w:val="24"/>
                <w:szCs w:val="24"/>
              </w:rPr>
              <w:t>应具有回收或处理瓶内余气的装置；</w:t>
            </w:r>
          </w:p>
          <w:p w14:paraId="5992C7C4">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ascii="宋体" w:hAnsi="宋体" w:eastAsia="宋体" w:cs="宋体"/>
                <w:b w:val="0"/>
                <w:bCs/>
                <w:sz w:val="24"/>
                <w:szCs w:val="24"/>
              </w:rPr>
              <w:t>2</w:t>
            </w:r>
            <w:r>
              <w:rPr>
                <w:rFonts w:hint="eastAsia" w:ascii="宋体" w:hAnsi="宋体" w:eastAsia="宋体" w:cs="宋体"/>
                <w:b w:val="0"/>
                <w:bCs/>
                <w:sz w:val="24"/>
                <w:szCs w:val="24"/>
              </w:rPr>
              <w:t>.安装在可防止充装时气体溢出的负压操作系统上</w:t>
            </w:r>
          </w:p>
        </w:tc>
        <w:tc>
          <w:tcPr>
            <w:tcW w:w="1530" w:type="dxa"/>
            <w:tcBorders>
              <w:bottom w:val="single" w:color="auto" w:sz="4" w:space="0"/>
            </w:tcBorders>
            <w:vAlign w:val="center"/>
          </w:tcPr>
          <w:p w14:paraId="67C983B1">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周排查</w:t>
            </w:r>
          </w:p>
        </w:tc>
        <w:tc>
          <w:tcPr>
            <w:tcW w:w="1245" w:type="dxa"/>
            <w:tcBorders>
              <w:bottom w:val="single" w:color="auto" w:sz="4" w:space="0"/>
            </w:tcBorders>
            <w:vAlign w:val="center"/>
          </w:tcPr>
          <w:p w14:paraId="6F3A992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安全总监</w:t>
            </w:r>
          </w:p>
        </w:tc>
        <w:tc>
          <w:tcPr>
            <w:tcW w:w="890" w:type="dxa"/>
            <w:vAlign w:val="center"/>
          </w:tcPr>
          <w:p w14:paraId="79A442DA">
            <w:pPr>
              <w:spacing w:line="320" w:lineRule="exact"/>
              <w:ind w:left="0" w:leftChars="0" w:firstLine="0" w:firstLineChars="0"/>
              <w:jc w:val="left"/>
              <w:rPr>
                <w:rFonts w:ascii="宋体" w:hAnsi="宋体" w:eastAsia="宋体" w:cs="宋体"/>
                <w:b w:val="0"/>
                <w:bCs/>
                <w:color w:val="0000FF"/>
                <w:sz w:val="24"/>
                <w:szCs w:val="24"/>
              </w:rPr>
            </w:pPr>
          </w:p>
        </w:tc>
      </w:tr>
      <w:tr w14:paraId="3F08A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824" w:type="dxa"/>
            <w:tcBorders>
              <w:top w:val="single" w:color="auto" w:sz="4" w:space="0"/>
            </w:tcBorders>
            <w:vAlign w:val="center"/>
          </w:tcPr>
          <w:p w14:paraId="682CF159">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54</w:t>
            </w:r>
          </w:p>
        </w:tc>
        <w:tc>
          <w:tcPr>
            <w:tcW w:w="1358" w:type="dxa"/>
            <w:vMerge w:val="continue"/>
            <w:vAlign w:val="center"/>
          </w:tcPr>
          <w:p w14:paraId="36938F98">
            <w:pPr>
              <w:autoSpaceDE w:val="0"/>
              <w:autoSpaceDN w:val="0"/>
              <w:spacing w:line="320" w:lineRule="exact"/>
              <w:ind w:left="39" w:leftChars="0" w:firstLine="0" w:firstLineChars="0"/>
              <w:jc w:val="left"/>
              <w:rPr>
                <w:rFonts w:ascii="宋体" w:hAnsi="宋体" w:eastAsia="宋体" w:cs="宋体"/>
                <w:b w:val="0"/>
                <w:bCs/>
                <w:kern w:val="0"/>
                <w:sz w:val="24"/>
                <w:szCs w:val="24"/>
              </w:rPr>
            </w:pPr>
          </w:p>
        </w:tc>
        <w:tc>
          <w:tcPr>
            <w:tcW w:w="3749" w:type="dxa"/>
            <w:vAlign w:val="center"/>
          </w:tcPr>
          <w:p w14:paraId="43D14838">
            <w:pPr>
              <w:autoSpaceDE w:val="0"/>
              <w:autoSpaceDN w:val="0"/>
              <w:spacing w:before="4" w:line="320" w:lineRule="exact"/>
              <w:ind w:left="39" w:leftChars="0" w:right="-138" w:rightChars="-43"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衡器未装设超装报警或者自动切断气源的装置</w:t>
            </w:r>
          </w:p>
        </w:tc>
        <w:tc>
          <w:tcPr>
            <w:tcW w:w="5146" w:type="dxa"/>
            <w:vAlign w:val="center"/>
          </w:tcPr>
          <w:p w14:paraId="1F2DB1A2">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衡器应装设超装报警或者自动切断气源的装置</w:t>
            </w:r>
          </w:p>
        </w:tc>
        <w:tc>
          <w:tcPr>
            <w:tcW w:w="1530" w:type="dxa"/>
            <w:tcBorders>
              <w:top w:val="single" w:color="auto" w:sz="4" w:space="0"/>
            </w:tcBorders>
            <w:vAlign w:val="center"/>
          </w:tcPr>
          <w:p w14:paraId="57BAB5B5">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周排查</w:t>
            </w:r>
          </w:p>
        </w:tc>
        <w:tc>
          <w:tcPr>
            <w:tcW w:w="1245" w:type="dxa"/>
            <w:tcBorders>
              <w:top w:val="single" w:color="auto" w:sz="4" w:space="0"/>
            </w:tcBorders>
            <w:vAlign w:val="center"/>
          </w:tcPr>
          <w:p w14:paraId="7120C045">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安全总监</w:t>
            </w:r>
          </w:p>
        </w:tc>
        <w:tc>
          <w:tcPr>
            <w:tcW w:w="890" w:type="dxa"/>
            <w:vAlign w:val="center"/>
          </w:tcPr>
          <w:p w14:paraId="5732952E">
            <w:pPr>
              <w:spacing w:line="320" w:lineRule="exact"/>
              <w:ind w:left="0" w:leftChars="0" w:firstLine="0" w:firstLineChars="0"/>
              <w:jc w:val="left"/>
              <w:rPr>
                <w:rFonts w:ascii="宋体" w:hAnsi="宋体" w:eastAsia="宋体" w:cs="宋体"/>
                <w:b w:val="0"/>
                <w:bCs/>
                <w:color w:val="0000FF"/>
                <w:sz w:val="24"/>
                <w:szCs w:val="24"/>
              </w:rPr>
            </w:pPr>
          </w:p>
        </w:tc>
      </w:tr>
      <w:tr w14:paraId="32D5C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0EA97472">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55</w:t>
            </w:r>
          </w:p>
        </w:tc>
        <w:tc>
          <w:tcPr>
            <w:tcW w:w="1358" w:type="dxa"/>
            <w:vMerge w:val="continue"/>
            <w:vAlign w:val="center"/>
          </w:tcPr>
          <w:p w14:paraId="68131A67">
            <w:pPr>
              <w:autoSpaceDE w:val="0"/>
              <w:autoSpaceDN w:val="0"/>
              <w:spacing w:line="320" w:lineRule="exact"/>
              <w:ind w:left="39" w:leftChars="0" w:firstLine="0" w:firstLineChars="0"/>
              <w:jc w:val="left"/>
              <w:rPr>
                <w:rFonts w:ascii="宋体" w:hAnsi="宋体" w:eastAsia="宋体" w:cs="宋体"/>
                <w:b w:val="0"/>
                <w:bCs/>
                <w:kern w:val="0"/>
                <w:sz w:val="24"/>
                <w:szCs w:val="24"/>
              </w:rPr>
            </w:pPr>
          </w:p>
        </w:tc>
        <w:tc>
          <w:tcPr>
            <w:tcW w:w="3749" w:type="dxa"/>
            <w:vAlign w:val="center"/>
          </w:tcPr>
          <w:p w14:paraId="2D5D02FE">
            <w:pPr>
              <w:autoSpaceDE w:val="0"/>
              <w:autoSpaceDN w:val="0"/>
              <w:spacing w:before="4" w:line="320" w:lineRule="exact"/>
              <w:ind w:left="39" w:leftChars="0" w:right="-138" w:rightChars="-43"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液化天然气充装</w:t>
            </w:r>
            <w:r>
              <w:rPr>
                <w:rFonts w:ascii="宋体" w:hAnsi="宋体" w:eastAsia="宋体" w:cs="宋体"/>
                <w:b w:val="0"/>
                <w:bCs/>
                <w:sz w:val="24"/>
                <w:szCs w:val="24"/>
              </w:rPr>
              <w:t>，</w:t>
            </w:r>
            <w:r>
              <w:rPr>
                <w:rFonts w:hint="eastAsia" w:ascii="宋体" w:hAnsi="宋体" w:eastAsia="宋体" w:cs="宋体"/>
                <w:b w:val="0"/>
                <w:bCs/>
                <w:sz w:val="24"/>
                <w:szCs w:val="24"/>
              </w:rPr>
              <w:t>在用于移动式压力容器的卸液装置液相管道上未装设切断阀和止回阀</w:t>
            </w:r>
            <w:r>
              <w:rPr>
                <w:rFonts w:ascii="宋体" w:hAnsi="宋体" w:eastAsia="宋体" w:cs="宋体"/>
                <w:b w:val="0"/>
                <w:bCs/>
                <w:sz w:val="24"/>
                <w:szCs w:val="24"/>
              </w:rPr>
              <w:t>，</w:t>
            </w:r>
            <w:r>
              <w:rPr>
                <w:rFonts w:hint="eastAsia" w:ascii="宋体" w:hAnsi="宋体" w:eastAsia="宋体" w:cs="宋体"/>
                <w:b w:val="0"/>
                <w:bCs/>
                <w:sz w:val="24"/>
                <w:szCs w:val="24"/>
              </w:rPr>
              <w:t>气相管道上装设切断阀</w:t>
            </w:r>
          </w:p>
        </w:tc>
        <w:tc>
          <w:tcPr>
            <w:tcW w:w="5146" w:type="dxa"/>
            <w:vAlign w:val="center"/>
          </w:tcPr>
          <w:p w14:paraId="099AA8B8">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在用于移动式压力容器的卸液装置液相管道上应装设切断阀和止回阀</w:t>
            </w:r>
            <w:r>
              <w:rPr>
                <w:rFonts w:ascii="宋体" w:hAnsi="宋体" w:eastAsia="宋体" w:cs="宋体"/>
                <w:b w:val="0"/>
                <w:bCs/>
                <w:sz w:val="24"/>
                <w:szCs w:val="24"/>
              </w:rPr>
              <w:t>，</w:t>
            </w:r>
            <w:r>
              <w:rPr>
                <w:rFonts w:hint="eastAsia" w:ascii="宋体" w:hAnsi="宋体" w:eastAsia="宋体" w:cs="宋体"/>
                <w:b w:val="0"/>
                <w:bCs/>
                <w:sz w:val="24"/>
                <w:szCs w:val="24"/>
              </w:rPr>
              <w:t>气相管道上装设切断阀</w:t>
            </w:r>
          </w:p>
        </w:tc>
        <w:tc>
          <w:tcPr>
            <w:tcW w:w="1530" w:type="dxa"/>
            <w:tcBorders>
              <w:top w:val="single" w:color="auto" w:sz="4" w:space="0"/>
            </w:tcBorders>
            <w:vAlign w:val="center"/>
          </w:tcPr>
          <w:p w14:paraId="3BEEF4B9">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周排查</w:t>
            </w:r>
          </w:p>
        </w:tc>
        <w:tc>
          <w:tcPr>
            <w:tcW w:w="1245" w:type="dxa"/>
            <w:tcBorders>
              <w:top w:val="single" w:color="auto" w:sz="4" w:space="0"/>
            </w:tcBorders>
            <w:vAlign w:val="center"/>
          </w:tcPr>
          <w:p w14:paraId="1B765E9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安全总监</w:t>
            </w:r>
          </w:p>
        </w:tc>
        <w:tc>
          <w:tcPr>
            <w:tcW w:w="890" w:type="dxa"/>
            <w:vAlign w:val="center"/>
          </w:tcPr>
          <w:p w14:paraId="7B6265C2">
            <w:pPr>
              <w:spacing w:line="320" w:lineRule="exact"/>
              <w:ind w:left="0" w:leftChars="0" w:firstLine="0" w:firstLineChars="0"/>
              <w:jc w:val="left"/>
              <w:rPr>
                <w:rFonts w:ascii="宋体" w:hAnsi="宋体" w:eastAsia="宋体" w:cs="宋体"/>
                <w:b w:val="0"/>
                <w:bCs/>
                <w:color w:val="0000FF"/>
                <w:sz w:val="24"/>
                <w:szCs w:val="24"/>
              </w:rPr>
            </w:pPr>
          </w:p>
        </w:tc>
      </w:tr>
      <w:tr w14:paraId="7CBAA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40C9B604">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56</w:t>
            </w:r>
          </w:p>
        </w:tc>
        <w:tc>
          <w:tcPr>
            <w:tcW w:w="1358" w:type="dxa"/>
            <w:vAlign w:val="center"/>
          </w:tcPr>
          <w:p w14:paraId="198582FE">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sz w:val="24"/>
                <w:szCs w:val="24"/>
              </w:rPr>
              <w:t>低温液化气体充装</w:t>
            </w:r>
          </w:p>
        </w:tc>
        <w:tc>
          <w:tcPr>
            <w:tcW w:w="3749" w:type="dxa"/>
            <w:vAlign w:val="center"/>
          </w:tcPr>
          <w:p w14:paraId="64D2AACE">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汽化器出口未装设温度、压力控制报警系统和联锁停泵装置</w:t>
            </w:r>
          </w:p>
        </w:tc>
        <w:tc>
          <w:tcPr>
            <w:tcW w:w="5146" w:type="dxa"/>
            <w:vAlign w:val="center"/>
          </w:tcPr>
          <w:p w14:paraId="7D36E060">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1</w:t>
            </w:r>
            <w:r>
              <w:rPr>
                <w:rFonts w:ascii="宋体" w:hAnsi="宋体" w:eastAsia="宋体" w:cs="宋体"/>
                <w:b w:val="0"/>
                <w:bCs/>
                <w:sz w:val="24"/>
                <w:szCs w:val="24"/>
              </w:rPr>
              <w:t>.</w:t>
            </w:r>
            <w:r>
              <w:rPr>
                <w:rFonts w:hint="eastAsia" w:ascii="宋体" w:hAnsi="宋体" w:eastAsia="宋体" w:cs="宋体"/>
                <w:b w:val="0"/>
                <w:bCs/>
                <w:sz w:val="24"/>
                <w:szCs w:val="24"/>
              </w:rPr>
              <w:t>安装规定要求对汽化器出口装设温度、压力控制报警系统和联锁停泵装置；</w:t>
            </w:r>
          </w:p>
          <w:p w14:paraId="35992305">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ascii="宋体" w:hAnsi="宋体" w:eastAsia="宋体" w:cs="宋体"/>
                <w:b w:val="0"/>
                <w:bCs/>
                <w:sz w:val="24"/>
                <w:szCs w:val="24"/>
              </w:rPr>
              <w:t>2.</w:t>
            </w:r>
            <w:r>
              <w:rPr>
                <w:rFonts w:hint="eastAsia" w:ascii="宋体" w:hAnsi="宋体" w:eastAsia="宋体" w:cs="宋体"/>
                <w:b w:val="0"/>
                <w:bCs/>
                <w:sz w:val="24"/>
                <w:szCs w:val="24"/>
              </w:rPr>
              <w:t>定期对汽化器出口的温度、压力控制报警系统和联锁停泵装置进行检查和调试</w:t>
            </w:r>
          </w:p>
        </w:tc>
        <w:tc>
          <w:tcPr>
            <w:tcW w:w="1530" w:type="dxa"/>
            <w:vAlign w:val="center"/>
          </w:tcPr>
          <w:p w14:paraId="03B793E8">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周排查</w:t>
            </w:r>
          </w:p>
        </w:tc>
        <w:tc>
          <w:tcPr>
            <w:tcW w:w="1245" w:type="dxa"/>
            <w:vAlign w:val="center"/>
          </w:tcPr>
          <w:p w14:paraId="710AFF56">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安全总监</w:t>
            </w:r>
          </w:p>
        </w:tc>
        <w:tc>
          <w:tcPr>
            <w:tcW w:w="890" w:type="dxa"/>
            <w:vAlign w:val="center"/>
          </w:tcPr>
          <w:p w14:paraId="7B646021">
            <w:pPr>
              <w:spacing w:line="320" w:lineRule="exact"/>
              <w:ind w:left="0" w:leftChars="0" w:firstLine="0" w:firstLineChars="0"/>
              <w:jc w:val="left"/>
              <w:rPr>
                <w:rFonts w:ascii="宋体" w:hAnsi="宋体" w:eastAsia="宋体" w:cs="宋体"/>
                <w:b w:val="0"/>
                <w:bCs/>
                <w:color w:val="0000FF"/>
                <w:sz w:val="24"/>
                <w:szCs w:val="24"/>
              </w:rPr>
            </w:pPr>
          </w:p>
        </w:tc>
      </w:tr>
      <w:tr w14:paraId="02516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43B448F6">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57</w:t>
            </w:r>
          </w:p>
        </w:tc>
        <w:tc>
          <w:tcPr>
            <w:tcW w:w="1358" w:type="dxa"/>
            <w:vMerge w:val="restart"/>
            <w:vAlign w:val="center"/>
          </w:tcPr>
          <w:p w14:paraId="399550E7">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溶解气体充装专项</w:t>
            </w:r>
          </w:p>
        </w:tc>
        <w:tc>
          <w:tcPr>
            <w:tcW w:w="3749" w:type="dxa"/>
            <w:vAlign w:val="center"/>
          </w:tcPr>
          <w:p w14:paraId="54657D76">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超量、超温、超速充装</w:t>
            </w:r>
          </w:p>
        </w:tc>
        <w:tc>
          <w:tcPr>
            <w:tcW w:w="5146" w:type="dxa"/>
            <w:vAlign w:val="center"/>
          </w:tcPr>
          <w:p w14:paraId="504857B9">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1</w:t>
            </w:r>
            <w:r>
              <w:rPr>
                <w:rFonts w:ascii="宋体" w:hAnsi="宋体" w:eastAsia="宋体" w:cs="宋体"/>
                <w:b w:val="0"/>
                <w:bCs/>
                <w:sz w:val="24"/>
                <w:szCs w:val="24"/>
              </w:rPr>
              <w:t>.</w:t>
            </w:r>
            <w:r>
              <w:rPr>
                <w:rFonts w:hint="eastAsia" w:ascii="宋体" w:hAnsi="宋体" w:eastAsia="宋体" w:cs="宋体"/>
                <w:b w:val="0"/>
                <w:bCs/>
                <w:sz w:val="24"/>
                <w:szCs w:val="24"/>
              </w:rPr>
              <w:t>充装前，应当测定溶剂和气体的补加量并按照测定量补加；</w:t>
            </w:r>
          </w:p>
          <w:p w14:paraId="653209B7">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2</w:t>
            </w:r>
            <w:r>
              <w:rPr>
                <w:rFonts w:ascii="宋体" w:hAnsi="宋体" w:eastAsia="宋体" w:cs="宋体"/>
                <w:b w:val="0"/>
                <w:bCs/>
                <w:sz w:val="24"/>
                <w:szCs w:val="24"/>
              </w:rPr>
              <w:t>.</w:t>
            </w:r>
            <w:r>
              <w:rPr>
                <w:rFonts w:hint="eastAsia" w:ascii="宋体" w:hAnsi="宋体" w:eastAsia="宋体" w:cs="宋体"/>
                <w:b w:val="0"/>
                <w:bCs/>
                <w:sz w:val="24"/>
                <w:szCs w:val="24"/>
              </w:rPr>
              <w:t>充装时，气瓶瓶壁温度不得超过4</w:t>
            </w:r>
            <w:r>
              <w:rPr>
                <w:rFonts w:ascii="宋体" w:hAnsi="宋体" w:eastAsia="宋体" w:cs="宋体"/>
                <w:b w:val="0"/>
                <w:bCs/>
                <w:sz w:val="24"/>
                <w:szCs w:val="24"/>
              </w:rPr>
              <w:t>0</w:t>
            </w:r>
            <w:r>
              <w:rPr>
                <w:rFonts w:hint="eastAsia" w:ascii="宋体" w:hAnsi="宋体" w:eastAsia="宋体" w:cs="宋体"/>
                <w:b w:val="0"/>
                <w:bCs/>
                <w:sz w:val="24"/>
                <w:szCs w:val="24"/>
              </w:rPr>
              <w:t>℃，充装溶解气体的容积流速应当小于0</w:t>
            </w:r>
            <w:r>
              <w:rPr>
                <w:rFonts w:ascii="宋体" w:hAnsi="宋体" w:eastAsia="宋体" w:cs="宋体"/>
                <w:b w:val="0"/>
                <w:bCs/>
                <w:sz w:val="24"/>
                <w:szCs w:val="24"/>
              </w:rPr>
              <w:t>.015m3/h.L</w:t>
            </w:r>
          </w:p>
        </w:tc>
        <w:tc>
          <w:tcPr>
            <w:tcW w:w="1530" w:type="dxa"/>
            <w:vAlign w:val="center"/>
          </w:tcPr>
          <w:p w14:paraId="7F38567A">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vAlign w:val="center"/>
          </w:tcPr>
          <w:p w14:paraId="6B257D02">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vAlign w:val="center"/>
          </w:tcPr>
          <w:p w14:paraId="0D1BD09D">
            <w:pPr>
              <w:spacing w:line="320" w:lineRule="exact"/>
              <w:ind w:left="0" w:leftChars="0" w:firstLine="0" w:firstLineChars="0"/>
              <w:jc w:val="left"/>
              <w:rPr>
                <w:rFonts w:ascii="宋体" w:hAnsi="宋体" w:eastAsia="宋体" w:cs="宋体"/>
                <w:b w:val="0"/>
                <w:bCs/>
                <w:color w:val="0000FF"/>
                <w:sz w:val="24"/>
                <w:szCs w:val="24"/>
              </w:rPr>
            </w:pPr>
          </w:p>
        </w:tc>
      </w:tr>
      <w:tr w14:paraId="5D39B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1FDD48A9">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58</w:t>
            </w:r>
          </w:p>
        </w:tc>
        <w:tc>
          <w:tcPr>
            <w:tcW w:w="1358" w:type="dxa"/>
            <w:vMerge w:val="continue"/>
            <w:vAlign w:val="center"/>
          </w:tcPr>
          <w:p w14:paraId="32D409D6">
            <w:pPr>
              <w:autoSpaceDE w:val="0"/>
              <w:autoSpaceDN w:val="0"/>
              <w:spacing w:line="320" w:lineRule="exact"/>
              <w:ind w:left="39" w:leftChars="0" w:firstLine="0" w:firstLineChars="0"/>
              <w:jc w:val="center"/>
              <w:rPr>
                <w:rFonts w:ascii="宋体" w:hAnsi="宋体" w:eastAsia="宋体" w:cs="宋体"/>
                <w:b w:val="0"/>
                <w:bCs/>
                <w:color w:val="0000FF"/>
                <w:kern w:val="0"/>
                <w:sz w:val="24"/>
                <w:szCs w:val="24"/>
              </w:rPr>
            </w:pPr>
          </w:p>
        </w:tc>
        <w:tc>
          <w:tcPr>
            <w:tcW w:w="3749" w:type="dxa"/>
            <w:vAlign w:val="center"/>
          </w:tcPr>
          <w:p w14:paraId="6265EE69">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未设置抽真空、测量瓶内余压、确定剩余溶剂和吸附气体介质量的装置</w:t>
            </w:r>
          </w:p>
        </w:tc>
        <w:tc>
          <w:tcPr>
            <w:tcW w:w="5146" w:type="dxa"/>
            <w:vAlign w:val="center"/>
          </w:tcPr>
          <w:p w14:paraId="4A522681">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1．按照技术规范要求设置抽真空、测量瓶内余压、确定剩余溶剂和吸附气体介质量、补加溶剂和吸附气体介质量的装置；</w:t>
            </w:r>
          </w:p>
          <w:p w14:paraId="47B6F3DD">
            <w:pPr>
              <w:autoSpaceDE w:val="0"/>
              <w:autoSpaceDN w:val="0"/>
              <w:spacing w:before="4" w:line="320" w:lineRule="exact"/>
              <w:ind w:left="0" w:leftChars="0" w:right="142" w:firstLine="0" w:firstLineChars="0"/>
              <w:jc w:val="left"/>
              <w:rPr>
                <w:rFonts w:ascii="宋体" w:hAnsi="宋体" w:eastAsia="宋体" w:cs="宋体"/>
                <w:b w:val="0"/>
                <w:bCs/>
                <w:sz w:val="24"/>
                <w:szCs w:val="24"/>
              </w:rPr>
            </w:pPr>
            <w:r>
              <w:rPr>
                <w:rFonts w:ascii="宋体" w:hAnsi="宋体" w:eastAsia="宋体" w:cs="宋体"/>
                <w:b w:val="0"/>
                <w:bCs/>
                <w:sz w:val="24"/>
                <w:szCs w:val="24"/>
              </w:rPr>
              <w:t>2</w:t>
            </w:r>
            <w:r>
              <w:rPr>
                <w:rFonts w:hint="eastAsia" w:ascii="宋体" w:hAnsi="宋体" w:eastAsia="宋体" w:cs="宋体"/>
                <w:b w:val="0"/>
                <w:bCs/>
                <w:sz w:val="24"/>
                <w:szCs w:val="24"/>
              </w:rPr>
              <w:t>．按照要求对计量器具进行定期检验或校准</w:t>
            </w:r>
          </w:p>
        </w:tc>
        <w:tc>
          <w:tcPr>
            <w:tcW w:w="1530" w:type="dxa"/>
            <w:vMerge w:val="restart"/>
            <w:vAlign w:val="center"/>
          </w:tcPr>
          <w:p w14:paraId="65220E23">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月调度</w:t>
            </w:r>
          </w:p>
        </w:tc>
        <w:tc>
          <w:tcPr>
            <w:tcW w:w="1245" w:type="dxa"/>
            <w:vMerge w:val="restart"/>
            <w:vAlign w:val="center"/>
          </w:tcPr>
          <w:p w14:paraId="5E3E903F">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主要负责人</w:t>
            </w:r>
          </w:p>
        </w:tc>
        <w:tc>
          <w:tcPr>
            <w:tcW w:w="890" w:type="dxa"/>
            <w:vAlign w:val="center"/>
          </w:tcPr>
          <w:p w14:paraId="643B25DC">
            <w:pPr>
              <w:spacing w:line="320" w:lineRule="exact"/>
              <w:ind w:left="0" w:leftChars="0" w:firstLine="0" w:firstLineChars="0"/>
              <w:jc w:val="left"/>
              <w:rPr>
                <w:rFonts w:ascii="宋体" w:hAnsi="宋体" w:eastAsia="宋体" w:cs="宋体"/>
                <w:b w:val="0"/>
                <w:bCs/>
                <w:color w:val="0000FF"/>
                <w:sz w:val="24"/>
                <w:szCs w:val="24"/>
              </w:rPr>
            </w:pPr>
          </w:p>
        </w:tc>
      </w:tr>
      <w:tr w14:paraId="0E7FA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51E91041">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59</w:t>
            </w:r>
          </w:p>
        </w:tc>
        <w:tc>
          <w:tcPr>
            <w:tcW w:w="1358" w:type="dxa"/>
            <w:vMerge w:val="continue"/>
            <w:vAlign w:val="center"/>
          </w:tcPr>
          <w:p w14:paraId="45391394">
            <w:pPr>
              <w:autoSpaceDE w:val="0"/>
              <w:autoSpaceDN w:val="0"/>
              <w:spacing w:line="320" w:lineRule="exact"/>
              <w:ind w:left="39" w:leftChars="0" w:firstLine="0" w:firstLineChars="0"/>
              <w:jc w:val="center"/>
              <w:rPr>
                <w:rFonts w:ascii="宋体" w:hAnsi="宋体" w:eastAsia="宋体" w:cs="宋体"/>
                <w:b w:val="0"/>
                <w:bCs/>
                <w:color w:val="0000FF"/>
                <w:kern w:val="0"/>
                <w:sz w:val="24"/>
                <w:szCs w:val="24"/>
              </w:rPr>
            </w:pPr>
          </w:p>
        </w:tc>
        <w:tc>
          <w:tcPr>
            <w:tcW w:w="3749" w:type="dxa"/>
            <w:vAlign w:val="center"/>
          </w:tcPr>
          <w:p w14:paraId="53FEB5F9">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未设置冷却喷淋和紧急喷淋装置</w:t>
            </w:r>
          </w:p>
        </w:tc>
        <w:tc>
          <w:tcPr>
            <w:tcW w:w="5146" w:type="dxa"/>
            <w:vAlign w:val="center"/>
          </w:tcPr>
          <w:p w14:paraId="112A36DC">
            <w:pPr>
              <w:autoSpaceDE w:val="0"/>
              <w:autoSpaceDN w:val="0"/>
              <w:spacing w:before="4" w:line="320" w:lineRule="exact"/>
              <w:ind w:left="39" w:leftChars="0" w:right="142" w:firstLine="0" w:firstLineChars="0"/>
              <w:jc w:val="left"/>
              <w:rPr>
                <w:rFonts w:ascii="宋体" w:hAnsi="宋体" w:eastAsia="宋体" w:cs="宋体"/>
                <w:b w:val="0"/>
                <w:bCs/>
                <w:sz w:val="24"/>
                <w:szCs w:val="24"/>
              </w:rPr>
            </w:pPr>
            <w:r>
              <w:rPr>
                <w:rFonts w:hint="eastAsia" w:ascii="宋体" w:hAnsi="宋体" w:eastAsia="宋体" w:cs="宋体"/>
                <w:b w:val="0"/>
                <w:bCs/>
                <w:sz w:val="24"/>
                <w:szCs w:val="24"/>
              </w:rPr>
              <w:t>按照技术规范要求设置冷却喷淋和紧急喷淋装置，并定期进行调试</w:t>
            </w:r>
          </w:p>
        </w:tc>
        <w:tc>
          <w:tcPr>
            <w:tcW w:w="1530" w:type="dxa"/>
            <w:vMerge w:val="continue"/>
            <w:vAlign w:val="center"/>
          </w:tcPr>
          <w:p w14:paraId="266384EB">
            <w:pPr>
              <w:spacing w:line="320" w:lineRule="exact"/>
              <w:ind w:left="0" w:leftChars="0" w:firstLine="0" w:firstLineChars="0"/>
              <w:jc w:val="left"/>
              <w:rPr>
                <w:rFonts w:ascii="宋体" w:hAnsi="宋体" w:eastAsia="宋体" w:cs="宋体"/>
                <w:b w:val="0"/>
                <w:bCs/>
                <w:color w:val="0000FF"/>
                <w:sz w:val="24"/>
                <w:szCs w:val="24"/>
              </w:rPr>
            </w:pPr>
          </w:p>
        </w:tc>
        <w:tc>
          <w:tcPr>
            <w:tcW w:w="1245" w:type="dxa"/>
            <w:vMerge w:val="continue"/>
            <w:vAlign w:val="center"/>
          </w:tcPr>
          <w:p w14:paraId="21409573">
            <w:pPr>
              <w:spacing w:line="320" w:lineRule="exact"/>
              <w:ind w:left="0" w:leftChars="0" w:firstLine="0" w:firstLineChars="0"/>
              <w:jc w:val="left"/>
              <w:rPr>
                <w:rFonts w:ascii="宋体" w:hAnsi="宋体" w:eastAsia="宋体" w:cs="宋体"/>
                <w:b w:val="0"/>
                <w:bCs/>
                <w:color w:val="0000FF"/>
                <w:sz w:val="24"/>
                <w:szCs w:val="24"/>
              </w:rPr>
            </w:pPr>
          </w:p>
        </w:tc>
        <w:tc>
          <w:tcPr>
            <w:tcW w:w="890" w:type="dxa"/>
            <w:vAlign w:val="center"/>
          </w:tcPr>
          <w:p w14:paraId="7BB7F514">
            <w:pPr>
              <w:spacing w:line="320" w:lineRule="exact"/>
              <w:ind w:left="0" w:leftChars="0" w:firstLine="0" w:firstLineChars="0"/>
              <w:jc w:val="left"/>
              <w:rPr>
                <w:rFonts w:ascii="宋体" w:hAnsi="宋体" w:eastAsia="宋体" w:cs="宋体"/>
                <w:b w:val="0"/>
                <w:bCs/>
                <w:color w:val="0000FF"/>
                <w:sz w:val="24"/>
                <w:szCs w:val="24"/>
              </w:rPr>
            </w:pPr>
          </w:p>
        </w:tc>
      </w:tr>
      <w:tr w14:paraId="779F9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5F2FDCDD">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60</w:t>
            </w:r>
          </w:p>
        </w:tc>
        <w:tc>
          <w:tcPr>
            <w:tcW w:w="1358" w:type="dxa"/>
            <w:vMerge w:val="restart"/>
            <w:vAlign w:val="center"/>
          </w:tcPr>
          <w:p w14:paraId="73AEF2FA">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混合气体气瓶充装专项</w:t>
            </w:r>
          </w:p>
        </w:tc>
        <w:tc>
          <w:tcPr>
            <w:tcW w:w="3749" w:type="dxa"/>
            <w:vAlign w:val="center"/>
          </w:tcPr>
          <w:p w14:paraId="504CC092">
            <w:pPr>
              <w:widowControl/>
              <w:tabs>
                <w:tab w:val="left" w:pos="851"/>
              </w:tabs>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未按规定确定混合气体的气体组分量以及充入顺序</w:t>
            </w:r>
          </w:p>
        </w:tc>
        <w:tc>
          <w:tcPr>
            <w:tcW w:w="5146" w:type="dxa"/>
            <w:vAlign w:val="center"/>
          </w:tcPr>
          <w:p w14:paraId="5AFA2C1A">
            <w:pPr>
              <w:widowControl/>
              <w:tabs>
                <w:tab w:val="left" w:pos="851"/>
              </w:tabs>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1.确定混合气体的安全性；</w:t>
            </w:r>
          </w:p>
          <w:p w14:paraId="1CD3EBEA">
            <w:pPr>
              <w:widowControl/>
              <w:tabs>
                <w:tab w:val="left" w:pos="851"/>
              </w:tabs>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2.确定混合气体组分与材料的相容性；</w:t>
            </w:r>
          </w:p>
          <w:p w14:paraId="40EACF24">
            <w:pPr>
              <w:widowControl/>
              <w:tabs>
                <w:tab w:val="left" w:pos="851"/>
              </w:tabs>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3.确定要充入气瓶的气体组分量以及充入顺序</w:t>
            </w:r>
          </w:p>
        </w:tc>
        <w:tc>
          <w:tcPr>
            <w:tcW w:w="1530" w:type="dxa"/>
            <w:vMerge w:val="restart"/>
            <w:vAlign w:val="center"/>
          </w:tcPr>
          <w:p w14:paraId="3B9EDF9B">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日管控</w:t>
            </w:r>
          </w:p>
        </w:tc>
        <w:tc>
          <w:tcPr>
            <w:tcW w:w="1245" w:type="dxa"/>
            <w:vMerge w:val="restart"/>
            <w:vAlign w:val="center"/>
          </w:tcPr>
          <w:p w14:paraId="644CA5AA">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vAlign w:val="center"/>
          </w:tcPr>
          <w:p w14:paraId="1020C774">
            <w:pPr>
              <w:spacing w:line="320" w:lineRule="exact"/>
              <w:ind w:left="0" w:leftChars="0" w:firstLine="0" w:firstLineChars="0"/>
              <w:jc w:val="left"/>
              <w:rPr>
                <w:rFonts w:ascii="宋体" w:hAnsi="宋体" w:eastAsia="宋体" w:cs="宋体"/>
                <w:b w:val="0"/>
                <w:bCs/>
                <w:color w:val="0000FF"/>
                <w:sz w:val="24"/>
                <w:szCs w:val="24"/>
              </w:rPr>
            </w:pPr>
          </w:p>
        </w:tc>
      </w:tr>
      <w:tr w14:paraId="55DCC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5E70AA78">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61</w:t>
            </w:r>
          </w:p>
        </w:tc>
        <w:tc>
          <w:tcPr>
            <w:tcW w:w="1358" w:type="dxa"/>
            <w:vMerge w:val="continue"/>
            <w:vAlign w:val="center"/>
          </w:tcPr>
          <w:p w14:paraId="2C114F99">
            <w:pPr>
              <w:autoSpaceDE w:val="0"/>
              <w:autoSpaceDN w:val="0"/>
              <w:spacing w:line="320" w:lineRule="exact"/>
              <w:ind w:left="39" w:leftChars="0" w:firstLine="0" w:firstLineChars="0"/>
              <w:jc w:val="both"/>
              <w:rPr>
                <w:rFonts w:ascii="宋体" w:hAnsi="宋体" w:eastAsia="宋体" w:cs="宋体"/>
                <w:b w:val="0"/>
                <w:color w:val="FF0000"/>
                <w:spacing w:val="22"/>
                <w:sz w:val="24"/>
                <w:szCs w:val="24"/>
              </w:rPr>
            </w:pPr>
          </w:p>
        </w:tc>
        <w:tc>
          <w:tcPr>
            <w:tcW w:w="3749" w:type="dxa"/>
            <w:vAlign w:val="center"/>
          </w:tcPr>
          <w:p w14:paraId="41774DE3">
            <w:pPr>
              <w:tabs>
                <w:tab w:val="left" w:pos="1006"/>
              </w:tabs>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充装每一气体组分之前，未使用待充装的气体对充装装置和管道进行置换</w:t>
            </w:r>
          </w:p>
        </w:tc>
        <w:tc>
          <w:tcPr>
            <w:tcW w:w="5146" w:type="dxa"/>
            <w:vAlign w:val="center"/>
          </w:tcPr>
          <w:p w14:paraId="010AB761">
            <w:pPr>
              <w:tabs>
                <w:tab w:val="left" w:pos="1006"/>
              </w:tabs>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充装每一气体组分之前，应当使用待充装的气体对充装装置和管道进行置换</w:t>
            </w:r>
          </w:p>
        </w:tc>
        <w:tc>
          <w:tcPr>
            <w:tcW w:w="1530" w:type="dxa"/>
            <w:vMerge w:val="continue"/>
            <w:vAlign w:val="center"/>
          </w:tcPr>
          <w:p w14:paraId="0283C5BC">
            <w:pPr>
              <w:spacing w:line="320" w:lineRule="exact"/>
              <w:ind w:left="0" w:leftChars="0" w:firstLine="0" w:firstLineChars="0"/>
              <w:jc w:val="left"/>
              <w:rPr>
                <w:rFonts w:ascii="宋体" w:hAnsi="宋体" w:eastAsia="宋体" w:cs="宋体"/>
                <w:b w:val="0"/>
                <w:bCs/>
                <w:color w:val="FF0000"/>
                <w:sz w:val="24"/>
                <w:szCs w:val="24"/>
              </w:rPr>
            </w:pPr>
          </w:p>
        </w:tc>
        <w:tc>
          <w:tcPr>
            <w:tcW w:w="1245" w:type="dxa"/>
            <w:vMerge w:val="continue"/>
            <w:vAlign w:val="center"/>
          </w:tcPr>
          <w:p w14:paraId="287C55E3">
            <w:pPr>
              <w:spacing w:line="320" w:lineRule="exact"/>
              <w:ind w:left="0" w:leftChars="0" w:firstLine="0" w:firstLineChars="0"/>
              <w:jc w:val="left"/>
              <w:rPr>
                <w:rFonts w:ascii="宋体" w:hAnsi="宋体" w:eastAsia="宋体" w:cs="宋体"/>
                <w:b w:val="0"/>
                <w:bCs/>
                <w:color w:val="FF0000"/>
                <w:sz w:val="24"/>
                <w:szCs w:val="24"/>
              </w:rPr>
            </w:pPr>
          </w:p>
        </w:tc>
        <w:tc>
          <w:tcPr>
            <w:tcW w:w="890" w:type="dxa"/>
            <w:vAlign w:val="center"/>
          </w:tcPr>
          <w:p w14:paraId="5D2AC25B">
            <w:pPr>
              <w:spacing w:line="320" w:lineRule="exact"/>
              <w:ind w:left="0" w:leftChars="0" w:firstLine="0" w:firstLineChars="0"/>
              <w:jc w:val="left"/>
              <w:rPr>
                <w:rFonts w:ascii="宋体" w:hAnsi="宋体" w:eastAsia="宋体" w:cs="宋体"/>
                <w:b w:val="0"/>
                <w:bCs/>
                <w:color w:val="0000FF"/>
                <w:sz w:val="24"/>
                <w:szCs w:val="24"/>
              </w:rPr>
            </w:pPr>
          </w:p>
        </w:tc>
      </w:tr>
      <w:tr w14:paraId="33DE0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824" w:type="dxa"/>
            <w:vAlign w:val="center"/>
          </w:tcPr>
          <w:p w14:paraId="7DF2D4A9">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62</w:t>
            </w:r>
          </w:p>
        </w:tc>
        <w:tc>
          <w:tcPr>
            <w:tcW w:w="1358" w:type="dxa"/>
            <w:vMerge w:val="restart"/>
            <w:vAlign w:val="center"/>
          </w:tcPr>
          <w:p w14:paraId="39C1905F">
            <w:pPr>
              <w:autoSpaceDE w:val="0"/>
              <w:autoSpaceDN w:val="0"/>
              <w:spacing w:line="320" w:lineRule="exact"/>
              <w:ind w:left="39"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车用气瓶充装</w:t>
            </w:r>
          </w:p>
        </w:tc>
        <w:tc>
          <w:tcPr>
            <w:tcW w:w="3749" w:type="dxa"/>
            <w:vAlign w:val="center"/>
          </w:tcPr>
          <w:p w14:paraId="51DED1DA">
            <w:pPr>
              <w:autoSpaceDE w:val="0"/>
              <w:autoSpaceDN w:val="0"/>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充装场所未严格执行禁烟禁火规定，充装时司乘人员未离车</w:t>
            </w:r>
          </w:p>
        </w:tc>
        <w:tc>
          <w:tcPr>
            <w:tcW w:w="5146" w:type="dxa"/>
            <w:vAlign w:val="center"/>
          </w:tcPr>
          <w:p w14:paraId="355CF746">
            <w:pPr>
              <w:autoSpaceDE w:val="0"/>
              <w:autoSpaceDN w:val="0"/>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现场设置醒目安全警示标志，加强司乘等外来人员管控，严格落实充装站区禁烟禁火防爆要求</w:t>
            </w:r>
          </w:p>
        </w:tc>
        <w:tc>
          <w:tcPr>
            <w:tcW w:w="1530" w:type="dxa"/>
            <w:vAlign w:val="center"/>
          </w:tcPr>
          <w:p w14:paraId="3F46C52A">
            <w:pPr>
              <w:autoSpaceDE w:val="0"/>
              <w:autoSpaceDN w:val="0"/>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日管控</w:t>
            </w:r>
          </w:p>
        </w:tc>
        <w:tc>
          <w:tcPr>
            <w:tcW w:w="1245" w:type="dxa"/>
            <w:vAlign w:val="center"/>
          </w:tcPr>
          <w:p w14:paraId="14D93098">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安全员</w:t>
            </w:r>
          </w:p>
        </w:tc>
        <w:tc>
          <w:tcPr>
            <w:tcW w:w="890" w:type="dxa"/>
            <w:vAlign w:val="center"/>
          </w:tcPr>
          <w:p w14:paraId="5FCA2FF6">
            <w:pPr>
              <w:spacing w:line="320" w:lineRule="exact"/>
              <w:ind w:left="0" w:leftChars="0" w:firstLine="0" w:firstLineChars="0"/>
              <w:jc w:val="left"/>
              <w:rPr>
                <w:rFonts w:ascii="宋体" w:hAnsi="宋体" w:eastAsia="宋体" w:cs="宋体"/>
                <w:b w:val="0"/>
                <w:bCs/>
                <w:color w:val="0000FF"/>
                <w:sz w:val="24"/>
                <w:szCs w:val="24"/>
              </w:rPr>
            </w:pPr>
          </w:p>
        </w:tc>
      </w:tr>
      <w:tr w14:paraId="46DB0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824" w:type="dxa"/>
            <w:vAlign w:val="center"/>
          </w:tcPr>
          <w:p w14:paraId="268C6D48">
            <w:pPr>
              <w:widowControl/>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63</w:t>
            </w:r>
          </w:p>
        </w:tc>
        <w:tc>
          <w:tcPr>
            <w:tcW w:w="1358" w:type="dxa"/>
            <w:vMerge w:val="continue"/>
            <w:vAlign w:val="center"/>
          </w:tcPr>
          <w:p w14:paraId="79DE2964">
            <w:pPr>
              <w:autoSpaceDE w:val="0"/>
              <w:autoSpaceDN w:val="0"/>
              <w:spacing w:line="320" w:lineRule="exact"/>
              <w:ind w:left="39" w:leftChars="0" w:firstLine="0" w:firstLineChars="0"/>
              <w:jc w:val="both"/>
              <w:rPr>
                <w:rFonts w:ascii="宋体" w:hAnsi="宋体" w:eastAsia="宋体" w:cs="宋体"/>
                <w:b w:val="0"/>
                <w:bCs/>
                <w:kern w:val="0"/>
                <w:sz w:val="24"/>
                <w:szCs w:val="24"/>
              </w:rPr>
            </w:pPr>
          </w:p>
        </w:tc>
        <w:tc>
          <w:tcPr>
            <w:tcW w:w="3749" w:type="dxa"/>
            <w:vAlign w:val="center"/>
          </w:tcPr>
          <w:p w14:paraId="61194FE9">
            <w:pPr>
              <w:autoSpaceDE w:val="0"/>
              <w:autoSpaceDN w:val="0"/>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充装装置缺少识读汽车车牌及气瓶电子标识标志的功能</w:t>
            </w:r>
          </w:p>
        </w:tc>
        <w:tc>
          <w:tcPr>
            <w:tcW w:w="5146" w:type="dxa"/>
            <w:vAlign w:val="center"/>
          </w:tcPr>
          <w:p w14:paraId="0338B772">
            <w:pPr>
              <w:autoSpaceDE w:val="0"/>
              <w:autoSpaceDN w:val="0"/>
              <w:spacing w:line="320" w:lineRule="exact"/>
              <w:ind w:left="0" w:leftChars="0" w:firstLine="0" w:firstLineChars="0"/>
              <w:jc w:val="both"/>
              <w:rPr>
                <w:rFonts w:ascii="宋体" w:hAnsi="宋体" w:eastAsia="宋体" w:cs="宋体"/>
                <w:b w:val="0"/>
                <w:bCs/>
                <w:kern w:val="0"/>
                <w:sz w:val="24"/>
                <w:szCs w:val="24"/>
              </w:rPr>
            </w:pPr>
            <w:r>
              <w:rPr>
                <w:rFonts w:hint="eastAsia" w:ascii="宋体" w:hAnsi="宋体" w:eastAsia="宋体" w:cs="宋体"/>
                <w:b w:val="0"/>
                <w:bCs/>
                <w:kern w:val="0"/>
                <w:sz w:val="24"/>
                <w:szCs w:val="24"/>
              </w:rPr>
              <w:t>配置具有识读功能、符合规定的充装装置</w:t>
            </w:r>
          </w:p>
        </w:tc>
        <w:tc>
          <w:tcPr>
            <w:tcW w:w="1530" w:type="dxa"/>
            <w:vAlign w:val="center"/>
          </w:tcPr>
          <w:p w14:paraId="4F5AF4C8">
            <w:pPr>
              <w:autoSpaceDE w:val="0"/>
              <w:autoSpaceDN w:val="0"/>
              <w:spacing w:line="320" w:lineRule="exact"/>
              <w:ind w:left="0" w:leftChars="0" w:firstLine="0" w:firstLineChars="0"/>
              <w:jc w:val="center"/>
              <w:rPr>
                <w:rFonts w:ascii="宋体" w:hAnsi="宋体" w:eastAsia="宋体" w:cs="宋体"/>
                <w:b w:val="0"/>
                <w:bCs/>
                <w:kern w:val="0"/>
                <w:sz w:val="24"/>
                <w:szCs w:val="24"/>
              </w:rPr>
            </w:pPr>
            <w:r>
              <w:rPr>
                <w:rFonts w:hint="eastAsia" w:ascii="宋体" w:hAnsi="宋体" w:eastAsia="宋体" w:cs="宋体"/>
                <w:b w:val="0"/>
                <w:bCs/>
                <w:kern w:val="0"/>
                <w:sz w:val="24"/>
                <w:szCs w:val="24"/>
              </w:rPr>
              <w:t>月调度</w:t>
            </w:r>
          </w:p>
        </w:tc>
        <w:tc>
          <w:tcPr>
            <w:tcW w:w="1245" w:type="dxa"/>
            <w:vAlign w:val="center"/>
          </w:tcPr>
          <w:p w14:paraId="3E6E61E5">
            <w:pPr>
              <w:spacing w:line="320" w:lineRule="exact"/>
              <w:ind w:left="0" w:leftChars="0" w:firstLine="0" w:firstLineChars="0"/>
              <w:jc w:val="center"/>
              <w:rPr>
                <w:rFonts w:ascii="宋体" w:hAnsi="宋体" w:eastAsia="宋体" w:cs="宋体"/>
                <w:b w:val="0"/>
                <w:bCs/>
                <w:sz w:val="24"/>
                <w:szCs w:val="24"/>
              </w:rPr>
            </w:pPr>
            <w:r>
              <w:rPr>
                <w:rFonts w:hint="eastAsia" w:ascii="宋体" w:hAnsi="宋体" w:eastAsia="宋体" w:cs="宋体"/>
                <w:b w:val="0"/>
                <w:bCs/>
                <w:sz w:val="24"/>
                <w:szCs w:val="24"/>
              </w:rPr>
              <w:t>主要负责人</w:t>
            </w:r>
          </w:p>
        </w:tc>
        <w:tc>
          <w:tcPr>
            <w:tcW w:w="890" w:type="dxa"/>
            <w:vAlign w:val="center"/>
          </w:tcPr>
          <w:p w14:paraId="6B94D7E9">
            <w:pPr>
              <w:spacing w:line="320" w:lineRule="exact"/>
              <w:ind w:left="0" w:leftChars="0" w:firstLine="0" w:firstLineChars="0"/>
              <w:jc w:val="left"/>
              <w:rPr>
                <w:rFonts w:ascii="宋体" w:hAnsi="宋体" w:eastAsia="宋体" w:cs="宋体"/>
                <w:b w:val="0"/>
                <w:bCs/>
                <w:color w:val="0000FF"/>
                <w:sz w:val="24"/>
                <w:szCs w:val="24"/>
              </w:rPr>
            </w:pPr>
          </w:p>
        </w:tc>
      </w:tr>
    </w:tbl>
    <w:p w14:paraId="6978BB4B">
      <w:pPr>
        <w:widowControl/>
        <w:spacing w:after="0"/>
        <w:ind w:firstLine="482" w:firstLineChars="200"/>
        <w:jc w:val="both"/>
        <w:rPr>
          <w:rFonts w:hint="eastAsia" w:ascii="宋体" w:hAnsi="宋体" w:eastAsia="宋体" w:cs="宋体"/>
          <w:b/>
          <w:bCs/>
          <w:kern w:val="2"/>
          <w:sz w:val="24"/>
          <w:szCs w:val="24"/>
          <w:lang w:val="zh-CN" w:eastAsia="zh-CN" w:bidi="zh-CN"/>
        </w:rPr>
      </w:pPr>
      <w:r>
        <w:rPr>
          <w:rFonts w:hint="eastAsia" w:ascii="宋体" w:hAnsi="宋体" w:eastAsia="宋体" w:cs="宋体"/>
          <w:b/>
          <w:bCs/>
          <w:kern w:val="2"/>
          <w:sz w:val="24"/>
          <w:szCs w:val="24"/>
          <w:lang w:val="zh-CN" w:eastAsia="zh-CN" w:bidi="zh-CN"/>
        </w:rPr>
        <w:t>备注：本清单为推荐性格式，仅规定了应当进行日管控、周排查、月调度的基本项目，气瓶充装单位应当结合本单位实际，细化风险管控清单，合理调整管控形式。</w:t>
      </w:r>
    </w:p>
    <w:p w14:paraId="1AED0254">
      <w:pPr>
        <w:rPr>
          <w:rFonts w:hint="eastAsia" w:ascii="宋体" w:hAnsi="宋体" w:eastAsia="宋体" w:cs="宋体"/>
          <w:b/>
          <w:bCs/>
          <w:kern w:val="2"/>
          <w:sz w:val="24"/>
          <w:szCs w:val="24"/>
          <w:lang w:val="zh-CN" w:eastAsia="zh-CN" w:bidi="zh-CN"/>
        </w:rPr>
      </w:pPr>
      <w:r>
        <w:rPr>
          <w:rFonts w:hint="eastAsia" w:ascii="宋体" w:hAnsi="宋体" w:eastAsia="宋体" w:cs="宋体"/>
          <w:b/>
          <w:bCs/>
          <w:kern w:val="2"/>
          <w:sz w:val="24"/>
          <w:szCs w:val="24"/>
          <w:lang w:val="zh-CN" w:eastAsia="zh-CN" w:bidi="zh-CN"/>
        </w:rPr>
        <w:br w:type="page"/>
      </w:r>
    </w:p>
    <w:p w14:paraId="195274F1">
      <w:pPr>
        <w:widowControl/>
        <w:spacing w:after="0"/>
        <w:ind w:left="0" w:leftChars="0" w:firstLine="0" w:firstLineChars="0"/>
        <w:jc w:val="center"/>
        <w:rPr>
          <w:rFonts w:ascii="仿宋_GB2312" w:hAnsi="Calibri" w:eastAsia="仿宋_GB2312" w:cs="Times New Roman"/>
          <w:b/>
          <w:sz w:val="44"/>
          <w:szCs w:val="44"/>
        </w:rPr>
      </w:pPr>
      <w:r>
        <w:rPr>
          <w:rFonts w:hint="eastAsia" w:ascii="宋体" w:hAnsi="宋体" w:eastAsia="宋体" w:cs="宋体"/>
          <w:b/>
          <w:sz w:val="36"/>
          <w:szCs w:val="36"/>
        </w:rPr>
        <w:t>压力管道安全风险管控清单</w:t>
      </w:r>
      <w:r>
        <w:rPr>
          <w:rFonts w:hint="eastAsia" w:ascii="Calibri" w:hAnsi="Calibri" w:eastAsia="宋体" w:cs="Times New Roman"/>
          <w:b/>
          <w:sz w:val="36"/>
          <w:szCs w:val="36"/>
          <w:lang w:eastAsia="zh-CN"/>
        </w:rPr>
        <w:t>（供参考）</w:t>
      </w:r>
    </w:p>
    <w:tbl>
      <w:tblPr>
        <w:tblStyle w:val="16"/>
        <w:tblW w:w="141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1364"/>
        <w:gridCol w:w="3725"/>
        <w:gridCol w:w="4714"/>
        <w:gridCol w:w="1530"/>
        <w:gridCol w:w="1185"/>
        <w:gridCol w:w="872"/>
      </w:tblGrid>
      <w:tr w14:paraId="2C44F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exact"/>
          <w:tblHeader/>
          <w:jc w:val="center"/>
        </w:trPr>
        <w:tc>
          <w:tcPr>
            <w:tcW w:w="805" w:type="dxa"/>
            <w:shd w:val="clear" w:color="auto" w:fill="BEBEBE"/>
            <w:vAlign w:val="center"/>
          </w:tcPr>
          <w:p w14:paraId="2C1455D2">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序号</w:t>
            </w:r>
          </w:p>
        </w:tc>
        <w:tc>
          <w:tcPr>
            <w:tcW w:w="1364" w:type="dxa"/>
            <w:shd w:val="clear" w:color="auto" w:fill="BEBEBE"/>
            <w:vAlign w:val="center"/>
          </w:tcPr>
          <w:p w14:paraId="3D566265">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风险类别</w:t>
            </w:r>
          </w:p>
        </w:tc>
        <w:tc>
          <w:tcPr>
            <w:tcW w:w="3725" w:type="dxa"/>
            <w:shd w:val="clear" w:color="auto" w:fill="BEBEBE"/>
            <w:vAlign w:val="center"/>
          </w:tcPr>
          <w:p w14:paraId="1573F1DD">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bCs/>
                <w:kern w:val="0"/>
                <w:sz w:val="28"/>
                <w:szCs w:val="28"/>
              </w:rPr>
              <w:t>风险指标</w:t>
            </w:r>
          </w:p>
        </w:tc>
        <w:tc>
          <w:tcPr>
            <w:tcW w:w="4714" w:type="dxa"/>
            <w:shd w:val="clear" w:color="auto" w:fill="BEBEBE"/>
            <w:vAlign w:val="center"/>
          </w:tcPr>
          <w:p w14:paraId="288E7240">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风险管控</w:t>
            </w:r>
            <w:r>
              <w:rPr>
                <w:rFonts w:ascii="宋体" w:hAnsi="宋体" w:eastAsia="宋体" w:cs="Times New Roman"/>
                <w:b/>
                <w:sz w:val="28"/>
                <w:szCs w:val="28"/>
              </w:rPr>
              <w:t>措施</w:t>
            </w:r>
          </w:p>
        </w:tc>
        <w:tc>
          <w:tcPr>
            <w:tcW w:w="1530" w:type="dxa"/>
            <w:shd w:val="clear" w:color="auto" w:fill="BEBEBE"/>
            <w:vAlign w:val="center"/>
          </w:tcPr>
          <w:p w14:paraId="7A8DB9ED">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管控形式</w:t>
            </w:r>
          </w:p>
        </w:tc>
        <w:tc>
          <w:tcPr>
            <w:tcW w:w="1185" w:type="dxa"/>
            <w:shd w:val="clear" w:color="auto" w:fill="BEBEBE"/>
            <w:vAlign w:val="center"/>
          </w:tcPr>
          <w:p w14:paraId="62FEDCD0">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责任人</w:t>
            </w:r>
          </w:p>
        </w:tc>
        <w:tc>
          <w:tcPr>
            <w:tcW w:w="872" w:type="dxa"/>
            <w:shd w:val="clear" w:color="auto" w:fill="BEBEBE"/>
            <w:vAlign w:val="center"/>
          </w:tcPr>
          <w:p w14:paraId="53837438">
            <w:pPr>
              <w:spacing w:line="320" w:lineRule="exact"/>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备注</w:t>
            </w:r>
          </w:p>
        </w:tc>
      </w:tr>
      <w:tr w14:paraId="632A6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5D66FC28">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1</w:t>
            </w:r>
          </w:p>
        </w:tc>
        <w:tc>
          <w:tcPr>
            <w:tcW w:w="1364" w:type="dxa"/>
            <w:vMerge w:val="restart"/>
            <w:vAlign w:val="center"/>
          </w:tcPr>
          <w:p w14:paraId="63E8A58E">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人员</w:t>
            </w:r>
          </w:p>
        </w:tc>
        <w:tc>
          <w:tcPr>
            <w:tcW w:w="3725" w:type="dxa"/>
            <w:vAlign w:val="center"/>
          </w:tcPr>
          <w:p w14:paraId="0F10DE97">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未按规定配置安全管理人员</w:t>
            </w:r>
          </w:p>
        </w:tc>
        <w:tc>
          <w:tcPr>
            <w:tcW w:w="4714" w:type="dxa"/>
            <w:vAlign w:val="center"/>
          </w:tcPr>
          <w:p w14:paraId="5DB10380">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1.建立特种设备安全管理人员管理制度；</w:t>
            </w:r>
          </w:p>
          <w:p w14:paraId="715FC45B">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2.定期检查人员证件</w:t>
            </w:r>
          </w:p>
        </w:tc>
        <w:tc>
          <w:tcPr>
            <w:tcW w:w="1530" w:type="dxa"/>
            <w:vAlign w:val="center"/>
          </w:tcPr>
          <w:p w14:paraId="2BA37FA1">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日管控</w:t>
            </w:r>
          </w:p>
        </w:tc>
        <w:tc>
          <w:tcPr>
            <w:tcW w:w="1185" w:type="dxa"/>
            <w:vAlign w:val="center"/>
          </w:tcPr>
          <w:p w14:paraId="1D6DA89C">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安全员</w:t>
            </w:r>
          </w:p>
        </w:tc>
        <w:tc>
          <w:tcPr>
            <w:tcW w:w="872" w:type="dxa"/>
            <w:vAlign w:val="center"/>
          </w:tcPr>
          <w:p w14:paraId="54D2637A">
            <w:pPr>
              <w:spacing w:line="320" w:lineRule="exact"/>
              <w:ind w:left="0" w:leftChars="0" w:firstLine="0" w:firstLineChars="0"/>
              <w:jc w:val="left"/>
              <w:rPr>
                <w:rFonts w:ascii="宋体" w:hAnsi="宋体" w:eastAsia="宋体" w:cs="Times New Roman"/>
                <w:b w:val="0"/>
                <w:kern w:val="0"/>
                <w:sz w:val="24"/>
                <w:szCs w:val="24"/>
              </w:rPr>
            </w:pPr>
          </w:p>
        </w:tc>
      </w:tr>
      <w:tr w14:paraId="0F0C8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1" w:hRule="exact"/>
          <w:jc w:val="center"/>
        </w:trPr>
        <w:tc>
          <w:tcPr>
            <w:tcW w:w="805" w:type="dxa"/>
            <w:vAlign w:val="center"/>
          </w:tcPr>
          <w:p w14:paraId="31BA7484">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2</w:t>
            </w:r>
          </w:p>
        </w:tc>
        <w:tc>
          <w:tcPr>
            <w:tcW w:w="1364" w:type="dxa"/>
            <w:vMerge w:val="continue"/>
            <w:vAlign w:val="center"/>
          </w:tcPr>
          <w:p w14:paraId="10FFEBDE">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101B554E">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未按规定定期开展安全培训，培训未覆盖相关人员</w:t>
            </w:r>
          </w:p>
        </w:tc>
        <w:tc>
          <w:tcPr>
            <w:tcW w:w="4714" w:type="dxa"/>
            <w:vAlign w:val="center"/>
          </w:tcPr>
          <w:p w14:paraId="40D619B0">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1.建立人员安全培训制度；</w:t>
            </w:r>
          </w:p>
          <w:p w14:paraId="4E540EC4">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2.定期对相关人员进行培训教育和考核</w:t>
            </w:r>
          </w:p>
        </w:tc>
        <w:tc>
          <w:tcPr>
            <w:tcW w:w="1530" w:type="dxa"/>
            <w:vAlign w:val="center"/>
          </w:tcPr>
          <w:p w14:paraId="79F10331">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周排查</w:t>
            </w:r>
          </w:p>
        </w:tc>
        <w:tc>
          <w:tcPr>
            <w:tcW w:w="1185" w:type="dxa"/>
            <w:vAlign w:val="center"/>
          </w:tcPr>
          <w:p w14:paraId="4CA84B47">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安全总监</w:t>
            </w:r>
          </w:p>
        </w:tc>
        <w:tc>
          <w:tcPr>
            <w:tcW w:w="872" w:type="dxa"/>
            <w:vAlign w:val="center"/>
          </w:tcPr>
          <w:p w14:paraId="4E92B722">
            <w:pPr>
              <w:spacing w:line="320" w:lineRule="exact"/>
              <w:ind w:left="0" w:leftChars="0" w:firstLine="0" w:firstLineChars="0"/>
              <w:jc w:val="left"/>
              <w:rPr>
                <w:rFonts w:ascii="宋体" w:hAnsi="宋体" w:eastAsia="宋体" w:cs="Times New Roman"/>
                <w:b w:val="0"/>
                <w:kern w:val="0"/>
                <w:sz w:val="24"/>
                <w:szCs w:val="24"/>
              </w:rPr>
            </w:pPr>
          </w:p>
        </w:tc>
      </w:tr>
      <w:tr w14:paraId="5E20C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4" w:hRule="exact"/>
          <w:jc w:val="center"/>
        </w:trPr>
        <w:tc>
          <w:tcPr>
            <w:tcW w:w="805" w:type="dxa"/>
            <w:vAlign w:val="center"/>
          </w:tcPr>
          <w:p w14:paraId="401E576C">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3</w:t>
            </w:r>
          </w:p>
        </w:tc>
        <w:tc>
          <w:tcPr>
            <w:tcW w:w="1364" w:type="dxa"/>
            <w:vMerge w:val="continue"/>
            <w:vAlign w:val="center"/>
          </w:tcPr>
          <w:p w14:paraId="543C2752">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49F0F7E9">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未按规定配备安全总监、安全员、操作人员</w:t>
            </w:r>
          </w:p>
        </w:tc>
        <w:tc>
          <w:tcPr>
            <w:tcW w:w="4714" w:type="dxa"/>
            <w:vAlign w:val="center"/>
          </w:tcPr>
          <w:p w14:paraId="4A128DDD">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按规定配备相关人员</w:t>
            </w:r>
          </w:p>
        </w:tc>
        <w:tc>
          <w:tcPr>
            <w:tcW w:w="1530" w:type="dxa"/>
            <w:vMerge w:val="restart"/>
            <w:vAlign w:val="center"/>
          </w:tcPr>
          <w:p w14:paraId="6081CB19">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月调度</w:t>
            </w:r>
          </w:p>
        </w:tc>
        <w:tc>
          <w:tcPr>
            <w:tcW w:w="1185" w:type="dxa"/>
            <w:vMerge w:val="restart"/>
            <w:vAlign w:val="center"/>
          </w:tcPr>
          <w:p w14:paraId="35074D15">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主要负责人</w:t>
            </w:r>
          </w:p>
        </w:tc>
        <w:tc>
          <w:tcPr>
            <w:tcW w:w="872" w:type="dxa"/>
            <w:vAlign w:val="center"/>
          </w:tcPr>
          <w:p w14:paraId="1F52DE01">
            <w:pPr>
              <w:spacing w:line="320" w:lineRule="exact"/>
              <w:ind w:left="0" w:leftChars="0" w:firstLine="0" w:firstLineChars="0"/>
              <w:jc w:val="left"/>
              <w:rPr>
                <w:rFonts w:ascii="宋体" w:hAnsi="宋体" w:eastAsia="宋体" w:cs="Times New Roman"/>
                <w:b w:val="0"/>
                <w:kern w:val="0"/>
                <w:sz w:val="24"/>
                <w:szCs w:val="24"/>
              </w:rPr>
            </w:pPr>
          </w:p>
        </w:tc>
      </w:tr>
      <w:tr w14:paraId="0FD9C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44FD654D">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w:t>
            </w:r>
          </w:p>
        </w:tc>
        <w:tc>
          <w:tcPr>
            <w:tcW w:w="1364" w:type="dxa"/>
            <w:vMerge w:val="continue"/>
            <w:vAlign w:val="center"/>
          </w:tcPr>
          <w:p w14:paraId="4F0FC777">
            <w:pPr>
              <w:widowControl/>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369B0BE9">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使用单位压力管道安全总监、安全员安全管理能力不足</w:t>
            </w:r>
          </w:p>
        </w:tc>
        <w:tc>
          <w:tcPr>
            <w:tcW w:w="4714" w:type="dxa"/>
            <w:vAlign w:val="center"/>
          </w:tcPr>
          <w:p w14:paraId="1B667513">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1、定期组织宣贯压力管道有关法律法规、安全技术规范及相关标准培训；</w:t>
            </w:r>
            <w:r>
              <w:rPr>
                <w:rFonts w:ascii="宋体" w:hAnsi="宋体" w:eastAsia="宋体" w:cs="Times New Roman"/>
                <w:b w:val="0"/>
                <w:kern w:val="0"/>
                <w:sz w:val="24"/>
                <w:szCs w:val="24"/>
              </w:rPr>
              <w:br w:type="textWrapping"/>
            </w:r>
            <w:r>
              <w:rPr>
                <w:rFonts w:hint="eastAsia" w:ascii="宋体" w:hAnsi="宋体" w:eastAsia="宋体" w:cs="Times New Roman"/>
                <w:b w:val="0"/>
                <w:kern w:val="0"/>
                <w:sz w:val="24"/>
                <w:szCs w:val="24"/>
              </w:rPr>
              <w:t>2、加强人员能力考核和建立人员激励约束机制</w:t>
            </w:r>
          </w:p>
        </w:tc>
        <w:tc>
          <w:tcPr>
            <w:tcW w:w="1530" w:type="dxa"/>
            <w:vMerge w:val="continue"/>
            <w:vAlign w:val="center"/>
          </w:tcPr>
          <w:p w14:paraId="00F51FA8">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4D7D20BF">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4C935BD2">
            <w:pPr>
              <w:spacing w:line="320" w:lineRule="exact"/>
              <w:ind w:left="0" w:leftChars="0" w:firstLine="0" w:firstLineChars="0"/>
              <w:jc w:val="left"/>
              <w:rPr>
                <w:rFonts w:ascii="宋体" w:hAnsi="宋体" w:eastAsia="宋体" w:cs="Times New Roman"/>
                <w:b w:val="0"/>
                <w:kern w:val="0"/>
                <w:sz w:val="24"/>
                <w:szCs w:val="24"/>
              </w:rPr>
            </w:pPr>
          </w:p>
        </w:tc>
      </w:tr>
      <w:tr w14:paraId="12142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exact"/>
          <w:jc w:val="center"/>
        </w:trPr>
        <w:tc>
          <w:tcPr>
            <w:tcW w:w="805" w:type="dxa"/>
            <w:vAlign w:val="center"/>
          </w:tcPr>
          <w:p w14:paraId="75059449">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5</w:t>
            </w:r>
          </w:p>
        </w:tc>
        <w:tc>
          <w:tcPr>
            <w:tcW w:w="1364" w:type="dxa"/>
            <w:vMerge w:val="restart"/>
            <w:vAlign w:val="center"/>
          </w:tcPr>
          <w:p w14:paraId="7408C868">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管理</w:t>
            </w:r>
          </w:p>
        </w:tc>
        <w:tc>
          <w:tcPr>
            <w:tcW w:w="3725" w:type="dxa"/>
            <w:vAlign w:val="center"/>
          </w:tcPr>
          <w:p w14:paraId="129D39C2">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未按规定办理使用登记</w:t>
            </w:r>
            <w:r>
              <w:rPr>
                <w:rFonts w:hint="eastAsia" w:ascii="宋体" w:hAnsi="宋体" w:eastAsia="宋体" w:cs="Times New Roman"/>
                <w:b w:val="0"/>
                <w:spacing w:val="6"/>
                <w:sz w:val="24"/>
                <w:szCs w:val="24"/>
              </w:rPr>
              <w:t>和按时申报检验</w:t>
            </w:r>
          </w:p>
        </w:tc>
        <w:tc>
          <w:tcPr>
            <w:tcW w:w="4714" w:type="dxa"/>
            <w:vAlign w:val="center"/>
          </w:tcPr>
          <w:p w14:paraId="64CB9D6B">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建立并严格执行使用登记、定期检验管理制度</w:t>
            </w:r>
          </w:p>
        </w:tc>
        <w:tc>
          <w:tcPr>
            <w:tcW w:w="1530" w:type="dxa"/>
            <w:vMerge w:val="restart"/>
            <w:vAlign w:val="center"/>
          </w:tcPr>
          <w:p w14:paraId="019F86F5">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周排查</w:t>
            </w:r>
          </w:p>
        </w:tc>
        <w:tc>
          <w:tcPr>
            <w:tcW w:w="1185" w:type="dxa"/>
            <w:vMerge w:val="restart"/>
            <w:vAlign w:val="center"/>
          </w:tcPr>
          <w:p w14:paraId="4645FD4E">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安全总监</w:t>
            </w:r>
          </w:p>
        </w:tc>
        <w:tc>
          <w:tcPr>
            <w:tcW w:w="872" w:type="dxa"/>
            <w:vAlign w:val="center"/>
          </w:tcPr>
          <w:p w14:paraId="007FAE59">
            <w:pPr>
              <w:spacing w:line="320" w:lineRule="exact"/>
              <w:ind w:left="0" w:leftChars="0" w:firstLine="0" w:firstLineChars="0"/>
              <w:jc w:val="left"/>
              <w:rPr>
                <w:rFonts w:ascii="宋体" w:hAnsi="宋体" w:eastAsia="宋体" w:cs="Times New Roman"/>
                <w:b w:val="0"/>
                <w:kern w:val="0"/>
                <w:sz w:val="24"/>
                <w:szCs w:val="24"/>
              </w:rPr>
            </w:pPr>
          </w:p>
        </w:tc>
      </w:tr>
      <w:tr w14:paraId="14052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69564C6A">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6</w:t>
            </w:r>
          </w:p>
        </w:tc>
        <w:tc>
          <w:tcPr>
            <w:tcW w:w="1364" w:type="dxa"/>
            <w:vMerge w:val="continue"/>
            <w:vAlign w:val="center"/>
          </w:tcPr>
          <w:p w14:paraId="09FCA408">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588BD343">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未建立安全技术档案；档案文件内容和保存期限不满足相关规定</w:t>
            </w:r>
          </w:p>
        </w:tc>
        <w:tc>
          <w:tcPr>
            <w:tcW w:w="4714" w:type="dxa"/>
            <w:vAlign w:val="center"/>
          </w:tcPr>
          <w:p w14:paraId="62476FDF">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健全安全管理技术档案管理</w:t>
            </w:r>
          </w:p>
        </w:tc>
        <w:tc>
          <w:tcPr>
            <w:tcW w:w="1530" w:type="dxa"/>
            <w:vMerge w:val="continue"/>
            <w:vAlign w:val="center"/>
          </w:tcPr>
          <w:p w14:paraId="7FB77634">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3AB47B2E">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042783F1">
            <w:pPr>
              <w:spacing w:line="320" w:lineRule="exact"/>
              <w:ind w:left="0" w:leftChars="0" w:firstLine="0" w:firstLineChars="0"/>
              <w:jc w:val="left"/>
              <w:rPr>
                <w:rFonts w:ascii="宋体" w:hAnsi="宋体" w:eastAsia="宋体" w:cs="Times New Roman"/>
                <w:b w:val="0"/>
                <w:kern w:val="0"/>
                <w:sz w:val="24"/>
                <w:szCs w:val="24"/>
              </w:rPr>
            </w:pPr>
          </w:p>
        </w:tc>
      </w:tr>
      <w:tr w14:paraId="6EF99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40459BC1">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7</w:t>
            </w:r>
          </w:p>
        </w:tc>
        <w:tc>
          <w:tcPr>
            <w:tcW w:w="1364" w:type="dxa"/>
            <w:vMerge w:val="continue"/>
            <w:vAlign w:val="center"/>
          </w:tcPr>
          <w:p w14:paraId="2D04CA83">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26EBD455">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未定期开展日常维护保养，安全检查</w:t>
            </w:r>
          </w:p>
        </w:tc>
        <w:tc>
          <w:tcPr>
            <w:tcW w:w="4714" w:type="dxa"/>
            <w:vAlign w:val="center"/>
          </w:tcPr>
          <w:p w14:paraId="25B6582E">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定期开展日常维护保养，安全检查</w:t>
            </w:r>
          </w:p>
        </w:tc>
        <w:tc>
          <w:tcPr>
            <w:tcW w:w="1530" w:type="dxa"/>
            <w:vMerge w:val="continue"/>
            <w:vAlign w:val="center"/>
          </w:tcPr>
          <w:p w14:paraId="73BCEAE7">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3F85F059">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5DF6ED3E">
            <w:pPr>
              <w:spacing w:line="320" w:lineRule="exact"/>
              <w:ind w:left="0" w:leftChars="0" w:firstLine="0" w:firstLineChars="0"/>
              <w:jc w:val="left"/>
              <w:rPr>
                <w:rFonts w:ascii="宋体" w:hAnsi="宋体" w:eastAsia="宋体" w:cs="Times New Roman"/>
                <w:b w:val="0"/>
                <w:kern w:val="0"/>
                <w:sz w:val="24"/>
                <w:szCs w:val="24"/>
              </w:rPr>
            </w:pPr>
          </w:p>
        </w:tc>
      </w:tr>
      <w:tr w14:paraId="5ABD6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5520C23B">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8</w:t>
            </w:r>
          </w:p>
        </w:tc>
        <w:tc>
          <w:tcPr>
            <w:tcW w:w="1364" w:type="dxa"/>
            <w:vMerge w:val="restart"/>
            <w:vAlign w:val="center"/>
          </w:tcPr>
          <w:p w14:paraId="7379DF9B">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管理</w:t>
            </w:r>
          </w:p>
        </w:tc>
        <w:tc>
          <w:tcPr>
            <w:tcW w:w="3725" w:type="dxa"/>
            <w:vAlign w:val="center"/>
          </w:tcPr>
          <w:p w14:paraId="4267F45B">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未建立压力管道操作规程</w:t>
            </w:r>
          </w:p>
        </w:tc>
        <w:tc>
          <w:tcPr>
            <w:tcW w:w="4714" w:type="dxa"/>
            <w:vAlign w:val="center"/>
          </w:tcPr>
          <w:p w14:paraId="0120DA8D">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建立完善操作规程；</w:t>
            </w:r>
            <w:r>
              <w:rPr>
                <w:rFonts w:ascii="宋体" w:hAnsi="宋体" w:eastAsia="宋体" w:cs="Times New Roman"/>
                <w:b w:val="0"/>
                <w:kern w:val="0"/>
                <w:sz w:val="24"/>
                <w:szCs w:val="24"/>
              </w:rPr>
              <w:br w:type="textWrapping"/>
            </w: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加强人员培训并组织实施</w:t>
            </w:r>
          </w:p>
        </w:tc>
        <w:tc>
          <w:tcPr>
            <w:tcW w:w="1530" w:type="dxa"/>
            <w:vMerge w:val="restart"/>
            <w:vAlign w:val="center"/>
          </w:tcPr>
          <w:p w14:paraId="23DEEFB9">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周排查</w:t>
            </w:r>
          </w:p>
        </w:tc>
        <w:tc>
          <w:tcPr>
            <w:tcW w:w="1185" w:type="dxa"/>
            <w:vMerge w:val="restart"/>
            <w:vAlign w:val="center"/>
          </w:tcPr>
          <w:p w14:paraId="609A276F">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安全总监</w:t>
            </w:r>
          </w:p>
        </w:tc>
        <w:tc>
          <w:tcPr>
            <w:tcW w:w="872" w:type="dxa"/>
            <w:vAlign w:val="center"/>
          </w:tcPr>
          <w:p w14:paraId="75089C74">
            <w:pPr>
              <w:spacing w:line="320" w:lineRule="exact"/>
              <w:ind w:left="0" w:leftChars="0" w:firstLine="0" w:firstLineChars="0"/>
              <w:jc w:val="left"/>
              <w:rPr>
                <w:rFonts w:ascii="宋体" w:hAnsi="宋体" w:eastAsia="宋体" w:cs="Times New Roman"/>
                <w:b w:val="0"/>
                <w:kern w:val="0"/>
                <w:sz w:val="24"/>
                <w:szCs w:val="24"/>
              </w:rPr>
            </w:pPr>
          </w:p>
        </w:tc>
      </w:tr>
      <w:tr w14:paraId="1F0EF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287597E1">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9</w:t>
            </w:r>
          </w:p>
        </w:tc>
        <w:tc>
          <w:tcPr>
            <w:tcW w:w="1364" w:type="dxa"/>
            <w:vMerge w:val="continue"/>
            <w:vAlign w:val="center"/>
          </w:tcPr>
          <w:p w14:paraId="425B992E">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6D361E60">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安全隐患未及时整改或未按规定采取监控措施使用存在隐患的压力管道</w:t>
            </w:r>
          </w:p>
        </w:tc>
        <w:tc>
          <w:tcPr>
            <w:tcW w:w="4714" w:type="dxa"/>
            <w:vAlign w:val="center"/>
          </w:tcPr>
          <w:p w14:paraId="19D576E0">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制定压力管道隐患整改计划，明确监控措施及责任人</w:t>
            </w:r>
          </w:p>
        </w:tc>
        <w:tc>
          <w:tcPr>
            <w:tcW w:w="1530" w:type="dxa"/>
            <w:vMerge w:val="continue"/>
            <w:vAlign w:val="center"/>
          </w:tcPr>
          <w:p w14:paraId="590C68C4">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3ACA751F">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61434184">
            <w:pPr>
              <w:spacing w:line="320" w:lineRule="exact"/>
              <w:ind w:left="0" w:leftChars="0" w:firstLine="0" w:firstLineChars="0"/>
              <w:jc w:val="left"/>
              <w:rPr>
                <w:rFonts w:ascii="宋体" w:hAnsi="宋体" w:eastAsia="宋体" w:cs="Times New Roman"/>
                <w:b w:val="0"/>
                <w:kern w:val="0"/>
                <w:sz w:val="24"/>
                <w:szCs w:val="24"/>
              </w:rPr>
            </w:pPr>
          </w:p>
        </w:tc>
      </w:tr>
      <w:tr w14:paraId="1F144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2" w:hRule="atLeast"/>
          <w:jc w:val="center"/>
        </w:trPr>
        <w:tc>
          <w:tcPr>
            <w:tcW w:w="805" w:type="dxa"/>
            <w:vAlign w:val="center"/>
          </w:tcPr>
          <w:p w14:paraId="45B96385">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0</w:t>
            </w:r>
          </w:p>
        </w:tc>
        <w:tc>
          <w:tcPr>
            <w:tcW w:w="1364" w:type="dxa"/>
            <w:vMerge w:val="continue"/>
            <w:vAlign w:val="center"/>
          </w:tcPr>
          <w:p w14:paraId="0711172E">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350F0E44">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spacing w:val="6"/>
                <w:sz w:val="24"/>
                <w:szCs w:val="24"/>
              </w:rPr>
              <w:t>未建立岗位责任、隐患治理、应急救援等安全管理制度，制定操作规程或相关制度不完善</w:t>
            </w:r>
          </w:p>
        </w:tc>
        <w:tc>
          <w:tcPr>
            <w:tcW w:w="4714" w:type="dxa"/>
            <w:vAlign w:val="center"/>
          </w:tcPr>
          <w:p w14:paraId="2B2E19DA">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宋体"/>
                <w:b w:val="0"/>
                <w:sz w:val="24"/>
                <w:szCs w:val="24"/>
              </w:rPr>
              <w:t>根据单位实际情况，及时建立健全各类安全管理制度和操作规程</w:t>
            </w:r>
          </w:p>
        </w:tc>
        <w:tc>
          <w:tcPr>
            <w:tcW w:w="1530" w:type="dxa"/>
            <w:vMerge w:val="restart"/>
            <w:vAlign w:val="center"/>
          </w:tcPr>
          <w:p w14:paraId="76ACFCC5">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月调度</w:t>
            </w:r>
          </w:p>
        </w:tc>
        <w:tc>
          <w:tcPr>
            <w:tcW w:w="1185" w:type="dxa"/>
            <w:vMerge w:val="restart"/>
            <w:vAlign w:val="center"/>
          </w:tcPr>
          <w:p w14:paraId="01628B40">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主要负责人</w:t>
            </w:r>
          </w:p>
        </w:tc>
        <w:tc>
          <w:tcPr>
            <w:tcW w:w="872" w:type="dxa"/>
            <w:vAlign w:val="center"/>
          </w:tcPr>
          <w:p w14:paraId="422FC97A">
            <w:pPr>
              <w:spacing w:line="320" w:lineRule="exact"/>
              <w:ind w:left="0" w:leftChars="0" w:firstLine="0" w:firstLineChars="0"/>
              <w:jc w:val="left"/>
              <w:rPr>
                <w:rFonts w:ascii="宋体" w:hAnsi="宋体" w:eastAsia="宋体" w:cs="Times New Roman"/>
                <w:b w:val="0"/>
                <w:kern w:val="0"/>
                <w:sz w:val="24"/>
                <w:szCs w:val="24"/>
              </w:rPr>
            </w:pPr>
          </w:p>
        </w:tc>
      </w:tr>
      <w:tr w14:paraId="296D8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076BBE56">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1</w:t>
            </w:r>
            <w:r>
              <w:rPr>
                <w:rFonts w:hint="eastAsia" w:ascii="宋体" w:hAnsi="宋体" w:eastAsia="宋体" w:cs="Times New Roman"/>
                <w:b w:val="0"/>
                <w:kern w:val="0"/>
                <w:sz w:val="24"/>
                <w:szCs w:val="24"/>
              </w:rPr>
              <w:t>1</w:t>
            </w:r>
          </w:p>
        </w:tc>
        <w:tc>
          <w:tcPr>
            <w:tcW w:w="1364" w:type="dxa"/>
            <w:vMerge w:val="continue"/>
            <w:vAlign w:val="center"/>
          </w:tcPr>
          <w:p w14:paraId="2DA0770A">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03813A5A">
            <w:pPr>
              <w:widowControl/>
              <w:autoSpaceDE w:val="0"/>
              <w:autoSpaceDN w:val="0"/>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未及时办理使用登记、变更登记、停用、报废（注销）等相关手续</w:t>
            </w:r>
          </w:p>
        </w:tc>
        <w:tc>
          <w:tcPr>
            <w:tcW w:w="4714" w:type="dxa"/>
            <w:vAlign w:val="center"/>
          </w:tcPr>
          <w:p w14:paraId="325AE775">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立即办理使用登记、变更登记、停用、报废（注销）等相关手续</w:t>
            </w:r>
          </w:p>
        </w:tc>
        <w:tc>
          <w:tcPr>
            <w:tcW w:w="1530" w:type="dxa"/>
            <w:vMerge w:val="continue"/>
            <w:vAlign w:val="center"/>
          </w:tcPr>
          <w:p w14:paraId="18E404B8">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13A296C4">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42ADAF79">
            <w:pPr>
              <w:spacing w:line="320" w:lineRule="exact"/>
              <w:ind w:left="0" w:leftChars="0" w:firstLine="0" w:firstLineChars="0"/>
              <w:jc w:val="left"/>
              <w:rPr>
                <w:rFonts w:ascii="宋体" w:hAnsi="宋体" w:eastAsia="宋体" w:cs="Times New Roman"/>
                <w:b w:val="0"/>
                <w:kern w:val="0"/>
                <w:sz w:val="24"/>
                <w:szCs w:val="24"/>
              </w:rPr>
            </w:pPr>
          </w:p>
        </w:tc>
      </w:tr>
      <w:tr w14:paraId="69F8B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805" w:type="dxa"/>
            <w:vAlign w:val="center"/>
          </w:tcPr>
          <w:p w14:paraId="62C93C0F">
            <w:pPr>
              <w:widowControl/>
              <w:spacing w:line="320" w:lineRule="exact"/>
              <w:ind w:left="0" w:leftChars="0" w:firstLine="0" w:firstLineChars="0"/>
              <w:jc w:val="center"/>
              <w:rPr>
                <w:rFonts w:ascii="宋体" w:hAnsi="宋体" w:eastAsia="宋体" w:cs="Times New Roman"/>
                <w:b w:val="0"/>
                <w:kern w:val="0"/>
                <w:sz w:val="24"/>
                <w:szCs w:val="24"/>
                <w:highlight w:val="yellow"/>
              </w:rPr>
            </w:pPr>
            <w:r>
              <w:rPr>
                <w:rFonts w:ascii="宋体" w:hAnsi="宋体" w:eastAsia="宋体" w:cs="Times New Roman"/>
                <w:b w:val="0"/>
                <w:color w:val="000000"/>
                <w:kern w:val="0"/>
                <w:sz w:val="24"/>
                <w:szCs w:val="24"/>
              </w:rPr>
              <w:t>1</w:t>
            </w:r>
            <w:r>
              <w:rPr>
                <w:rFonts w:hint="eastAsia" w:ascii="宋体" w:hAnsi="宋体" w:eastAsia="宋体" w:cs="Times New Roman"/>
                <w:b w:val="0"/>
                <w:color w:val="000000"/>
                <w:kern w:val="0"/>
                <w:sz w:val="24"/>
                <w:szCs w:val="24"/>
              </w:rPr>
              <w:t>2</w:t>
            </w:r>
          </w:p>
        </w:tc>
        <w:tc>
          <w:tcPr>
            <w:tcW w:w="1364" w:type="dxa"/>
            <w:vMerge w:val="continue"/>
            <w:vAlign w:val="center"/>
          </w:tcPr>
          <w:p w14:paraId="5F9B2AB1">
            <w:pPr>
              <w:spacing w:line="320" w:lineRule="exact"/>
              <w:ind w:left="0" w:leftChars="0" w:firstLine="0" w:firstLineChars="0"/>
              <w:jc w:val="center"/>
              <w:rPr>
                <w:rFonts w:ascii="宋体" w:hAnsi="宋体" w:eastAsia="宋体" w:cs="Times New Roman"/>
                <w:b w:val="0"/>
                <w:kern w:val="0"/>
                <w:sz w:val="24"/>
                <w:szCs w:val="24"/>
                <w:highlight w:val="yellow"/>
              </w:rPr>
            </w:pPr>
          </w:p>
        </w:tc>
        <w:tc>
          <w:tcPr>
            <w:tcW w:w="3725" w:type="dxa"/>
            <w:vAlign w:val="center"/>
          </w:tcPr>
          <w:p w14:paraId="0243230A">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未对已报废的压力管道去功能化处理，未对办理停用的压力管道采取有效的保护措施</w:t>
            </w:r>
          </w:p>
        </w:tc>
        <w:tc>
          <w:tcPr>
            <w:tcW w:w="4714" w:type="dxa"/>
            <w:vAlign w:val="center"/>
          </w:tcPr>
          <w:p w14:paraId="3E0251D3">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1.加强对报废的压力管道管理，及时采取必要措施消除使用功能；</w:t>
            </w:r>
          </w:p>
          <w:p w14:paraId="13684C48">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2.加强停用压力管道管理，采取有效保护措施，且设置停用标志</w:t>
            </w:r>
          </w:p>
        </w:tc>
        <w:tc>
          <w:tcPr>
            <w:tcW w:w="1530" w:type="dxa"/>
            <w:vMerge w:val="continue"/>
            <w:vAlign w:val="center"/>
          </w:tcPr>
          <w:p w14:paraId="5C236425">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3DAAAF1B">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3F28CFFB">
            <w:pPr>
              <w:spacing w:line="320" w:lineRule="exact"/>
              <w:ind w:left="0" w:leftChars="0" w:firstLine="0" w:firstLineChars="0"/>
              <w:jc w:val="left"/>
              <w:rPr>
                <w:rFonts w:ascii="宋体" w:hAnsi="宋体" w:eastAsia="宋体" w:cs="Times New Roman"/>
                <w:b w:val="0"/>
                <w:kern w:val="0"/>
                <w:sz w:val="24"/>
                <w:szCs w:val="24"/>
              </w:rPr>
            </w:pPr>
          </w:p>
        </w:tc>
      </w:tr>
      <w:tr w14:paraId="537E6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6960BDC8">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1</w:t>
            </w:r>
            <w:r>
              <w:rPr>
                <w:rFonts w:hint="eastAsia" w:ascii="宋体" w:hAnsi="宋体" w:eastAsia="宋体" w:cs="Times New Roman"/>
                <w:b w:val="0"/>
                <w:kern w:val="0"/>
                <w:sz w:val="24"/>
                <w:szCs w:val="24"/>
              </w:rPr>
              <w:t>3</w:t>
            </w:r>
          </w:p>
        </w:tc>
        <w:tc>
          <w:tcPr>
            <w:tcW w:w="1364" w:type="dxa"/>
            <w:vMerge w:val="continue"/>
            <w:vAlign w:val="center"/>
          </w:tcPr>
          <w:p w14:paraId="2B5B8A28">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3567C402">
            <w:pPr>
              <w:widowControl/>
              <w:autoSpaceDE w:val="0"/>
              <w:autoSpaceDN w:val="0"/>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未按规定开展压力管道年度检查，定期检验，办理延期检验的未采取有效监控</w:t>
            </w:r>
          </w:p>
        </w:tc>
        <w:tc>
          <w:tcPr>
            <w:tcW w:w="4714" w:type="dxa"/>
            <w:vAlign w:val="center"/>
          </w:tcPr>
          <w:p w14:paraId="4A6CEBFF">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按规定开展压力管道年度检查，定期检验；</w:t>
            </w:r>
            <w:r>
              <w:rPr>
                <w:rFonts w:ascii="宋体" w:hAnsi="宋体" w:eastAsia="宋体" w:cs="Times New Roman"/>
                <w:b w:val="0"/>
                <w:kern w:val="0"/>
                <w:sz w:val="24"/>
                <w:szCs w:val="24"/>
              </w:rPr>
              <w:br w:type="textWrapping"/>
            </w:r>
            <w:r>
              <w:rPr>
                <w:rFonts w:hint="eastAsia" w:ascii="宋体" w:hAnsi="宋体" w:eastAsia="宋体" w:cs="Times New Roman"/>
                <w:b w:val="0"/>
                <w:kern w:val="0"/>
                <w:sz w:val="24"/>
                <w:szCs w:val="24"/>
              </w:rPr>
              <w:t>2</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延期检验的压力管道经检验机构确认及使用登记机构备案后采取有效措施监控使用</w:t>
            </w:r>
          </w:p>
        </w:tc>
        <w:tc>
          <w:tcPr>
            <w:tcW w:w="1530" w:type="dxa"/>
            <w:vMerge w:val="continue"/>
            <w:vAlign w:val="center"/>
          </w:tcPr>
          <w:p w14:paraId="4FEE884C">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0510B79A">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68602D65">
            <w:pPr>
              <w:spacing w:line="320" w:lineRule="exact"/>
              <w:ind w:left="0" w:leftChars="0" w:firstLine="0" w:firstLineChars="0"/>
              <w:jc w:val="left"/>
              <w:rPr>
                <w:rFonts w:ascii="宋体" w:hAnsi="宋体" w:eastAsia="宋体" w:cs="Times New Roman"/>
                <w:b w:val="0"/>
                <w:kern w:val="0"/>
                <w:sz w:val="24"/>
                <w:szCs w:val="24"/>
              </w:rPr>
            </w:pPr>
          </w:p>
        </w:tc>
      </w:tr>
      <w:tr w14:paraId="4DBCE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492DC24D">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14</w:t>
            </w:r>
          </w:p>
        </w:tc>
        <w:tc>
          <w:tcPr>
            <w:tcW w:w="1364" w:type="dxa"/>
            <w:vMerge w:val="continue"/>
            <w:vAlign w:val="center"/>
          </w:tcPr>
          <w:p w14:paraId="4F34F60F">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4B1388A7">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未落实压力管道安全事故报告义务，未采取有效措施防止事故扩大</w:t>
            </w:r>
          </w:p>
        </w:tc>
        <w:tc>
          <w:tcPr>
            <w:tcW w:w="4714" w:type="dxa"/>
            <w:vAlign w:val="center"/>
          </w:tcPr>
          <w:p w14:paraId="07D1CE12">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严格落实压力管道安全事故报告制度；</w:t>
            </w:r>
            <w:r>
              <w:rPr>
                <w:rFonts w:ascii="宋体" w:hAnsi="宋体" w:eastAsia="宋体" w:cs="Times New Roman"/>
                <w:b w:val="0"/>
                <w:kern w:val="0"/>
                <w:sz w:val="24"/>
                <w:szCs w:val="24"/>
              </w:rPr>
              <w:br w:type="textWrapping"/>
            </w:r>
            <w:r>
              <w:rPr>
                <w:rFonts w:hint="eastAsia" w:ascii="宋体" w:hAnsi="宋体" w:eastAsia="宋体" w:cs="Times New Roman"/>
                <w:b w:val="0"/>
                <w:kern w:val="0"/>
                <w:sz w:val="24"/>
                <w:szCs w:val="24"/>
              </w:rPr>
              <w:t>2</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及时采取有效措施防止事故扩大</w:t>
            </w:r>
          </w:p>
        </w:tc>
        <w:tc>
          <w:tcPr>
            <w:tcW w:w="1530" w:type="dxa"/>
            <w:vMerge w:val="restart"/>
            <w:vAlign w:val="center"/>
          </w:tcPr>
          <w:p w14:paraId="19AB6EF4">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月调度</w:t>
            </w:r>
          </w:p>
        </w:tc>
        <w:tc>
          <w:tcPr>
            <w:tcW w:w="1185" w:type="dxa"/>
            <w:vMerge w:val="restart"/>
            <w:vAlign w:val="center"/>
          </w:tcPr>
          <w:p w14:paraId="75940468">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主要负责人</w:t>
            </w:r>
          </w:p>
        </w:tc>
        <w:tc>
          <w:tcPr>
            <w:tcW w:w="872" w:type="dxa"/>
            <w:vAlign w:val="center"/>
          </w:tcPr>
          <w:p w14:paraId="19501855">
            <w:pPr>
              <w:spacing w:line="320" w:lineRule="exact"/>
              <w:ind w:left="0" w:leftChars="0" w:firstLine="0" w:firstLineChars="0"/>
              <w:jc w:val="left"/>
              <w:rPr>
                <w:rFonts w:ascii="宋体" w:hAnsi="宋体" w:eastAsia="宋体" w:cs="Times New Roman"/>
                <w:b w:val="0"/>
                <w:kern w:val="0"/>
                <w:sz w:val="24"/>
                <w:szCs w:val="24"/>
              </w:rPr>
            </w:pPr>
          </w:p>
        </w:tc>
      </w:tr>
      <w:tr w14:paraId="543F5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2" w:hRule="exact"/>
          <w:jc w:val="center"/>
        </w:trPr>
        <w:tc>
          <w:tcPr>
            <w:tcW w:w="805" w:type="dxa"/>
            <w:vAlign w:val="center"/>
          </w:tcPr>
          <w:p w14:paraId="1A85D93B">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15</w:t>
            </w:r>
          </w:p>
        </w:tc>
        <w:tc>
          <w:tcPr>
            <w:tcW w:w="1364" w:type="dxa"/>
            <w:vMerge w:val="continue"/>
            <w:vAlign w:val="center"/>
          </w:tcPr>
          <w:p w14:paraId="52574FD6">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44043712">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未建立压力管道、安全附件、操作人员台账</w:t>
            </w:r>
          </w:p>
        </w:tc>
        <w:tc>
          <w:tcPr>
            <w:tcW w:w="4714" w:type="dxa"/>
            <w:vAlign w:val="center"/>
          </w:tcPr>
          <w:p w14:paraId="54899EED">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建立健全压力管道、安全附件、操作人员台账，并进行动态管理</w:t>
            </w:r>
          </w:p>
        </w:tc>
        <w:tc>
          <w:tcPr>
            <w:tcW w:w="1530" w:type="dxa"/>
            <w:vMerge w:val="continue"/>
            <w:vAlign w:val="center"/>
          </w:tcPr>
          <w:p w14:paraId="25B2D24F">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7C4A2418">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26AB1138">
            <w:pPr>
              <w:spacing w:line="320" w:lineRule="exact"/>
              <w:ind w:left="0" w:leftChars="0" w:firstLine="0" w:firstLineChars="0"/>
              <w:jc w:val="left"/>
              <w:rPr>
                <w:rFonts w:ascii="宋体" w:hAnsi="宋体" w:eastAsia="宋体" w:cs="Times New Roman"/>
                <w:b w:val="0"/>
                <w:kern w:val="0"/>
                <w:sz w:val="24"/>
                <w:szCs w:val="24"/>
              </w:rPr>
            </w:pPr>
          </w:p>
        </w:tc>
      </w:tr>
      <w:tr w14:paraId="70738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0" w:hRule="exact"/>
          <w:jc w:val="center"/>
        </w:trPr>
        <w:tc>
          <w:tcPr>
            <w:tcW w:w="805" w:type="dxa"/>
            <w:vAlign w:val="center"/>
          </w:tcPr>
          <w:p w14:paraId="7C42B5B5">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16</w:t>
            </w:r>
          </w:p>
        </w:tc>
        <w:tc>
          <w:tcPr>
            <w:tcW w:w="1364" w:type="dxa"/>
            <w:vMerge w:val="continue"/>
            <w:vAlign w:val="center"/>
          </w:tcPr>
          <w:p w14:paraId="025E9FB5">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62274BFE">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未建立特种设备事故应急专项预案；并定期演练</w:t>
            </w:r>
          </w:p>
        </w:tc>
        <w:tc>
          <w:tcPr>
            <w:tcW w:w="4714" w:type="dxa"/>
            <w:vAlign w:val="center"/>
          </w:tcPr>
          <w:p w14:paraId="28BBE4F1">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1．建立并完善特种设备事故应急专项预案；</w:t>
            </w:r>
          </w:p>
          <w:p w14:paraId="7023ECFC">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2．按技术规范要求定期开展应急演练，并留存演练记录</w:t>
            </w:r>
          </w:p>
        </w:tc>
        <w:tc>
          <w:tcPr>
            <w:tcW w:w="1530" w:type="dxa"/>
            <w:vMerge w:val="continue"/>
            <w:vAlign w:val="center"/>
          </w:tcPr>
          <w:p w14:paraId="41A6AE04">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0666FC1F">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3E1ED827">
            <w:pPr>
              <w:spacing w:line="320" w:lineRule="exact"/>
              <w:ind w:left="0" w:leftChars="0" w:firstLine="0" w:firstLineChars="0"/>
              <w:jc w:val="left"/>
              <w:rPr>
                <w:rFonts w:ascii="宋体" w:hAnsi="宋体" w:eastAsia="宋体" w:cs="Times New Roman"/>
                <w:b w:val="0"/>
                <w:kern w:val="0"/>
                <w:sz w:val="24"/>
                <w:szCs w:val="24"/>
              </w:rPr>
            </w:pPr>
          </w:p>
        </w:tc>
      </w:tr>
      <w:tr w14:paraId="40EC6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4C8A57D2">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17</w:t>
            </w:r>
          </w:p>
        </w:tc>
        <w:tc>
          <w:tcPr>
            <w:tcW w:w="1364" w:type="dxa"/>
            <w:vMerge w:val="restart"/>
            <w:vAlign w:val="center"/>
          </w:tcPr>
          <w:p w14:paraId="78977345">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设备</w:t>
            </w:r>
          </w:p>
        </w:tc>
        <w:tc>
          <w:tcPr>
            <w:tcW w:w="3725" w:type="dxa"/>
            <w:vAlign w:val="center"/>
          </w:tcPr>
          <w:p w14:paraId="0B5BF03F">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管道组成件、焊接接头有无裂纹、过热、变形、损伤等缺陷</w:t>
            </w:r>
          </w:p>
        </w:tc>
        <w:tc>
          <w:tcPr>
            <w:tcW w:w="4714" w:type="dxa"/>
            <w:vAlign w:val="center"/>
          </w:tcPr>
          <w:p w14:paraId="67E331DC">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1．对管道严格验收要求；</w:t>
            </w:r>
          </w:p>
          <w:p w14:paraId="19970C10">
            <w:pPr>
              <w:widowControl/>
              <w:spacing w:line="320" w:lineRule="exact"/>
              <w:ind w:left="0" w:leftChars="0" w:firstLine="0" w:firstLineChars="0"/>
              <w:jc w:val="left"/>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．必要时采取监控、隔离、维修等安全措施，并做好预案，及时消除隐患</w:t>
            </w:r>
          </w:p>
        </w:tc>
        <w:tc>
          <w:tcPr>
            <w:tcW w:w="1530" w:type="dxa"/>
            <w:vMerge w:val="restart"/>
            <w:vAlign w:val="center"/>
          </w:tcPr>
          <w:p w14:paraId="7D0960D9">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日管控</w:t>
            </w:r>
          </w:p>
        </w:tc>
        <w:tc>
          <w:tcPr>
            <w:tcW w:w="1185" w:type="dxa"/>
            <w:vMerge w:val="restart"/>
            <w:vAlign w:val="center"/>
          </w:tcPr>
          <w:p w14:paraId="1D334583">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安全员</w:t>
            </w:r>
          </w:p>
        </w:tc>
        <w:tc>
          <w:tcPr>
            <w:tcW w:w="872" w:type="dxa"/>
            <w:vAlign w:val="center"/>
          </w:tcPr>
          <w:p w14:paraId="32ABF64C">
            <w:pPr>
              <w:spacing w:line="320" w:lineRule="exact"/>
              <w:ind w:left="0" w:leftChars="0" w:firstLine="0" w:firstLineChars="0"/>
              <w:jc w:val="left"/>
              <w:rPr>
                <w:rFonts w:ascii="宋体" w:hAnsi="宋体" w:eastAsia="宋体" w:cs="Times New Roman"/>
                <w:b w:val="0"/>
                <w:color w:val="00B050"/>
                <w:kern w:val="0"/>
                <w:sz w:val="24"/>
                <w:szCs w:val="24"/>
                <w:highlight w:val="yellow"/>
              </w:rPr>
            </w:pPr>
          </w:p>
        </w:tc>
      </w:tr>
      <w:tr w14:paraId="3D94B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1" w:hRule="exact"/>
          <w:jc w:val="center"/>
        </w:trPr>
        <w:tc>
          <w:tcPr>
            <w:tcW w:w="805" w:type="dxa"/>
            <w:vAlign w:val="center"/>
          </w:tcPr>
          <w:p w14:paraId="576B8BDA">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18</w:t>
            </w:r>
          </w:p>
        </w:tc>
        <w:tc>
          <w:tcPr>
            <w:tcW w:w="1364" w:type="dxa"/>
            <w:vMerge w:val="continue"/>
            <w:vAlign w:val="center"/>
          </w:tcPr>
          <w:p w14:paraId="5AE4F5CD">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5D2D5B2C">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压力管道膨胀受阻，膨胀补偿装置存在缺陷</w:t>
            </w:r>
          </w:p>
        </w:tc>
        <w:tc>
          <w:tcPr>
            <w:tcW w:w="4714" w:type="dxa"/>
            <w:vAlign w:val="center"/>
          </w:tcPr>
          <w:p w14:paraId="5DAC7F4C">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查明并消除受阻原因，确保自由膨胀</w:t>
            </w:r>
          </w:p>
        </w:tc>
        <w:tc>
          <w:tcPr>
            <w:tcW w:w="1530" w:type="dxa"/>
            <w:vMerge w:val="continue"/>
            <w:vAlign w:val="center"/>
          </w:tcPr>
          <w:p w14:paraId="2CE6C7EA">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4ED97AF8">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3DE684C7">
            <w:pPr>
              <w:spacing w:line="320" w:lineRule="exact"/>
              <w:ind w:left="0" w:leftChars="0" w:firstLine="0" w:firstLineChars="0"/>
              <w:jc w:val="left"/>
              <w:rPr>
                <w:rFonts w:ascii="宋体" w:hAnsi="宋体" w:eastAsia="宋体" w:cs="Times New Roman"/>
                <w:b w:val="0"/>
                <w:kern w:val="0"/>
                <w:sz w:val="24"/>
                <w:szCs w:val="24"/>
              </w:rPr>
            </w:pPr>
          </w:p>
        </w:tc>
      </w:tr>
      <w:tr w14:paraId="1B9F7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0C1EC5B4">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19</w:t>
            </w:r>
          </w:p>
        </w:tc>
        <w:tc>
          <w:tcPr>
            <w:tcW w:w="1364" w:type="dxa"/>
            <w:vMerge w:val="continue"/>
            <w:vAlign w:val="center"/>
          </w:tcPr>
          <w:p w14:paraId="1E57DE1E">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4A00B07C">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存在阀门表面腐蚀、阀体有裂纹、严重缩孔、连接螺栓松动等情况</w:t>
            </w:r>
          </w:p>
        </w:tc>
        <w:tc>
          <w:tcPr>
            <w:tcW w:w="4714" w:type="dxa"/>
            <w:vAlign w:val="center"/>
          </w:tcPr>
          <w:p w14:paraId="0068C822">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查明原因，消除隐患</w:t>
            </w:r>
          </w:p>
        </w:tc>
        <w:tc>
          <w:tcPr>
            <w:tcW w:w="1530" w:type="dxa"/>
            <w:vMerge w:val="continue"/>
            <w:vAlign w:val="center"/>
          </w:tcPr>
          <w:p w14:paraId="51EF4238">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2320836E">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696FFCB8">
            <w:pPr>
              <w:spacing w:line="320" w:lineRule="exact"/>
              <w:ind w:left="0" w:leftChars="0" w:firstLine="0" w:firstLineChars="0"/>
              <w:jc w:val="left"/>
              <w:rPr>
                <w:rFonts w:ascii="宋体" w:hAnsi="宋体" w:eastAsia="宋体" w:cs="Times New Roman"/>
                <w:b w:val="0"/>
                <w:kern w:val="0"/>
                <w:sz w:val="24"/>
                <w:szCs w:val="24"/>
              </w:rPr>
            </w:pPr>
          </w:p>
        </w:tc>
      </w:tr>
      <w:tr w14:paraId="60C7A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805" w:type="dxa"/>
            <w:vAlign w:val="center"/>
          </w:tcPr>
          <w:p w14:paraId="1C00B973">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20</w:t>
            </w:r>
          </w:p>
        </w:tc>
        <w:tc>
          <w:tcPr>
            <w:tcW w:w="1364" w:type="dxa"/>
            <w:vMerge w:val="continue"/>
            <w:vAlign w:val="center"/>
          </w:tcPr>
          <w:p w14:paraId="43D62204">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71AE88B5">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存在法兰偏口以及异常翘曲、变形、泄漏，紧固件不齐全、松动、腐蚀等情况</w:t>
            </w:r>
          </w:p>
        </w:tc>
        <w:tc>
          <w:tcPr>
            <w:tcW w:w="4714" w:type="dxa"/>
            <w:vAlign w:val="center"/>
          </w:tcPr>
          <w:p w14:paraId="743E98AA">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查明原因，消除隐患</w:t>
            </w:r>
          </w:p>
        </w:tc>
        <w:tc>
          <w:tcPr>
            <w:tcW w:w="1530" w:type="dxa"/>
            <w:vMerge w:val="continue"/>
            <w:vAlign w:val="center"/>
          </w:tcPr>
          <w:p w14:paraId="2983AB8E">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601BDDC9">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77D871B7">
            <w:pPr>
              <w:spacing w:line="320" w:lineRule="exact"/>
              <w:ind w:left="0" w:leftChars="0" w:firstLine="0" w:firstLineChars="0"/>
              <w:jc w:val="left"/>
              <w:rPr>
                <w:rFonts w:ascii="宋体" w:hAnsi="宋体" w:eastAsia="宋体" w:cs="Times New Roman"/>
                <w:b w:val="0"/>
                <w:kern w:val="0"/>
                <w:sz w:val="24"/>
                <w:szCs w:val="24"/>
              </w:rPr>
            </w:pPr>
          </w:p>
        </w:tc>
      </w:tr>
      <w:tr w14:paraId="17E15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805" w:type="dxa"/>
            <w:vAlign w:val="center"/>
          </w:tcPr>
          <w:p w14:paraId="57A79540">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21</w:t>
            </w:r>
          </w:p>
        </w:tc>
        <w:tc>
          <w:tcPr>
            <w:tcW w:w="1364" w:type="dxa"/>
            <w:vMerge w:val="continue"/>
            <w:vAlign w:val="center"/>
          </w:tcPr>
          <w:p w14:paraId="6CE71F26">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45DBA8DB">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压力管道与相邻构件异常振动、响声或者相互摩擦</w:t>
            </w:r>
          </w:p>
        </w:tc>
        <w:tc>
          <w:tcPr>
            <w:tcW w:w="4714" w:type="dxa"/>
            <w:vAlign w:val="center"/>
          </w:tcPr>
          <w:p w14:paraId="1E0ABFDC">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1.查明异常发生原因，及时消除隐患；</w:t>
            </w:r>
          </w:p>
          <w:p w14:paraId="203D731D">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2.制定运行、检修规程，按规程处置；避免疲劳运行；</w:t>
            </w:r>
          </w:p>
          <w:p w14:paraId="27ABEF15">
            <w:pPr>
              <w:spacing w:line="320" w:lineRule="exact"/>
              <w:ind w:left="0" w:leftChars="0" w:firstLine="0" w:firstLineChars="0"/>
              <w:jc w:val="left"/>
              <w:rPr>
                <w:rFonts w:ascii="宋体" w:hAnsi="宋体" w:eastAsia="宋体" w:cs="Times New Roman"/>
                <w:b w:val="0"/>
                <w:kern w:val="0"/>
                <w:sz w:val="24"/>
                <w:szCs w:val="24"/>
              </w:rPr>
            </w:pP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.必要时，采取监控、隔离、维修等安全措施，并做好预案</w:t>
            </w:r>
          </w:p>
        </w:tc>
        <w:tc>
          <w:tcPr>
            <w:tcW w:w="1530" w:type="dxa"/>
            <w:vMerge w:val="restart"/>
            <w:vAlign w:val="center"/>
          </w:tcPr>
          <w:p w14:paraId="29D13CCD">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日管控</w:t>
            </w:r>
          </w:p>
        </w:tc>
        <w:tc>
          <w:tcPr>
            <w:tcW w:w="1185" w:type="dxa"/>
            <w:vMerge w:val="restart"/>
            <w:vAlign w:val="center"/>
          </w:tcPr>
          <w:p w14:paraId="363024B0">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安全员</w:t>
            </w:r>
          </w:p>
        </w:tc>
        <w:tc>
          <w:tcPr>
            <w:tcW w:w="872" w:type="dxa"/>
            <w:vAlign w:val="center"/>
          </w:tcPr>
          <w:p w14:paraId="6C5206D6">
            <w:pPr>
              <w:spacing w:line="320" w:lineRule="exact"/>
              <w:ind w:left="0" w:leftChars="0" w:firstLine="0" w:firstLineChars="0"/>
              <w:jc w:val="left"/>
              <w:rPr>
                <w:rFonts w:ascii="宋体" w:hAnsi="宋体" w:eastAsia="宋体" w:cs="Times New Roman"/>
                <w:b w:val="0"/>
                <w:kern w:val="0"/>
                <w:sz w:val="24"/>
                <w:szCs w:val="24"/>
              </w:rPr>
            </w:pPr>
          </w:p>
        </w:tc>
      </w:tr>
      <w:tr w14:paraId="65EC4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01FAC40F">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2</w:t>
            </w:r>
          </w:p>
        </w:tc>
        <w:tc>
          <w:tcPr>
            <w:tcW w:w="1364" w:type="dxa"/>
            <w:vMerge w:val="continue"/>
            <w:vAlign w:val="center"/>
          </w:tcPr>
          <w:p w14:paraId="5BA13DE6">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7B9B1853">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保温隔热层、防腐层破损，绝热层潮湿跑冷、结霜结露</w:t>
            </w:r>
          </w:p>
        </w:tc>
        <w:tc>
          <w:tcPr>
            <w:tcW w:w="4714" w:type="dxa"/>
            <w:vAlign w:val="center"/>
          </w:tcPr>
          <w:p w14:paraId="7D9D75F7">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1．检查破损部位压力管道是否存在损伤；</w:t>
            </w:r>
          </w:p>
          <w:p w14:paraId="4DA76833">
            <w:pPr>
              <w:spacing w:line="320" w:lineRule="exact"/>
              <w:ind w:left="0" w:leftChars="0" w:firstLine="0" w:firstLineChars="0"/>
              <w:jc w:val="left"/>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．及时对破损部位进行恢复；</w:t>
            </w:r>
            <w:r>
              <w:rPr>
                <w:rFonts w:ascii="宋体" w:hAnsi="宋体" w:eastAsia="宋体" w:cs="Times New Roman"/>
                <w:b w:val="0"/>
                <w:kern w:val="0"/>
                <w:sz w:val="24"/>
                <w:szCs w:val="24"/>
              </w:rPr>
              <w:br w:type="textWrapping"/>
            </w:r>
            <w:r>
              <w:rPr>
                <w:rFonts w:hint="eastAsia" w:ascii="宋体" w:hAnsi="宋体" w:eastAsia="宋体" w:cs="Times New Roman"/>
                <w:b w:val="0"/>
                <w:kern w:val="0"/>
                <w:sz w:val="24"/>
                <w:szCs w:val="24"/>
              </w:rPr>
              <w:t>3。查明异常发生原因，及时消除隐患</w:t>
            </w:r>
          </w:p>
        </w:tc>
        <w:tc>
          <w:tcPr>
            <w:tcW w:w="1530" w:type="dxa"/>
            <w:vMerge w:val="continue"/>
            <w:vAlign w:val="center"/>
          </w:tcPr>
          <w:p w14:paraId="0EE9B03D">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7B488160">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590A22EB">
            <w:pPr>
              <w:spacing w:line="320" w:lineRule="exact"/>
              <w:ind w:left="0" w:leftChars="0" w:firstLine="0" w:firstLineChars="0"/>
              <w:jc w:val="left"/>
              <w:rPr>
                <w:rFonts w:ascii="宋体" w:hAnsi="宋体" w:eastAsia="宋体" w:cs="Times New Roman"/>
                <w:b w:val="0"/>
                <w:kern w:val="0"/>
                <w:sz w:val="24"/>
                <w:szCs w:val="24"/>
              </w:rPr>
            </w:pPr>
          </w:p>
        </w:tc>
      </w:tr>
      <w:tr w14:paraId="1E045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60FD2B6E">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3</w:t>
            </w:r>
          </w:p>
        </w:tc>
        <w:tc>
          <w:tcPr>
            <w:tcW w:w="1364" w:type="dxa"/>
            <w:vMerge w:val="continue"/>
            <w:vAlign w:val="center"/>
          </w:tcPr>
          <w:p w14:paraId="0869C3CD">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68262A19">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非金属衬里或非金属管损坏</w:t>
            </w:r>
          </w:p>
        </w:tc>
        <w:tc>
          <w:tcPr>
            <w:tcW w:w="4714" w:type="dxa"/>
            <w:vAlign w:val="center"/>
          </w:tcPr>
          <w:p w14:paraId="5545C32F">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 xml:space="preserve"> 查明异常发生原因，及时消除隐患；</w:t>
            </w:r>
          </w:p>
          <w:p w14:paraId="0F017088">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2</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必要时，采取监控、隔离、维修等安全措施，并做好预案</w:t>
            </w:r>
          </w:p>
        </w:tc>
        <w:tc>
          <w:tcPr>
            <w:tcW w:w="1530" w:type="dxa"/>
            <w:vMerge w:val="continue"/>
            <w:vAlign w:val="center"/>
          </w:tcPr>
          <w:p w14:paraId="1E8EFF00">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4854665B">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31861805">
            <w:pPr>
              <w:spacing w:line="320" w:lineRule="exact"/>
              <w:ind w:left="0" w:leftChars="0" w:firstLine="0" w:firstLineChars="0"/>
              <w:jc w:val="left"/>
              <w:rPr>
                <w:rFonts w:ascii="宋体" w:hAnsi="宋体" w:eastAsia="宋体" w:cs="Times New Roman"/>
                <w:b w:val="0"/>
                <w:kern w:val="0"/>
                <w:sz w:val="24"/>
                <w:szCs w:val="24"/>
              </w:rPr>
            </w:pPr>
          </w:p>
        </w:tc>
      </w:tr>
      <w:tr w14:paraId="61B1F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1A3BE15B">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4</w:t>
            </w:r>
          </w:p>
        </w:tc>
        <w:tc>
          <w:tcPr>
            <w:tcW w:w="1364" w:type="dxa"/>
            <w:vMerge w:val="continue"/>
            <w:vAlign w:val="center"/>
          </w:tcPr>
          <w:p w14:paraId="0A4EC8D0">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01CED159">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支吊架变形、脱落、腐蚀、损坏、失载、基础沉降等情况</w:t>
            </w:r>
          </w:p>
        </w:tc>
        <w:tc>
          <w:tcPr>
            <w:tcW w:w="4714" w:type="dxa"/>
            <w:vAlign w:val="center"/>
          </w:tcPr>
          <w:p w14:paraId="09E883DF">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加强日常检查监控，必要时及时进行修复</w:t>
            </w:r>
          </w:p>
        </w:tc>
        <w:tc>
          <w:tcPr>
            <w:tcW w:w="1530" w:type="dxa"/>
            <w:vMerge w:val="continue"/>
            <w:vAlign w:val="center"/>
          </w:tcPr>
          <w:p w14:paraId="2457766E">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4B10B96C">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5F10F21E">
            <w:pPr>
              <w:spacing w:line="320" w:lineRule="exact"/>
              <w:ind w:left="0" w:leftChars="0" w:firstLine="0" w:firstLineChars="0"/>
              <w:jc w:val="left"/>
              <w:rPr>
                <w:rFonts w:ascii="宋体" w:hAnsi="宋体" w:eastAsia="宋体" w:cs="Times New Roman"/>
                <w:b w:val="0"/>
                <w:kern w:val="0"/>
                <w:sz w:val="24"/>
                <w:szCs w:val="24"/>
              </w:rPr>
            </w:pPr>
          </w:p>
        </w:tc>
      </w:tr>
      <w:tr w14:paraId="18304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1BA7194C">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5</w:t>
            </w:r>
          </w:p>
        </w:tc>
        <w:tc>
          <w:tcPr>
            <w:tcW w:w="1364" w:type="dxa"/>
            <w:vMerge w:val="continue"/>
            <w:vAlign w:val="center"/>
          </w:tcPr>
          <w:p w14:paraId="2CAAB8A5">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009F0E73">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运行期间超压、超温等</w:t>
            </w:r>
          </w:p>
        </w:tc>
        <w:tc>
          <w:tcPr>
            <w:tcW w:w="4714" w:type="dxa"/>
            <w:vAlign w:val="center"/>
          </w:tcPr>
          <w:p w14:paraId="6B430967">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制定运行操作规程，并严格执行；</w:t>
            </w:r>
          </w:p>
          <w:p w14:paraId="1FBF337E">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2</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必要时进行检验、评估</w:t>
            </w:r>
          </w:p>
        </w:tc>
        <w:tc>
          <w:tcPr>
            <w:tcW w:w="1530" w:type="dxa"/>
            <w:vMerge w:val="continue"/>
            <w:vAlign w:val="center"/>
          </w:tcPr>
          <w:p w14:paraId="02A5ECB5">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548700EB">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61C23B81">
            <w:pPr>
              <w:spacing w:line="320" w:lineRule="exact"/>
              <w:ind w:left="0" w:leftChars="0" w:firstLine="0" w:firstLineChars="0"/>
              <w:jc w:val="left"/>
              <w:rPr>
                <w:rFonts w:ascii="宋体" w:hAnsi="宋体" w:eastAsia="宋体" w:cs="Times New Roman"/>
                <w:b w:val="0"/>
                <w:kern w:val="0"/>
                <w:sz w:val="24"/>
                <w:szCs w:val="24"/>
              </w:rPr>
            </w:pPr>
          </w:p>
        </w:tc>
      </w:tr>
      <w:tr w14:paraId="01408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3281C618">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6</w:t>
            </w:r>
          </w:p>
        </w:tc>
        <w:tc>
          <w:tcPr>
            <w:tcW w:w="1364" w:type="dxa"/>
            <w:vMerge w:val="continue"/>
            <w:vAlign w:val="center"/>
          </w:tcPr>
          <w:p w14:paraId="4B900CBD">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77A0FA20">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接地装置不符合要求</w:t>
            </w:r>
          </w:p>
        </w:tc>
        <w:tc>
          <w:tcPr>
            <w:tcW w:w="4714" w:type="dxa"/>
            <w:vAlign w:val="center"/>
          </w:tcPr>
          <w:p w14:paraId="6A82C4A8">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查明异常原因，并及时处理；</w:t>
            </w:r>
          </w:p>
          <w:p w14:paraId="38CBE486">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2</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接地装置进行定期测量</w:t>
            </w:r>
          </w:p>
        </w:tc>
        <w:tc>
          <w:tcPr>
            <w:tcW w:w="1530" w:type="dxa"/>
            <w:vMerge w:val="continue"/>
            <w:vAlign w:val="center"/>
          </w:tcPr>
          <w:p w14:paraId="56EF220B">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1323B380">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5C989F24">
            <w:pPr>
              <w:spacing w:line="320" w:lineRule="exact"/>
              <w:ind w:left="0" w:leftChars="0" w:firstLine="0" w:firstLineChars="0"/>
              <w:jc w:val="left"/>
              <w:rPr>
                <w:rFonts w:ascii="宋体" w:hAnsi="宋体" w:eastAsia="宋体" w:cs="Times New Roman"/>
                <w:b w:val="0"/>
                <w:kern w:val="0"/>
                <w:sz w:val="24"/>
                <w:szCs w:val="24"/>
              </w:rPr>
            </w:pPr>
          </w:p>
        </w:tc>
      </w:tr>
      <w:tr w14:paraId="5867A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227F33B0">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7</w:t>
            </w:r>
          </w:p>
        </w:tc>
        <w:tc>
          <w:tcPr>
            <w:tcW w:w="1364" w:type="dxa"/>
            <w:vMerge w:val="continue"/>
            <w:vAlign w:val="center"/>
          </w:tcPr>
          <w:p w14:paraId="5A189B3E">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2946BD52">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漆色、标志等不符合要求</w:t>
            </w:r>
          </w:p>
        </w:tc>
        <w:tc>
          <w:tcPr>
            <w:tcW w:w="4714" w:type="dxa"/>
            <w:vAlign w:val="center"/>
          </w:tcPr>
          <w:p w14:paraId="791BC692">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按规定完善漆色、标志等</w:t>
            </w:r>
          </w:p>
        </w:tc>
        <w:tc>
          <w:tcPr>
            <w:tcW w:w="1530" w:type="dxa"/>
            <w:vMerge w:val="continue"/>
            <w:vAlign w:val="center"/>
          </w:tcPr>
          <w:p w14:paraId="2E254983">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1F9AAC02">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298BE419">
            <w:pPr>
              <w:spacing w:line="320" w:lineRule="exact"/>
              <w:ind w:left="0" w:leftChars="0" w:firstLine="0" w:firstLineChars="0"/>
              <w:jc w:val="left"/>
              <w:rPr>
                <w:rFonts w:ascii="宋体" w:hAnsi="宋体" w:eastAsia="宋体" w:cs="Times New Roman"/>
                <w:b w:val="0"/>
                <w:kern w:val="0"/>
                <w:sz w:val="24"/>
                <w:szCs w:val="24"/>
              </w:rPr>
            </w:pPr>
          </w:p>
        </w:tc>
      </w:tr>
      <w:tr w14:paraId="5F0C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03BA2921">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28</w:t>
            </w:r>
          </w:p>
        </w:tc>
        <w:tc>
          <w:tcPr>
            <w:tcW w:w="1364" w:type="dxa"/>
            <w:vMerge w:val="restart"/>
            <w:vAlign w:val="center"/>
          </w:tcPr>
          <w:p w14:paraId="58B27F8A">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安全附件和安全保护装置</w:t>
            </w:r>
          </w:p>
        </w:tc>
        <w:tc>
          <w:tcPr>
            <w:tcW w:w="3725" w:type="dxa"/>
            <w:vAlign w:val="center"/>
          </w:tcPr>
          <w:p w14:paraId="2E3C08EC">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安全阀的铅封、校验标签缺失，未在验有效期内；安全阀根部阀未常开。</w:t>
            </w:r>
          </w:p>
        </w:tc>
        <w:tc>
          <w:tcPr>
            <w:tcW w:w="4714" w:type="dxa"/>
            <w:vAlign w:val="center"/>
          </w:tcPr>
          <w:p w14:paraId="38DD4109">
            <w:pPr>
              <w:spacing w:line="320" w:lineRule="exact"/>
              <w:ind w:left="0" w:leftChars="0" w:firstLine="0" w:firstLineChars="0"/>
              <w:jc w:val="left"/>
              <w:rPr>
                <w:rFonts w:ascii="宋体" w:hAnsi="宋体" w:eastAsia="宋体" w:cs="Times New Roman"/>
                <w:b w:val="0"/>
                <w:kern w:val="0"/>
                <w:sz w:val="24"/>
                <w:szCs w:val="24"/>
              </w:rPr>
            </w:pPr>
            <w:r>
              <w:rPr>
                <w:rFonts w:ascii="宋体" w:hAnsi="宋体" w:eastAsia="宋体" w:cs="Times New Roman"/>
                <w:b w:val="0"/>
                <w:kern w:val="0"/>
                <w:sz w:val="24"/>
                <w:szCs w:val="24"/>
              </w:rPr>
              <w:t>1.</w:t>
            </w:r>
            <w:r>
              <w:rPr>
                <w:rFonts w:hint="eastAsia" w:ascii="宋体" w:hAnsi="宋体" w:eastAsia="宋体" w:cs="Times New Roman"/>
                <w:b w:val="0"/>
                <w:kern w:val="0"/>
                <w:sz w:val="24"/>
                <w:szCs w:val="24"/>
              </w:rPr>
              <w:t>重新校验安全阀；</w:t>
            </w:r>
            <w:r>
              <w:rPr>
                <w:rFonts w:ascii="宋体" w:hAnsi="宋体" w:eastAsia="宋体" w:cs="Times New Roman"/>
                <w:b w:val="0"/>
                <w:kern w:val="0"/>
                <w:sz w:val="24"/>
                <w:szCs w:val="24"/>
              </w:rPr>
              <w:br w:type="textWrapping"/>
            </w: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对安全阀铅封、校验标签采取保护措施；</w:t>
            </w:r>
            <w:r>
              <w:rPr>
                <w:rFonts w:ascii="宋体" w:hAnsi="宋体" w:eastAsia="宋体" w:cs="Times New Roman"/>
                <w:b w:val="0"/>
                <w:kern w:val="0"/>
                <w:sz w:val="24"/>
                <w:szCs w:val="24"/>
              </w:rPr>
              <w:br w:type="textWrapping"/>
            </w: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安全阀根部阀保持常开并锁定</w:t>
            </w:r>
          </w:p>
        </w:tc>
        <w:tc>
          <w:tcPr>
            <w:tcW w:w="1530" w:type="dxa"/>
            <w:vMerge w:val="restart"/>
            <w:vAlign w:val="center"/>
          </w:tcPr>
          <w:p w14:paraId="694FB257">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日管控</w:t>
            </w:r>
          </w:p>
        </w:tc>
        <w:tc>
          <w:tcPr>
            <w:tcW w:w="1185" w:type="dxa"/>
            <w:vMerge w:val="restart"/>
            <w:vAlign w:val="center"/>
          </w:tcPr>
          <w:p w14:paraId="6996DDEC">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安全员</w:t>
            </w:r>
          </w:p>
        </w:tc>
        <w:tc>
          <w:tcPr>
            <w:tcW w:w="872" w:type="dxa"/>
            <w:vAlign w:val="center"/>
          </w:tcPr>
          <w:p w14:paraId="48FF1C2D">
            <w:pPr>
              <w:spacing w:line="320" w:lineRule="exact"/>
              <w:ind w:left="0" w:leftChars="0" w:firstLine="0" w:firstLineChars="0"/>
              <w:jc w:val="left"/>
              <w:rPr>
                <w:rFonts w:ascii="宋体" w:hAnsi="宋体" w:eastAsia="宋体" w:cs="Times New Roman"/>
                <w:b w:val="0"/>
                <w:kern w:val="0"/>
                <w:sz w:val="24"/>
                <w:szCs w:val="24"/>
              </w:rPr>
            </w:pPr>
          </w:p>
        </w:tc>
      </w:tr>
      <w:tr w14:paraId="4C0E3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0EBA8BF0">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29</w:t>
            </w:r>
          </w:p>
        </w:tc>
        <w:tc>
          <w:tcPr>
            <w:tcW w:w="1364" w:type="dxa"/>
            <w:vMerge w:val="continue"/>
            <w:vAlign w:val="center"/>
          </w:tcPr>
          <w:p w14:paraId="211FF5CC">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7D39F703">
            <w:pPr>
              <w:widowControl/>
              <w:autoSpaceDE w:val="0"/>
              <w:autoSpaceDN w:val="0"/>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爆破片泄漏、反装，未定期更换</w:t>
            </w:r>
          </w:p>
        </w:tc>
        <w:tc>
          <w:tcPr>
            <w:tcW w:w="4714" w:type="dxa"/>
            <w:vAlign w:val="center"/>
          </w:tcPr>
          <w:p w14:paraId="13D60D8F">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查明泄漏原因并消除；</w:t>
            </w:r>
            <w:r>
              <w:rPr>
                <w:rFonts w:ascii="宋体" w:hAnsi="宋体" w:eastAsia="宋体" w:cs="Times New Roman"/>
                <w:b w:val="0"/>
                <w:kern w:val="0"/>
                <w:sz w:val="24"/>
                <w:szCs w:val="24"/>
              </w:rPr>
              <w:br w:type="textWrapping"/>
            </w: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确认爆破片的安装方向；</w:t>
            </w:r>
            <w:r>
              <w:rPr>
                <w:rFonts w:ascii="宋体" w:hAnsi="宋体" w:eastAsia="宋体" w:cs="Times New Roman"/>
                <w:b w:val="0"/>
                <w:kern w:val="0"/>
                <w:sz w:val="24"/>
                <w:szCs w:val="24"/>
              </w:rPr>
              <w:br w:type="textWrapping"/>
            </w: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.制定爆破片定期更换计划并实施</w:t>
            </w:r>
          </w:p>
        </w:tc>
        <w:tc>
          <w:tcPr>
            <w:tcW w:w="1530" w:type="dxa"/>
            <w:vMerge w:val="continue"/>
            <w:vAlign w:val="center"/>
          </w:tcPr>
          <w:p w14:paraId="75A01054">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10604FA6">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68A5DDF2">
            <w:pPr>
              <w:spacing w:line="320" w:lineRule="exact"/>
              <w:ind w:left="0" w:leftChars="0" w:firstLine="0" w:firstLineChars="0"/>
              <w:jc w:val="left"/>
              <w:rPr>
                <w:rFonts w:ascii="宋体" w:hAnsi="宋体" w:eastAsia="宋体" w:cs="Times New Roman"/>
                <w:b w:val="0"/>
                <w:kern w:val="0"/>
                <w:sz w:val="24"/>
                <w:szCs w:val="24"/>
              </w:rPr>
            </w:pPr>
          </w:p>
        </w:tc>
      </w:tr>
      <w:tr w14:paraId="2AFB4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805" w:type="dxa"/>
            <w:vAlign w:val="center"/>
          </w:tcPr>
          <w:p w14:paraId="0310FDD2">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30</w:t>
            </w:r>
          </w:p>
        </w:tc>
        <w:tc>
          <w:tcPr>
            <w:tcW w:w="1364" w:type="dxa"/>
            <w:vMerge w:val="continue"/>
            <w:vAlign w:val="center"/>
          </w:tcPr>
          <w:p w14:paraId="665323DE">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1CF796E3">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压力表选型错误、未在检定有效期内，刻度盘上无指示工作压力的红线，压力表损坏</w:t>
            </w:r>
          </w:p>
        </w:tc>
        <w:tc>
          <w:tcPr>
            <w:tcW w:w="4714" w:type="dxa"/>
            <w:vAlign w:val="center"/>
          </w:tcPr>
          <w:p w14:paraId="2ECD0361">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根据工况选取符合要求的压力表；</w:t>
            </w:r>
            <w:r>
              <w:rPr>
                <w:rFonts w:ascii="宋体" w:hAnsi="宋体" w:eastAsia="宋体" w:cs="Times New Roman"/>
                <w:b w:val="0"/>
                <w:kern w:val="0"/>
                <w:sz w:val="24"/>
                <w:szCs w:val="24"/>
              </w:rPr>
              <w:br w:type="textWrapping"/>
            </w:r>
            <w:r>
              <w:rPr>
                <w:rFonts w:hint="eastAsia" w:ascii="宋体" w:hAnsi="宋体" w:eastAsia="宋体" w:cs="Times New Roman"/>
                <w:b w:val="0"/>
                <w:kern w:val="0"/>
                <w:sz w:val="24"/>
                <w:szCs w:val="24"/>
              </w:rPr>
              <w:t>2</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制定压力表定期检定计划并实施；</w:t>
            </w:r>
            <w:r>
              <w:rPr>
                <w:rFonts w:ascii="宋体" w:hAnsi="宋体" w:eastAsia="宋体" w:cs="Times New Roman"/>
                <w:b w:val="0"/>
                <w:kern w:val="0"/>
                <w:sz w:val="24"/>
                <w:szCs w:val="24"/>
              </w:rPr>
              <w:br w:type="textWrapping"/>
            </w: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刻度盘上标出工作压力的红线；</w:t>
            </w:r>
            <w:r>
              <w:rPr>
                <w:rFonts w:ascii="宋体" w:hAnsi="宋体" w:eastAsia="宋体" w:cs="Times New Roman"/>
                <w:b w:val="0"/>
                <w:kern w:val="0"/>
                <w:sz w:val="24"/>
                <w:szCs w:val="24"/>
              </w:rPr>
              <w:br w:type="textWrapping"/>
            </w:r>
            <w:r>
              <w:rPr>
                <w:rFonts w:hint="eastAsia" w:ascii="宋体" w:hAnsi="宋体" w:eastAsia="宋体" w:cs="Times New Roman"/>
                <w:b w:val="0"/>
                <w:kern w:val="0"/>
                <w:sz w:val="24"/>
                <w:szCs w:val="24"/>
              </w:rPr>
              <w:t>4</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及时更换损坏的压力表</w:t>
            </w:r>
          </w:p>
        </w:tc>
        <w:tc>
          <w:tcPr>
            <w:tcW w:w="1530" w:type="dxa"/>
            <w:vMerge w:val="continue"/>
            <w:vAlign w:val="center"/>
          </w:tcPr>
          <w:p w14:paraId="0DE66DEE">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4FAA5FD8">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1E94B641">
            <w:pPr>
              <w:spacing w:line="320" w:lineRule="exact"/>
              <w:ind w:left="0" w:leftChars="0" w:firstLine="0" w:firstLineChars="0"/>
              <w:jc w:val="left"/>
              <w:rPr>
                <w:rFonts w:ascii="宋体" w:hAnsi="宋体" w:eastAsia="宋体" w:cs="Times New Roman"/>
                <w:b w:val="0"/>
                <w:kern w:val="0"/>
                <w:sz w:val="24"/>
                <w:szCs w:val="24"/>
              </w:rPr>
            </w:pPr>
          </w:p>
        </w:tc>
      </w:tr>
      <w:tr w14:paraId="70632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tcBorders>
              <w:bottom w:val="single" w:color="auto" w:sz="4" w:space="0"/>
            </w:tcBorders>
            <w:vAlign w:val="center"/>
          </w:tcPr>
          <w:p w14:paraId="3606E75E">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31</w:t>
            </w:r>
          </w:p>
        </w:tc>
        <w:tc>
          <w:tcPr>
            <w:tcW w:w="1364" w:type="dxa"/>
            <w:vMerge w:val="continue"/>
            <w:vAlign w:val="center"/>
          </w:tcPr>
          <w:p w14:paraId="7103BC1F">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5EEEC7F7">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阻火器泄漏、反装及其他异常情况</w:t>
            </w:r>
          </w:p>
        </w:tc>
        <w:tc>
          <w:tcPr>
            <w:tcW w:w="4714" w:type="dxa"/>
            <w:vAlign w:val="center"/>
          </w:tcPr>
          <w:p w14:paraId="2651D2A5">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查明泄漏原因并消除；</w:t>
            </w:r>
            <w:r>
              <w:rPr>
                <w:rFonts w:ascii="宋体" w:hAnsi="宋体" w:eastAsia="宋体" w:cs="Times New Roman"/>
                <w:b w:val="0"/>
                <w:kern w:val="0"/>
                <w:sz w:val="24"/>
                <w:szCs w:val="24"/>
              </w:rPr>
              <w:br w:type="textWrapping"/>
            </w:r>
            <w:r>
              <w:rPr>
                <w:rFonts w:ascii="宋体" w:hAnsi="宋体" w:eastAsia="宋体" w:cs="Times New Roman"/>
                <w:b w:val="0"/>
                <w:kern w:val="0"/>
                <w:sz w:val="24"/>
                <w:szCs w:val="24"/>
              </w:rPr>
              <w:t>2.</w:t>
            </w:r>
            <w:r>
              <w:rPr>
                <w:rFonts w:hint="eastAsia" w:ascii="宋体" w:hAnsi="宋体" w:eastAsia="宋体" w:cs="Times New Roman"/>
                <w:b w:val="0"/>
                <w:kern w:val="0"/>
                <w:sz w:val="24"/>
                <w:szCs w:val="24"/>
              </w:rPr>
              <w:t>确认阻火器的安装方向（限单向阻火器）</w:t>
            </w:r>
          </w:p>
        </w:tc>
        <w:tc>
          <w:tcPr>
            <w:tcW w:w="1530" w:type="dxa"/>
            <w:vMerge w:val="continue"/>
            <w:vAlign w:val="center"/>
          </w:tcPr>
          <w:p w14:paraId="167D5A89">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4C07E030">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2C684DFB">
            <w:pPr>
              <w:spacing w:line="320" w:lineRule="exact"/>
              <w:ind w:left="0" w:leftChars="0" w:firstLine="0" w:firstLineChars="0"/>
              <w:jc w:val="left"/>
              <w:rPr>
                <w:rFonts w:ascii="宋体" w:hAnsi="宋体" w:eastAsia="宋体" w:cs="Times New Roman"/>
                <w:b w:val="0"/>
                <w:kern w:val="0"/>
                <w:sz w:val="24"/>
                <w:szCs w:val="24"/>
              </w:rPr>
            </w:pPr>
          </w:p>
        </w:tc>
      </w:tr>
      <w:tr w14:paraId="40A24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exact"/>
          <w:jc w:val="center"/>
        </w:trPr>
        <w:tc>
          <w:tcPr>
            <w:tcW w:w="805" w:type="dxa"/>
            <w:tcBorders>
              <w:top w:val="single" w:color="auto" w:sz="4" w:space="0"/>
            </w:tcBorders>
            <w:vAlign w:val="center"/>
          </w:tcPr>
          <w:p w14:paraId="0EAADCDB">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32</w:t>
            </w:r>
          </w:p>
        </w:tc>
        <w:tc>
          <w:tcPr>
            <w:tcW w:w="1364" w:type="dxa"/>
            <w:vMerge w:val="continue"/>
            <w:vAlign w:val="center"/>
          </w:tcPr>
          <w:p w14:paraId="2BE79C9C">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226CA976">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紧急切断装置未定期调试，功能失效</w:t>
            </w:r>
          </w:p>
        </w:tc>
        <w:tc>
          <w:tcPr>
            <w:tcW w:w="4714" w:type="dxa"/>
            <w:vAlign w:val="center"/>
          </w:tcPr>
          <w:p w14:paraId="0A1E8CA0">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定期对紧急切断装置调试，确保功能有效；</w:t>
            </w:r>
            <w:r>
              <w:rPr>
                <w:rFonts w:ascii="宋体" w:hAnsi="宋体" w:eastAsia="宋体" w:cs="Times New Roman"/>
                <w:b w:val="0"/>
                <w:kern w:val="0"/>
                <w:sz w:val="24"/>
                <w:szCs w:val="24"/>
              </w:rPr>
              <w:br w:type="textWrapping"/>
            </w:r>
            <w:r>
              <w:rPr>
                <w:rFonts w:hint="eastAsia" w:ascii="宋体" w:hAnsi="宋体" w:eastAsia="宋体" w:cs="Times New Roman"/>
                <w:b w:val="0"/>
                <w:kern w:val="0"/>
                <w:sz w:val="24"/>
                <w:szCs w:val="24"/>
              </w:rPr>
              <w:t>2</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必要时对远控联锁功能进行测试</w:t>
            </w:r>
          </w:p>
        </w:tc>
        <w:tc>
          <w:tcPr>
            <w:tcW w:w="1530" w:type="dxa"/>
            <w:vMerge w:val="restart"/>
            <w:vAlign w:val="center"/>
          </w:tcPr>
          <w:p w14:paraId="371F3026">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周排查</w:t>
            </w:r>
          </w:p>
        </w:tc>
        <w:tc>
          <w:tcPr>
            <w:tcW w:w="1185" w:type="dxa"/>
            <w:vMerge w:val="restart"/>
            <w:vAlign w:val="center"/>
          </w:tcPr>
          <w:p w14:paraId="018EFAB3">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安全总监</w:t>
            </w:r>
          </w:p>
        </w:tc>
        <w:tc>
          <w:tcPr>
            <w:tcW w:w="872" w:type="dxa"/>
            <w:vAlign w:val="center"/>
          </w:tcPr>
          <w:p w14:paraId="79E41D48">
            <w:pPr>
              <w:spacing w:line="320" w:lineRule="exact"/>
              <w:ind w:left="0" w:leftChars="0" w:firstLine="0" w:firstLineChars="0"/>
              <w:jc w:val="left"/>
              <w:rPr>
                <w:rFonts w:ascii="宋体" w:hAnsi="宋体" w:eastAsia="宋体" w:cs="Times New Roman"/>
                <w:b w:val="0"/>
                <w:kern w:val="0"/>
                <w:sz w:val="24"/>
                <w:szCs w:val="24"/>
              </w:rPr>
            </w:pPr>
          </w:p>
        </w:tc>
      </w:tr>
      <w:tr w14:paraId="137E1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exact"/>
          <w:jc w:val="center"/>
        </w:trPr>
        <w:tc>
          <w:tcPr>
            <w:tcW w:w="805" w:type="dxa"/>
            <w:vAlign w:val="center"/>
          </w:tcPr>
          <w:p w14:paraId="34E1C45B">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33</w:t>
            </w:r>
          </w:p>
        </w:tc>
        <w:tc>
          <w:tcPr>
            <w:tcW w:w="1364" w:type="dxa"/>
            <w:vMerge w:val="continue"/>
            <w:vAlign w:val="center"/>
          </w:tcPr>
          <w:p w14:paraId="339823E5">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1EE13F24">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蠕胀测点或蠕胀量异常</w:t>
            </w:r>
          </w:p>
        </w:tc>
        <w:tc>
          <w:tcPr>
            <w:tcW w:w="4714" w:type="dxa"/>
            <w:vAlign w:val="center"/>
          </w:tcPr>
          <w:p w14:paraId="22255B9B">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修复蠕胀测点或蠕胀测量带；</w:t>
            </w:r>
            <w:r>
              <w:rPr>
                <w:rFonts w:ascii="宋体" w:hAnsi="宋体" w:eastAsia="宋体" w:cs="Times New Roman"/>
                <w:b w:val="0"/>
                <w:kern w:val="0"/>
                <w:sz w:val="24"/>
                <w:szCs w:val="24"/>
              </w:rPr>
              <w:br w:type="textWrapping"/>
            </w:r>
            <w:r>
              <w:rPr>
                <w:rFonts w:hint="eastAsia" w:ascii="宋体" w:hAnsi="宋体" w:eastAsia="宋体" w:cs="Times New Roman"/>
                <w:b w:val="0"/>
                <w:kern w:val="0"/>
                <w:sz w:val="24"/>
                <w:szCs w:val="24"/>
              </w:rPr>
              <w:t>2</w:t>
            </w:r>
            <w:r>
              <w:rPr>
                <w:rFonts w:ascii="宋体" w:hAnsi="宋体" w:eastAsia="宋体" w:cs="Times New Roman"/>
                <w:b w:val="0"/>
                <w:kern w:val="0"/>
                <w:sz w:val="24"/>
                <w:szCs w:val="24"/>
              </w:rPr>
              <w:t>.</w:t>
            </w:r>
            <w:r>
              <w:rPr>
                <w:rFonts w:hint="eastAsia" w:ascii="宋体" w:hAnsi="宋体" w:eastAsia="宋体" w:cs="Times New Roman"/>
                <w:b w:val="0"/>
                <w:kern w:val="0"/>
                <w:sz w:val="24"/>
                <w:szCs w:val="24"/>
              </w:rPr>
              <w:t>采取监控、隔离、维修等安全措施，并做好预案。</w:t>
            </w:r>
          </w:p>
        </w:tc>
        <w:tc>
          <w:tcPr>
            <w:tcW w:w="1530" w:type="dxa"/>
            <w:vMerge w:val="continue"/>
            <w:vAlign w:val="center"/>
          </w:tcPr>
          <w:p w14:paraId="1AA4308F">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428F5A34">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793B1844">
            <w:pPr>
              <w:spacing w:line="320" w:lineRule="exact"/>
              <w:ind w:left="0" w:leftChars="0" w:firstLine="0" w:firstLineChars="0"/>
              <w:jc w:val="left"/>
              <w:rPr>
                <w:rFonts w:ascii="宋体" w:hAnsi="宋体" w:eastAsia="宋体" w:cs="Times New Roman"/>
                <w:b w:val="0"/>
                <w:kern w:val="0"/>
                <w:sz w:val="24"/>
                <w:szCs w:val="24"/>
              </w:rPr>
            </w:pPr>
          </w:p>
        </w:tc>
      </w:tr>
      <w:tr w14:paraId="3CB42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805" w:type="dxa"/>
            <w:vAlign w:val="center"/>
          </w:tcPr>
          <w:p w14:paraId="4D95A634">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4</w:t>
            </w:r>
          </w:p>
        </w:tc>
        <w:tc>
          <w:tcPr>
            <w:tcW w:w="1364" w:type="dxa"/>
            <w:vMerge w:val="continue"/>
            <w:vAlign w:val="center"/>
          </w:tcPr>
          <w:p w14:paraId="6933AA46">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4D3C4663">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使用未取得生产许可生产或未经检验合格的压力管道（含压力管道元件）</w:t>
            </w:r>
          </w:p>
        </w:tc>
        <w:tc>
          <w:tcPr>
            <w:tcW w:w="4714" w:type="dxa"/>
            <w:vAlign w:val="center"/>
          </w:tcPr>
          <w:p w14:paraId="04C06609">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严格采购管理，使用取得生产许可并经检验合格的压力管道（含压力管道元件）</w:t>
            </w:r>
          </w:p>
        </w:tc>
        <w:tc>
          <w:tcPr>
            <w:tcW w:w="1530" w:type="dxa"/>
            <w:vAlign w:val="center"/>
          </w:tcPr>
          <w:p w14:paraId="25F71BCF">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月调度</w:t>
            </w:r>
          </w:p>
        </w:tc>
        <w:tc>
          <w:tcPr>
            <w:tcW w:w="1185" w:type="dxa"/>
            <w:vAlign w:val="center"/>
          </w:tcPr>
          <w:p w14:paraId="5A7C6086">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主要负责人</w:t>
            </w:r>
          </w:p>
        </w:tc>
        <w:tc>
          <w:tcPr>
            <w:tcW w:w="872" w:type="dxa"/>
            <w:vAlign w:val="center"/>
          </w:tcPr>
          <w:p w14:paraId="5DA2FD5B">
            <w:pPr>
              <w:spacing w:line="320" w:lineRule="exact"/>
              <w:ind w:left="0" w:leftChars="0" w:firstLine="0" w:firstLineChars="0"/>
              <w:jc w:val="left"/>
              <w:rPr>
                <w:rFonts w:ascii="宋体" w:hAnsi="宋体" w:eastAsia="宋体" w:cs="Times New Roman"/>
                <w:b w:val="0"/>
                <w:kern w:val="0"/>
                <w:sz w:val="24"/>
                <w:szCs w:val="24"/>
              </w:rPr>
            </w:pPr>
          </w:p>
        </w:tc>
      </w:tr>
      <w:tr w14:paraId="231BD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exact"/>
          <w:jc w:val="center"/>
        </w:trPr>
        <w:tc>
          <w:tcPr>
            <w:tcW w:w="805" w:type="dxa"/>
            <w:vAlign w:val="center"/>
          </w:tcPr>
          <w:p w14:paraId="33116E21">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35</w:t>
            </w:r>
          </w:p>
        </w:tc>
        <w:tc>
          <w:tcPr>
            <w:tcW w:w="1364" w:type="dxa"/>
            <w:vMerge w:val="continue"/>
            <w:vAlign w:val="center"/>
          </w:tcPr>
          <w:p w14:paraId="060C2566">
            <w:pPr>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5A776D01">
            <w:pPr>
              <w:widowControl/>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阴极保护装置失效</w:t>
            </w:r>
          </w:p>
        </w:tc>
        <w:tc>
          <w:tcPr>
            <w:tcW w:w="4714" w:type="dxa"/>
            <w:vAlign w:val="center"/>
          </w:tcPr>
          <w:p w14:paraId="41AEA9A6">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修复或加装阴极保护装置</w:t>
            </w:r>
          </w:p>
        </w:tc>
        <w:tc>
          <w:tcPr>
            <w:tcW w:w="1530" w:type="dxa"/>
            <w:vMerge w:val="restart"/>
            <w:vAlign w:val="center"/>
          </w:tcPr>
          <w:p w14:paraId="0D1C632C">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月调度</w:t>
            </w:r>
          </w:p>
        </w:tc>
        <w:tc>
          <w:tcPr>
            <w:tcW w:w="1185" w:type="dxa"/>
            <w:vMerge w:val="restart"/>
            <w:vAlign w:val="center"/>
          </w:tcPr>
          <w:p w14:paraId="7F933C09">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主要负责人</w:t>
            </w:r>
          </w:p>
        </w:tc>
        <w:tc>
          <w:tcPr>
            <w:tcW w:w="872" w:type="dxa"/>
            <w:vAlign w:val="center"/>
          </w:tcPr>
          <w:p w14:paraId="023EFD2C">
            <w:pPr>
              <w:spacing w:line="320" w:lineRule="exact"/>
              <w:ind w:left="0" w:leftChars="0" w:firstLine="0" w:firstLineChars="0"/>
              <w:jc w:val="left"/>
              <w:rPr>
                <w:rFonts w:ascii="宋体" w:hAnsi="宋体" w:eastAsia="宋体" w:cs="Times New Roman"/>
                <w:b w:val="0"/>
                <w:kern w:val="0"/>
                <w:sz w:val="24"/>
                <w:szCs w:val="24"/>
              </w:rPr>
            </w:pPr>
          </w:p>
        </w:tc>
      </w:tr>
      <w:tr w14:paraId="5AD0C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exact"/>
          <w:jc w:val="center"/>
        </w:trPr>
        <w:tc>
          <w:tcPr>
            <w:tcW w:w="805" w:type="dxa"/>
            <w:vAlign w:val="center"/>
          </w:tcPr>
          <w:p w14:paraId="431EA1E4">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36</w:t>
            </w:r>
          </w:p>
        </w:tc>
        <w:tc>
          <w:tcPr>
            <w:tcW w:w="1364" w:type="dxa"/>
            <w:vMerge w:val="continue"/>
            <w:vAlign w:val="center"/>
          </w:tcPr>
          <w:p w14:paraId="7E4DE50A">
            <w:pPr>
              <w:widowControl/>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4D912019">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测温仪表未定期校验</w:t>
            </w:r>
          </w:p>
        </w:tc>
        <w:tc>
          <w:tcPr>
            <w:tcW w:w="4714" w:type="dxa"/>
            <w:vAlign w:val="center"/>
          </w:tcPr>
          <w:p w14:paraId="27504B76">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制定测温仪表定期校验计划并实施</w:t>
            </w:r>
          </w:p>
        </w:tc>
        <w:tc>
          <w:tcPr>
            <w:tcW w:w="1530" w:type="dxa"/>
            <w:vMerge w:val="continue"/>
            <w:vAlign w:val="center"/>
          </w:tcPr>
          <w:p w14:paraId="496BC05B">
            <w:pPr>
              <w:spacing w:line="320" w:lineRule="exact"/>
              <w:ind w:left="0" w:leftChars="0" w:firstLine="0" w:firstLineChars="0"/>
              <w:jc w:val="left"/>
              <w:rPr>
                <w:rFonts w:ascii="宋体" w:hAnsi="宋体" w:eastAsia="宋体" w:cs="Times New Roman"/>
                <w:b w:val="0"/>
                <w:kern w:val="0"/>
                <w:sz w:val="24"/>
                <w:szCs w:val="24"/>
              </w:rPr>
            </w:pPr>
          </w:p>
        </w:tc>
        <w:tc>
          <w:tcPr>
            <w:tcW w:w="1185" w:type="dxa"/>
            <w:vMerge w:val="continue"/>
            <w:vAlign w:val="center"/>
          </w:tcPr>
          <w:p w14:paraId="7AEA55D8">
            <w:pPr>
              <w:spacing w:line="320" w:lineRule="exact"/>
              <w:ind w:left="0" w:leftChars="0" w:firstLine="0" w:firstLineChars="0"/>
              <w:jc w:val="left"/>
              <w:rPr>
                <w:rFonts w:ascii="宋体" w:hAnsi="宋体" w:eastAsia="宋体" w:cs="Times New Roman"/>
                <w:b w:val="0"/>
                <w:kern w:val="0"/>
                <w:sz w:val="24"/>
                <w:szCs w:val="24"/>
              </w:rPr>
            </w:pPr>
          </w:p>
        </w:tc>
        <w:tc>
          <w:tcPr>
            <w:tcW w:w="872" w:type="dxa"/>
            <w:vAlign w:val="center"/>
          </w:tcPr>
          <w:p w14:paraId="46D0B975">
            <w:pPr>
              <w:spacing w:line="320" w:lineRule="exact"/>
              <w:ind w:left="0" w:leftChars="0" w:firstLine="0" w:firstLineChars="0"/>
              <w:jc w:val="left"/>
              <w:rPr>
                <w:rFonts w:ascii="宋体" w:hAnsi="宋体" w:eastAsia="宋体" w:cs="Times New Roman"/>
                <w:b w:val="0"/>
                <w:kern w:val="0"/>
                <w:sz w:val="24"/>
                <w:szCs w:val="24"/>
              </w:rPr>
            </w:pPr>
          </w:p>
        </w:tc>
      </w:tr>
      <w:tr w14:paraId="329A8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8" w:hRule="atLeast"/>
          <w:jc w:val="center"/>
        </w:trPr>
        <w:tc>
          <w:tcPr>
            <w:tcW w:w="805" w:type="dxa"/>
            <w:vAlign w:val="center"/>
          </w:tcPr>
          <w:p w14:paraId="48D5B50F">
            <w:pPr>
              <w:widowControl/>
              <w:spacing w:line="320" w:lineRule="exact"/>
              <w:ind w:left="0" w:leftChars="0" w:firstLine="0" w:firstLineChars="0"/>
              <w:jc w:val="center"/>
              <w:rPr>
                <w:rFonts w:ascii="宋体" w:hAnsi="宋体" w:eastAsia="宋体" w:cs="Times New Roman"/>
                <w:b w:val="0"/>
                <w:kern w:val="0"/>
                <w:sz w:val="24"/>
                <w:szCs w:val="24"/>
              </w:rPr>
            </w:pPr>
            <w:r>
              <w:rPr>
                <w:rFonts w:ascii="宋体" w:hAnsi="宋体" w:eastAsia="宋体" w:cs="Times New Roman"/>
                <w:b w:val="0"/>
                <w:kern w:val="0"/>
                <w:sz w:val="24"/>
                <w:szCs w:val="24"/>
              </w:rPr>
              <w:t>3</w:t>
            </w:r>
            <w:r>
              <w:rPr>
                <w:rFonts w:hint="eastAsia" w:ascii="宋体" w:hAnsi="宋体" w:eastAsia="宋体" w:cs="Times New Roman"/>
                <w:b w:val="0"/>
                <w:kern w:val="0"/>
                <w:sz w:val="24"/>
                <w:szCs w:val="24"/>
              </w:rPr>
              <w:t>7</w:t>
            </w:r>
          </w:p>
        </w:tc>
        <w:tc>
          <w:tcPr>
            <w:tcW w:w="1364" w:type="dxa"/>
            <w:vMerge w:val="restart"/>
            <w:vAlign w:val="center"/>
          </w:tcPr>
          <w:p w14:paraId="40E1A539">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环境</w:t>
            </w:r>
          </w:p>
        </w:tc>
        <w:tc>
          <w:tcPr>
            <w:tcW w:w="3725" w:type="dxa"/>
            <w:vAlign w:val="center"/>
          </w:tcPr>
          <w:p w14:paraId="5C532CD6">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放空（气）阀和排污（水）阀位置设置不合理，存在异常集气、积液等情况</w:t>
            </w:r>
          </w:p>
        </w:tc>
        <w:tc>
          <w:tcPr>
            <w:tcW w:w="4714" w:type="dxa"/>
            <w:vAlign w:val="center"/>
          </w:tcPr>
          <w:p w14:paraId="58E5F08B">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放空（气）阀和排污（水）阀设置应符合相应规定</w:t>
            </w:r>
          </w:p>
        </w:tc>
        <w:tc>
          <w:tcPr>
            <w:tcW w:w="1530" w:type="dxa"/>
            <w:vAlign w:val="center"/>
          </w:tcPr>
          <w:p w14:paraId="232B089D">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周排查</w:t>
            </w:r>
          </w:p>
        </w:tc>
        <w:tc>
          <w:tcPr>
            <w:tcW w:w="1185" w:type="dxa"/>
            <w:vAlign w:val="center"/>
          </w:tcPr>
          <w:p w14:paraId="32E386A8">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安全总监</w:t>
            </w:r>
          </w:p>
        </w:tc>
        <w:tc>
          <w:tcPr>
            <w:tcW w:w="872" w:type="dxa"/>
            <w:vAlign w:val="center"/>
          </w:tcPr>
          <w:p w14:paraId="302E9595">
            <w:pPr>
              <w:spacing w:line="320" w:lineRule="exact"/>
              <w:ind w:left="0" w:leftChars="0" w:firstLine="0" w:firstLineChars="0"/>
              <w:jc w:val="left"/>
              <w:rPr>
                <w:rFonts w:ascii="宋体" w:hAnsi="宋体" w:eastAsia="宋体" w:cs="Times New Roman"/>
                <w:b w:val="0"/>
                <w:kern w:val="0"/>
                <w:sz w:val="24"/>
                <w:szCs w:val="24"/>
              </w:rPr>
            </w:pPr>
          </w:p>
        </w:tc>
      </w:tr>
      <w:tr w14:paraId="2C370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exact"/>
          <w:jc w:val="center"/>
        </w:trPr>
        <w:tc>
          <w:tcPr>
            <w:tcW w:w="805" w:type="dxa"/>
            <w:vAlign w:val="center"/>
          </w:tcPr>
          <w:p w14:paraId="7B2EA7D7">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38</w:t>
            </w:r>
          </w:p>
        </w:tc>
        <w:tc>
          <w:tcPr>
            <w:tcW w:w="1364" w:type="dxa"/>
            <w:vMerge w:val="continue"/>
            <w:vAlign w:val="center"/>
          </w:tcPr>
          <w:p w14:paraId="573A7A51">
            <w:pPr>
              <w:widowControl/>
              <w:spacing w:line="320" w:lineRule="exact"/>
              <w:ind w:left="0" w:leftChars="0" w:firstLine="0" w:firstLineChars="0"/>
              <w:jc w:val="center"/>
              <w:rPr>
                <w:rFonts w:ascii="宋体" w:hAnsi="宋体" w:eastAsia="宋体" w:cs="Times New Roman"/>
                <w:b w:val="0"/>
                <w:kern w:val="0"/>
                <w:sz w:val="24"/>
                <w:szCs w:val="24"/>
              </w:rPr>
            </w:pPr>
          </w:p>
        </w:tc>
        <w:tc>
          <w:tcPr>
            <w:tcW w:w="3725" w:type="dxa"/>
            <w:vAlign w:val="center"/>
          </w:tcPr>
          <w:p w14:paraId="095D1571">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压力管道的安全距离、安全防护措施不符合要求</w:t>
            </w:r>
          </w:p>
        </w:tc>
        <w:tc>
          <w:tcPr>
            <w:tcW w:w="4714" w:type="dxa"/>
            <w:vAlign w:val="center"/>
          </w:tcPr>
          <w:p w14:paraId="03A5F3C9">
            <w:pPr>
              <w:spacing w:line="320" w:lineRule="exact"/>
              <w:ind w:left="0" w:leftChars="0" w:firstLine="0" w:firstLineChars="0"/>
              <w:jc w:val="left"/>
              <w:rPr>
                <w:rFonts w:ascii="宋体" w:hAnsi="宋体" w:eastAsia="宋体" w:cs="Times New Roman"/>
                <w:b w:val="0"/>
                <w:kern w:val="0"/>
                <w:sz w:val="24"/>
                <w:szCs w:val="24"/>
              </w:rPr>
            </w:pPr>
            <w:r>
              <w:rPr>
                <w:rFonts w:hint="eastAsia" w:ascii="宋体" w:hAnsi="宋体" w:eastAsia="宋体" w:cs="Times New Roman"/>
                <w:b w:val="0"/>
                <w:kern w:val="0"/>
                <w:sz w:val="24"/>
                <w:szCs w:val="24"/>
              </w:rPr>
              <w:t>与特种设备安全相关的建筑物、附属设施，应当符合有关法律、行政法规和标准的要求</w:t>
            </w:r>
          </w:p>
        </w:tc>
        <w:tc>
          <w:tcPr>
            <w:tcW w:w="1530" w:type="dxa"/>
            <w:vAlign w:val="center"/>
          </w:tcPr>
          <w:p w14:paraId="739327F0">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月调度</w:t>
            </w:r>
          </w:p>
        </w:tc>
        <w:tc>
          <w:tcPr>
            <w:tcW w:w="1185" w:type="dxa"/>
            <w:vAlign w:val="center"/>
          </w:tcPr>
          <w:p w14:paraId="7E1EE999">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主要负责人</w:t>
            </w:r>
          </w:p>
        </w:tc>
        <w:tc>
          <w:tcPr>
            <w:tcW w:w="872" w:type="dxa"/>
            <w:vAlign w:val="center"/>
          </w:tcPr>
          <w:p w14:paraId="626471A2">
            <w:pPr>
              <w:spacing w:line="320" w:lineRule="exact"/>
              <w:ind w:left="0" w:leftChars="0" w:firstLine="0" w:firstLineChars="0"/>
              <w:jc w:val="left"/>
              <w:rPr>
                <w:rFonts w:ascii="宋体" w:hAnsi="宋体" w:eastAsia="宋体" w:cs="Times New Roman"/>
                <w:b w:val="0"/>
                <w:kern w:val="0"/>
                <w:sz w:val="24"/>
                <w:szCs w:val="24"/>
              </w:rPr>
            </w:pPr>
          </w:p>
        </w:tc>
      </w:tr>
      <w:tr w14:paraId="5B56C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jc w:val="center"/>
        </w:trPr>
        <w:tc>
          <w:tcPr>
            <w:tcW w:w="805" w:type="dxa"/>
            <w:vAlign w:val="center"/>
          </w:tcPr>
          <w:p w14:paraId="7833611A">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39</w:t>
            </w:r>
          </w:p>
        </w:tc>
        <w:tc>
          <w:tcPr>
            <w:tcW w:w="1364" w:type="dxa"/>
            <w:vAlign w:val="center"/>
          </w:tcPr>
          <w:p w14:paraId="3BD242ED">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政府监督、通报、预警</w:t>
            </w:r>
          </w:p>
        </w:tc>
        <w:tc>
          <w:tcPr>
            <w:tcW w:w="3725" w:type="dxa"/>
            <w:vAlign w:val="center"/>
          </w:tcPr>
          <w:p w14:paraId="7B234327">
            <w:pPr>
              <w:spacing w:line="320" w:lineRule="exact"/>
              <w:ind w:left="0" w:leftChars="0" w:firstLine="0" w:firstLineChars="0"/>
              <w:jc w:val="both"/>
              <w:rPr>
                <w:rFonts w:ascii="宋体" w:hAnsi="宋体" w:eastAsia="宋体" w:cs="Times New Roman"/>
                <w:b w:val="0"/>
                <w:kern w:val="0"/>
                <w:sz w:val="24"/>
                <w:szCs w:val="24"/>
              </w:rPr>
            </w:pPr>
            <w:r>
              <w:rPr>
                <w:rFonts w:hint="eastAsia" w:ascii="宋体" w:hAnsi="宋体" w:eastAsia="宋体" w:cs="Times New Roman"/>
                <w:b w:val="0"/>
                <w:kern w:val="0"/>
                <w:sz w:val="24"/>
                <w:szCs w:val="24"/>
              </w:rPr>
              <w:t>发现不合格项</w:t>
            </w:r>
          </w:p>
        </w:tc>
        <w:tc>
          <w:tcPr>
            <w:tcW w:w="4714" w:type="dxa"/>
            <w:vAlign w:val="center"/>
          </w:tcPr>
          <w:p w14:paraId="4B77763B">
            <w:pPr>
              <w:spacing w:line="320" w:lineRule="exact"/>
              <w:ind w:left="0" w:leftChars="0" w:firstLine="0" w:firstLineChars="0"/>
              <w:jc w:val="both"/>
              <w:rPr>
                <w:rFonts w:ascii="宋体" w:hAnsi="宋体" w:eastAsia="宋体" w:cs="Times New Roman"/>
                <w:b w:val="0"/>
                <w:kern w:val="0"/>
                <w:sz w:val="24"/>
                <w:szCs w:val="24"/>
              </w:rPr>
            </w:pPr>
            <w:r>
              <w:rPr>
                <w:rFonts w:ascii="宋体" w:hAnsi="宋体" w:eastAsia="宋体" w:cs="Times New Roman"/>
                <w:b w:val="0"/>
                <w:kern w:val="0"/>
                <w:sz w:val="24"/>
                <w:szCs w:val="24"/>
              </w:rPr>
              <w:t>记录，整改</w:t>
            </w:r>
          </w:p>
        </w:tc>
        <w:tc>
          <w:tcPr>
            <w:tcW w:w="1530" w:type="dxa"/>
            <w:vAlign w:val="center"/>
          </w:tcPr>
          <w:p w14:paraId="7D9E3D79">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周排查</w:t>
            </w:r>
          </w:p>
        </w:tc>
        <w:tc>
          <w:tcPr>
            <w:tcW w:w="1185" w:type="dxa"/>
            <w:vAlign w:val="center"/>
          </w:tcPr>
          <w:p w14:paraId="2D80E1FA">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安全总监</w:t>
            </w:r>
          </w:p>
        </w:tc>
        <w:tc>
          <w:tcPr>
            <w:tcW w:w="872" w:type="dxa"/>
            <w:vAlign w:val="center"/>
          </w:tcPr>
          <w:p w14:paraId="7B40B785">
            <w:pPr>
              <w:spacing w:line="320" w:lineRule="exact"/>
              <w:ind w:left="0" w:leftChars="0" w:firstLine="0" w:firstLineChars="0"/>
              <w:jc w:val="left"/>
              <w:rPr>
                <w:rFonts w:ascii="宋体" w:hAnsi="宋体" w:eastAsia="宋体" w:cs="Times New Roman"/>
                <w:b w:val="0"/>
                <w:kern w:val="0"/>
                <w:sz w:val="24"/>
                <w:szCs w:val="24"/>
              </w:rPr>
            </w:pPr>
          </w:p>
        </w:tc>
      </w:tr>
      <w:tr w14:paraId="5F294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jc w:val="center"/>
        </w:trPr>
        <w:tc>
          <w:tcPr>
            <w:tcW w:w="805" w:type="dxa"/>
            <w:vAlign w:val="center"/>
          </w:tcPr>
          <w:p w14:paraId="324D2868">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40</w:t>
            </w:r>
          </w:p>
        </w:tc>
        <w:tc>
          <w:tcPr>
            <w:tcW w:w="1364" w:type="dxa"/>
            <w:vAlign w:val="center"/>
          </w:tcPr>
          <w:p w14:paraId="0DAFD351">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投诉举报</w:t>
            </w:r>
          </w:p>
        </w:tc>
        <w:tc>
          <w:tcPr>
            <w:tcW w:w="3725" w:type="dxa"/>
            <w:vAlign w:val="center"/>
          </w:tcPr>
          <w:p w14:paraId="236998E1">
            <w:pPr>
              <w:spacing w:line="320" w:lineRule="exact"/>
              <w:ind w:left="0" w:leftChars="0" w:firstLine="0" w:firstLineChars="0"/>
              <w:jc w:val="both"/>
              <w:rPr>
                <w:rFonts w:ascii="宋体" w:hAnsi="宋体" w:eastAsia="宋体" w:cs="Times New Roman"/>
                <w:b w:val="0"/>
                <w:kern w:val="0"/>
                <w:sz w:val="24"/>
                <w:szCs w:val="24"/>
              </w:rPr>
            </w:pPr>
            <w:r>
              <w:rPr>
                <w:rFonts w:hint="eastAsia" w:ascii="宋体" w:hAnsi="宋体" w:eastAsia="宋体" w:cs="Times New Roman"/>
                <w:b w:val="0"/>
                <w:kern w:val="0"/>
                <w:sz w:val="24"/>
                <w:szCs w:val="24"/>
              </w:rPr>
              <w:t>发现不合格项</w:t>
            </w:r>
          </w:p>
        </w:tc>
        <w:tc>
          <w:tcPr>
            <w:tcW w:w="4714" w:type="dxa"/>
            <w:vAlign w:val="center"/>
          </w:tcPr>
          <w:p w14:paraId="5C78AF19">
            <w:pPr>
              <w:spacing w:line="320" w:lineRule="exact"/>
              <w:ind w:left="0" w:leftChars="0" w:firstLine="0" w:firstLineChars="0"/>
              <w:jc w:val="both"/>
              <w:rPr>
                <w:rFonts w:ascii="宋体" w:hAnsi="宋体" w:eastAsia="宋体" w:cs="Times New Roman"/>
                <w:b w:val="0"/>
                <w:kern w:val="0"/>
                <w:sz w:val="24"/>
                <w:szCs w:val="24"/>
              </w:rPr>
            </w:pPr>
            <w:r>
              <w:rPr>
                <w:rFonts w:ascii="宋体" w:hAnsi="宋体" w:eastAsia="宋体" w:cs="Times New Roman"/>
                <w:b w:val="0"/>
                <w:kern w:val="0"/>
                <w:sz w:val="24"/>
                <w:szCs w:val="24"/>
              </w:rPr>
              <w:t>记录，整改，消除安全隐患</w:t>
            </w:r>
          </w:p>
        </w:tc>
        <w:tc>
          <w:tcPr>
            <w:tcW w:w="1530" w:type="dxa"/>
            <w:vAlign w:val="center"/>
          </w:tcPr>
          <w:p w14:paraId="74D71473">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日管控</w:t>
            </w:r>
          </w:p>
        </w:tc>
        <w:tc>
          <w:tcPr>
            <w:tcW w:w="1185" w:type="dxa"/>
            <w:vAlign w:val="center"/>
          </w:tcPr>
          <w:p w14:paraId="2C2688B0">
            <w:pPr>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安全员</w:t>
            </w:r>
          </w:p>
        </w:tc>
        <w:tc>
          <w:tcPr>
            <w:tcW w:w="872" w:type="dxa"/>
            <w:vAlign w:val="center"/>
          </w:tcPr>
          <w:p w14:paraId="2F1DA7D0">
            <w:pPr>
              <w:spacing w:line="320" w:lineRule="exact"/>
              <w:ind w:left="0" w:leftChars="0" w:firstLine="0" w:firstLineChars="0"/>
              <w:jc w:val="left"/>
              <w:rPr>
                <w:rFonts w:ascii="宋体" w:hAnsi="宋体" w:eastAsia="宋体" w:cs="Times New Roman"/>
                <w:b w:val="0"/>
                <w:kern w:val="0"/>
                <w:sz w:val="24"/>
                <w:szCs w:val="24"/>
              </w:rPr>
            </w:pPr>
          </w:p>
        </w:tc>
      </w:tr>
      <w:tr w14:paraId="4F792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exact"/>
          <w:jc w:val="center"/>
        </w:trPr>
        <w:tc>
          <w:tcPr>
            <w:tcW w:w="805" w:type="dxa"/>
            <w:vAlign w:val="center"/>
          </w:tcPr>
          <w:p w14:paraId="15DF0529">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41</w:t>
            </w:r>
          </w:p>
        </w:tc>
        <w:tc>
          <w:tcPr>
            <w:tcW w:w="1364" w:type="dxa"/>
            <w:vAlign w:val="center"/>
          </w:tcPr>
          <w:p w14:paraId="210DC824">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舆情信息</w:t>
            </w:r>
          </w:p>
        </w:tc>
        <w:tc>
          <w:tcPr>
            <w:tcW w:w="3725" w:type="dxa"/>
            <w:vAlign w:val="center"/>
          </w:tcPr>
          <w:p w14:paraId="7586405D">
            <w:pPr>
              <w:widowControl/>
              <w:spacing w:line="320" w:lineRule="exact"/>
              <w:ind w:left="0" w:leftChars="0" w:firstLine="0" w:firstLineChars="0"/>
              <w:jc w:val="both"/>
              <w:rPr>
                <w:rFonts w:ascii="宋体" w:hAnsi="宋体" w:eastAsia="宋体" w:cs="Times New Roman"/>
                <w:b w:val="0"/>
                <w:kern w:val="0"/>
                <w:sz w:val="24"/>
                <w:szCs w:val="24"/>
              </w:rPr>
            </w:pPr>
            <w:r>
              <w:rPr>
                <w:rFonts w:hint="eastAsia" w:ascii="宋体" w:hAnsi="宋体" w:eastAsia="宋体" w:cs="Times New Roman"/>
                <w:b w:val="0"/>
                <w:kern w:val="0"/>
                <w:sz w:val="24"/>
                <w:szCs w:val="24"/>
              </w:rPr>
              <w:t>发现不合格项</w:t>
            </w:r>
          </w:p>
        </w:tc>
        <w:tc>
          <w:tcPr>
            <w:tcW w:w="4714" w:type="dxa"/>
            <w:vAlign w:val="center"/>
          </w:tcPr>
          <w:p w14:paraId="7F7FD10B">
            <w:pPr>
              <w:widowControl/>
              <w:spacing w:line="320" w:lineRule="exact"/>
              <w:ind w:left="0" w:leftChars="0" w:firstLine="0" w:firstLineChars="0"/>
              <w:jc w:val="both"/>
              <w:rPr>
                <w:rFonts w:ascii="宋体" w:hAnsi="宋体" w:eastAsia="宋体" w:cs="Times New Roman"/>
                <w:b w:val="0"/>
                <w:kern w:val="0"/>
                <w:sz w:val="24"/>
                <w:szCs w:val="24"/>
              </w:rPr>
            </w:pPr>
            <w:r>
              <w:rPr>
                <w:rFonts w:ascii="宋体" w:hAnsi="宋体" w:eastAsia="宋体" w:cs="Times New Roman"/>
                <w:b w:val="0"/>
                <w:kern w:val="0"/>
                <w:sz w:val="24"/>
                <w:szCs w:val="24"/>
              </w:rPr>
              <w:t>记录，整改</w:t>
            </w:r>
          </w:p>
        </w:tc>
        <w:tc>
          <w:tcPr>
            <w:tcW w:w="1530" w:type="dxa"/>
            <w:vAlign w:val="center"/>
          </w:tcPr>
          <w:p w14:paraId="3F190005">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日管控</w:t>
            </w:r>
          </w:p>
        </w:tc>
        <w:tc>
          <w:tcPr>
            <w:tcW w:w="1185" w:type="dxa"/>
            <w:vAlign w:val="center"/>
          </w:tcPr>
          <w:p w14:paraId="722A0965">
            <w:pPr>
              <w:widowControl/>
              <w:spacing w:line="320" w:lineRule="exact"/>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安全员</w:t>
            </w:r>
          </w:p>
        </w:tc>
        <w:tc>
          <w:tcPr>
            <w:tcW w:w="872" w:type="dxa"/>
            <w:vAlign w:val="center"/>
          </w:tcPr>
          <w:p w14:paraId="1113AD72">
            <w:pPr>
              <w:spacing w:line="320" w:lineRule="exact"/>
              <w:ind w:left="0" w:leftChars="0" w:firstLine="0" w:firstLineChars="0"/>
              <w:jc w:val="left"/>
              <w:rPr>
                <w:rFonts w:ascii="宋体" w:hAnsi="宋体" w:eastAsia="宋体" w:cs="Times New Roman"/>
                <w:b w:val="0"/>
                <w:kern w:val="0"/>
                <w:sz w:val="24"/>
                <w:szCs w:val="24"/>
              </w:rPr>
            </w:pPr>
          </w:p>
        </w:tc>
      </w:tr>
    </w:tbl>
    <w:p w14:paraId="4E424B2D">
      <w:pPr>
        <w:widowControl/>
        <w:spacing w:after="0"/>
        <w:ind w:firstLine="482" w:firstLineChars="200"/>
        <w:jc w:val="both"/>
        <w:rPr>
          <w:rFonts w:ascii="宋体" w:hAnsi="宋体" w:eastAsia="宋体" w:cs="宋体"/>
          <w:b/>
          <w:bCs/>
          <w:kern w:val="2"/>
          <w:sz w:val="24"/>
          <w:szCs w:val="24"/>
          <w:lang w:val="zh-CN" w:eastAsia="zh-CN" w:bidi="zh-CN"/>
        </w:rPr>
      </w:pPr>
      <w:r>
        <w:rPr>
          <w:rFonts w:hint="eastAsia" w:ascii="宋体" w:hAnsi="宋体" w:eastAsia="宋体" w:cs="宋体"/>
          <w:b/>
          <w:bCs/>
          <w:kern w:val="2"/>
          <w:sz w:val="24"/>
          <w:szCs w:val="24"/>
          <w:lang w:val="zh-CN" w:eastAsia="zh-CN" w:bidi="zh-CN"/>
        </w:rPr>
        <w:t>备注：本清单为推荐性格式，仅规定了应当进行日管控、周排查、月调度的基本项目，压力管道使用单位应当结合本单位实际，细化风险管控清单，合理调整管控形式。</w:t>
      </w:r>
    </w:p>
    <w:p w14:paraId="38C23FB8">
      <w:pPr>
        <w:rPr>
          <w:rFonts w:hint="eastAsia" w:ascii="宋体" w:hAnsi="宋体" w:eastAsia="宋体" w:cs="宋体"/>
          <w:b/>
          <w:bCs/>
          <w:sz w:val="36"/>
          <w:szCs w:val="36"/>
        </w:rPr>
      </w:pPr>
      <w:r>
        <w:rPr>
          <w:rFonts w:hint="eastAsia" w:ascii="宋体" w:hAnsi="宋体" w:eastAsia="宋体" w:cs="宋体"/>
          <w:b/>
          <w:bCs/>
          <w:sz w:val="36"/>
          <w:szCs w:val="36"/>
        </w:rPr>
        <w:br w:type="page"/>
      </w:r>
    </w:p>
    <w:p w14:paraId="0FBA0641">
      <w:pPr>
        <w:spacing w:line="240" w:lineRule="auto"/>
        <w:ind w:left="0" w:leftChars="0" w:firstLine="0" w:firstLineChars="0"/>
        <w:jc w:val="center"/>
        <w:rPr>
          <w:rFonts w:ascii="方正小标宋简体" w:hAnsi="方正小标宋简体" w:eastAsia="方正小标宋简体" w:cs="方正小标宋简体"/>
          <w:b w:val="0"/>
          <w:sz w:val="28"/>
          <w:szCs w:val="28"/>
        </w:rPr>
      </w:pPr>
      <w:r>
        <w:rPr>
          <w:rFonts w:hint="eastAsia" w:ascii="宋体" w:hAnsi="宋体" w:eastAsia="宋体" w:cs="宋体"/>
          <w:b/>
          <w:bCs/>
          <w:sz w:val="36"/>
          <w:szCs w:val="36"/>
        </w:rPr>
        <w:t>电梯安全风险管控清单</w:t>
      </w:r>
      <w:r>
        <w:rPr>
          <w:rFonts w:hint="eastAsia" w:ascii="Calibri" w:hAnsi="Calibri" w:eastAsia="宋体" w:cs="Times New Roman"/>
          <w:b/>
          <w:sz w:val="36"/>
          <w:szCs w:val="36"/>
          <w:lang w:eastAsia="zh-CN"/>
        </w:rPr>
        <w:t>（供参考）</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9"/>
        <w:gridCol w:w="1371"/>
        <w:gridCol w:w="3705"/>
        <w:gridCol w:w="3972"/>
        <w:gridCol w:w="1555"/>
        <w:gridCol w:w="1540"/>
        <w:gridCol w:w="1041"/>
      </w:tblGrid>
      <w:tr w14:paraId="61B87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0" w:type="auto"/>
            <w:shd w:val="clear" w:color="auto" w:fill="BEBEBE"/>
            <w:vAlign w:val="center"/>
          </w:tcPr>
          <w:p w14:paraId="03A622F9">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序号</w:t>
            </w:r>
          </w:p>
        </w:tc>
        <w:tc>
          <w:tcPr>
            <w:tcW w:w="1371" w:type="dxa"/>
            <w:shd w:val="clear" w:color="auto" w:fill="BEBEBE"/>
            <w:vAlign w:val="center"/>
          </w:tcPr>
          <w:p w14:paraId="4F750993">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风险类别</w:t>
            </w:r>
          </w:p>
        </w:tc>
        <w:tc>
          <w:tcPr>
            <w:tcW w:w="3705" w:type="dxa"/>
            <w:shd w:val="clear" w:color="auto" w:fill="BEBEBE"/>
            <w:vAlign w:val="center"/>
          </w:tcPr>
          <w:p w14:paraId="08509CD5">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风险指标</w:t>
            </w:r>
          </w:p>
        </w:tc>
        <w:tc>
          <w:tcPr>
            <w:tcW w:w="3972" w:type="dxa"/>
            <w:shd w:val="clear" w:color="auto" w:fill="BEBEBE"/>
            <w:vAlign w:val="center"/>
          </w:tcPr>
          <w:p w14:paraId="676E9082">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风险管控</w:t>
            </w:r>
            <w:r>
              <w:rPr>
                <w:rFonts w:ascii="宋体" w:hAnsi="宋体" w:eastAsia="宋体" w:cs="Times New Roman"/>
                <w:b/>
                <w:sz w:val="28"/>
                <w:szCs w:val="28"/>
              </w:rPr>
              <w:t>措施</w:t>
            </w:r>
          </w:p>
        </w:tc>
        <w:tc>
          <w:tcPr>
            <w:tcW w:w="1555" w:type="dxa"/>
            <w:shd w:val="clear" w:color="auto" w:fill="BEBEBE"/>
            <w:vAlign w:val="center"/>
          </w:tcPr>
          <w:p w14:paraId="4A9899B2">
            <w:pPr>
              <w:spacing w:line="240" w:lineRule="auto"/>
              <w:ind w:left="0" w:leftChars="0" w:firstLine="0" w:firstLineChars="0"/>
              <w:jc w:val="center"/>
              <w:rPr>
                <w:rFonts w:ascii="宋体" w:hAnsi="宋体" w:eastAsia="宋体" w:cs="Times New Roman"/>
                <w:b/>
                <w:sz w:val="24"/>
                <w:szCs w:val="24"/>
              </w:rPr>
            </w:pPr>
            <w:r>
              <w:rPr>
                <w:rFonts w:hint="eastAsia" w:ascii="宋体" w:hAnsi="宋体" w:eastAsia="宋体" w:cs="Times New Roman"/>
                <w:b/>
                <w:sz w:val="24"/>
                <w:szCs w:val="24"/>
              </w:rPr>
              <w:t>管控形式</w:t>
            </w:r>
          </w:p>
        </w:tc>
        <w:tc>
          <w:tcPr>
            <w:tcW w:w="1540" w:type="dxa"/>
            <w:shd w:val="clear" w:color="auto" w:fill="BEBEBE"/>
            <w:vAlign w:val="center"/>
          </w:tcPr>
          <w:p w14:paraId="6617B620">
            <w:pPr>
              <w:spacing w:line="240" w:lineRule="auto"/>
              <w:ind w:left="0" w:leftChars="0" w:firstLine="0" w:firstLineChars="0"/>
              <w:jc w:val="center"/>
              <w:rPr>
                <w:rFonts w:ascii="宋体" w:hAnsi="宋体" w:eastAsia="宋体" w:cs="Times New Roman"/>
                <w:b/>
                <w:sz w:val="24"/>
                <w:szCs w:val="24"/>
              </w:rPr>
            </w:pPr>
            <w:r>
              <w:rPr>
                <w:rFonts w:hint="eastAsia" w:ascii="宋体" w:hAnsi="宋体" w:eastAsia="宋体" w:cs="Times New Roman"/>
                <w:b/>
                <w:sz w:val="24"/>
                <w:szCs w:val="24"/>
              </w:rPr>
              <w:t>责任人</w:t>
            </w:r>
          </w:p>
        </w:tc>
        <w:tc>
          <w:tcPr>
            <w:tcW w:w="1041" w:type="dxa"/>
            <w:shd w:val="clear" w:color="auto" w:fill="BEBEBE"/>
          </w:tcPr>
          <w:p w14:paraId="075E1205">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备注</w:t>
            </w:r>
          </w:p>
        </w:tc>
      </w:tr>
      <w:tr w14:paraId="66825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0" w:type="auto"/>
            <w:vAlign w:val="center"/>
          </w:tcPr>
          <w:p w14:paraId="6346E916">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w:t>
            </w:r>
          </w:p>
        </w:tc>
        <w:tc>
          <w:tcPr>
            <w:tcW w:w="1371" w:type="dxa"/>
            <w:vMerge w:val="restart"/>
            <w:vAlign w:val="center"/>
          </w:tcPr>
          <w:p w14:paraId="44368646">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人员</w:t>
            </w:r>
          </w:p>
        </w:tc>
        <w:tc>
          <w:tcPr>
            <w:tcW w:w="3705" w:type="dxa"/>
            <w:vAlign w:val="center"/>
          </w:tcPr>
          <w:p w14:paraId="2A69915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未按规定配备安全管理人员和作业人员</w:t>
            </w:r>
          </w:p>
        </w:tc>
        <w:tc>
          <w:tcPr>
            <w:tcW w:w="3972" w:type="dxa"/>
            <w:vAlign w:val="center"/>
          </w:tcPr>
          <w:p w14:paraId="2D087E5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1.建立特种设备安全管理人员与作业人员管理制度；</w:t>
            </w:r>
          </w:p>
          <w:p w14:paraId="598530F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2.按规定配备相关人员。</w:t>
            </w:r>
          </w:p>
        </w:tc>
        <w:tc>
          <w:tcPr>
            <w:tcW w:w="1555" w:type="dxa"/>
            <w:vAlign w:val="center"/>
          </w:tcPr>
          <w:p w14:paraId="608D1DF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540" w:type="dxa"/>
            <w:vAlign w:val="center"/>
          </w:tcPr>
          <w:p w14:paraId="4386821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41" w:type="dxa"/>
          </w:tcPr>
          <w:p w14:paraId="4A894F1C">
            <w:pPr>
              <w:spacing w:line="240" w:lineRule="auto"/>
              <w:ind w:left="0" w:leftChars="0" w:firstLine="0" w:firstLineChars="0"/>
              <w:jc w:val="both"/>
              <w:rPr>
                <w:rFonts w:ascii="宋体" w:hAnsi="宋体" w:eastAsia="宋体" w:cs="Times New Roman"/>
                <w:b w:val="0"/>
                <w:sz w:val="21"/>
                <w:szCs w:val="21"/>
              </w:rPr>
            </w:pPr>
          </w:p>
        </w:tc>
      </w:tr>
      <w:tr w14:paraId="784C1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0" w:type="auto"/>
            <w:vAlign w:val="center"/>
          </w:tcPr>
          <w:p w14:paraId="71C29A35">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w:t>
            </w:r>
          </w:p>
        </w:tc>
        <w:tc>
          <w:tcPr>
            <w:tcW w:w="1371" w:type="dxa"/>
            <w:vMerge w:val="continue"/>
            <w:vAlign w:val="center"/>
          </w:tcPr>
          <w:p w14:paraId="31B8AB0D">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2A696FB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作业人员未持有相应资格证件</w:t>
            </w:r>
          </w:p>
        </w:tc>
        <w:tc>
          <w:tcPr>
            <w:tcW w:w="3972" w:type="dxa"/>
            <w:vAlign w:val="center"/>
          </w:tcPr>
          <w:p w14:paraId="3FFA72AB">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配备具有相应职责资质的作业人员，加强资格证的换证管理</w:t>
            </w:r>
          </w:p>
        </w:tc>
        <w:tc>
          <w:tcPr>
            <w:tcW w:w="1555" w:type="dxa"/>
            <w:vAlign w:val="center"/>
          </w:tcPr>
          <w:p w14:paraId="570D76E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540" w:type="dxa"/>
            <w:vAlign w:val="center"/>
          </w:tcPr>
          <w:p w14:paraId="1633E85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35EB01EE">
            <w:pPr>
              <w:spacing w:line="240" w:lineRule="auto"/>
              <w:ind w:left="0" w:leftChars="0" w:firstLine="0" w:firstLineChars="0"/>
              <w:jc w:val="both"/>
              <w:rPr>
                <w:rFonts w:ascii="宋体" w:hAnsi="宋体" w:eastAsia="宋体" w:cs="Times New Roman"/>
                <w:b w:val="0"/>
                <w:sz w:val="21"/>
                <w:szCs w:val="21"/>
              </w:rPr>
            </w:pPr>
          </w:p>
        </w:tc>
      </w:tr>
      <w:tr w14:paraId="256D7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0" w:type="auto"/>
            <w:vAlign w:val="center"/>
          </w:tcPr>
          <w:p w14:paraId="24740DDD">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3</w:t>
            </w:r>
          </w:p>
        </w:tc>
        <w:tc>
          <w:tcPr>
            <w:tcW w:w="1371" w:type="dxa"/>
            <w:vMerge w:val="continue"/>
            <w:vAlign w:val="center"/>
          </w:tcPr>
          <w:p w14:paraId="5186B432">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482DA8A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未按规定对安全管理人员和作业人员开展安全教育培训</w:t>
            </w:r>
          </w:p>
        </w:tc>
        <w:tc>
          <w:tcPr>
            <w:tcW w:w="3972" w:type="dxa"/>
            <w:vAlign w:val="center"/>
          </w:tcPr>
          <w:p w14:paraId="54C525EE">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按规定开展安全培训教育</w:t>
            </w:r>
          </w:p>
        </w:tc>
        <w:tc>
          <w:tcPr>
            <w:tcW w:w="1555" w:type="dxa"/>
            <w:vAlign w:val="center"/>
          </w:tcPr>
          <w:p w14:paraId="5279A46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540" w:type="dxa"/>
            <w:vAlign w:val="center"/>
          </w:tcPr>
          <w:p w14:paraId="2092D74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7BCE42F3">
            <w:pPr>
              <w:spacing w:line="240" w:lineRule="auto"/>
              <w:ind w:left="0" w:leftChars="0" w:firstLine="0" w:firstLineChars="0"/>
              <w:jc w:val="both"/>
              <w:rPr>
                <w:rFonts w:ascii="宋体" w:hAnsi="宋体" w:eastAsia="宋体" w:cs="Times New Roman"/>
                <w:b w:val="0"/>
                <w:sz w:val="21"/>
                <w:szCs w:val="21"/>
              </w:rPr>
            </w:pPr>
          </w:p>
        </w:tc>
      </w:tr>
      <w:tr w14:paraId="3CA34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0" w:type="auto"/>
            <w:vAlign w:val="center"/>
          </w:tcPr>
          <w:p w14:paraId="13ED5A4E">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4</w:t>
            </w:r>
          </w:p>
        </w:tc>
        <w:tc>
          <w:tcPr>
            <w:tcW w:w="1371" w:type="dxa"/>
            <w:vMerge w:val="continue"/>
            <w:vAlign w:val="center"/>
          </w:tcPr>
          <w:p w14:paraId="3246C58B">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1719FD2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作业人员违章作业或到岗值守情况不符合要求</w:t>
            </w:r>
          </w:p>
        </w:tc>
        <w:tc>
          <w:tcPr>
            <w:tcW w:w="3972" w:type="dxa"/>
            <w:vAlign w:val="center"/>
          </w:tcPr>
          <w:p w14:paraId="1F6E6B4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检查电梯巡检人员到岗值守情况，纠正和制止违章作业行为</w:t>
            </w:r>
          </w:p>
        </w:tc>
        <w:tc>
          <w:tcPr>
            <w:tcW w:w="1555" w:type="dxa"/>
            <w:vAlign w:val="center"/>
          </w:tcPr>
          <w:p w14:paraId="53E1F7D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540" w:type="dxa"/>
            <w:vAlign w:val="center"/>
          </w:tcPr>
          <w:p w14:paraId="52943E1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41" w:type="dxa"/>
          </w:tcPr>
          <w:p w14:paraId="4704C217">
            <w:pPr>
              <w:spacing w:line="240" w:lineRule="auto"/>
              <w:ind w:left="0" w:leftChars="0" w:firstLine="0" w:firstLineChars="0"/>
              <w:jc w:val="both"/>
              <w:rPr>
                <w:rFonts w:ascii="宋体" w:hAnsi="宋体" w:eastAsia="宋体" w:cs="Times New Roman"/>
                <w:b w:val="0"/>
                <w:sz w:val="21"/>
                <w:szCs w:val="21"/>
              </w:rPr>
            </w:pPr>
          </w:p>
        </w:tc>
      </w:tr>
      <w:tr w14:paraId="571D0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0" w:type="auto"/>
            <w:vAlign w:val="center"/>
          </w:tcPr>
          <w:p w14:paraId="279F7D76">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5</w:t>
            </w:r>
          </w:p>
        </w:tc>
        <w:tc>
          <w:tcPr>
            <w:tcW w:w="1371" w:type="dxa"/>
            <w:vMerge w:val="restart"/>
            <w:vAlign w:val="center"/>
          </w:tcPr>
          <w:p w14:paraId="7177615B">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kern w:val="0"/>
                <w:sz w:val="24"/>
                <w:szCs w:val="22"/>
              </w:rPr>
              <w:t>管理</w:t>
            </w:r>
          </w:p>
        </w:tc>
        <w:tc>
          <w:tcPr>
            <w:tcW w:w="3705" w:type="dxa"/>
            <w:vAlign w:val="center"/>
          </w:tcPr>
          <w:p w14:paraId="7C995BA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未按规定设置安全管理机构</w:t>
            </w:r>
          </w:p>
        </w:tc>
        <w:tc>
          <w:tcPr>
            <w:tcW w:w="3972" w:type="dxa"/>
            <w:vAlign w:val="center"/>
          </w:tcPr>
          <w:p w14:paraId="09004068">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根据使用的特种设备种类和数量，设置专门的安全管理机构。</w:t>
            </w:r>
          </w:p>
        </w:tc>
        <w:tc>
          <w:tcPr>
            <w:tcW w:w="1555" w:type="dxa"/>
            <w:vAlign w:val="center"/>
          </w:tcPr>
          <w:p w14:paraId="2003105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540" w:type="dxa"/>
            <w:vAlign w:val="center"/>
          </w:tcPr>
          <w:p w14:paraId="40F8D2A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41" w:type="dxa"/>
          </w:tcPr>
          <w:p w14:paraId="533BD478">
            <w:pPr>
              <w:spacing w:line="240" w:lineRule="auto"/>
              <w:ind w:left="0" w:leftChars="0" w:firstLine="0" w:firstLineChars="0"/>
              <w:jc w:val="both"/>
              <w:rPr>
                <w:rFonts w:ascii="宋体" w:hAnsi="宋体" w:eastAsia="宋体" w:cs="Times New Roman"/>
                <w:b w:val="0"/>
                <w:sz w:val="21"/>
                <w:szCs w:val="21"/>
              </w:rPr>
            </w:pPr>
          </w:p>
        </w:tc>
      </w:tr>
      <w:tr w14:paraId="5E694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0" w:type="auto"/>
            <w:vAlign w:val="center"/>
          </w:tcPr>
          <w:p w14:paraId="2CD68B3D">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6</w:t>
            </w:r>
          </w:p>
        </w:tc>
        <w:tc>
          <w:tcPr>
            <w:tcW w:w="1371" w:type="dxa"/>
            <w:vMerge w:val="continue"/>
            <w:vAlign w:val="center"/>
          </w:tcPr>
          <w:p w14:paraId="3EBA631C">
            <w:pPr>
              <w:spacing w:line="240" w:lineRule="auto"/>
              <w:ind w:left="0" w:leftChars="0" w:firstLine="0" w:firstLineChars="0"/>
              <w:jc w:val="center"/>
              <w:rPr>
                <w:rFonts w:ascii="宋体" w:hAnsi="宋体" w:eastAsia="宋体" w:cs="Times New Roman"/>
                <w:b w:val="0"/>
                <w:kern w:val="0"/>
                <w:sz w:val="24"/>
                <w:szCs w:val="22"/>
              </w:rPr>
            </w:pPr>
          </w:p>
        </w:tc>
        <w:tc>
          <w:tcPr>
            <w:tcW w:w="3705" w:type="dxa"/>
            <w:vAlign w:val="center"/>
          </w:tcPr>
          <w:p w14:paraId="00C9CEE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kern w:val="0"/>
                <w:sz w:val="24"/>
                <w:szCs w:val="22"/>
              </w:rPr>
              <w:t>未建立电梯</w:t>
            </w:r>
            <w:r>
              <w:rPr>
                <w:rFonts w:ascii="宋体" w:hAnsi="宋体" w:eastAsia="宋体" w:cs="Times New Roman"/>
                <w:b w:val="0"/>
                <w:sz w:val="24"/>
                <w:szCs w:val="22"/>
              </w:rPr>
              <w:t>使用安全管理制度</w:t>
            </w:r>
          </w:p>
        </w:tc>
        <w:tc>
          <w:tcPr>
            <w:tcW w:w="3972" w:type="dxa"/>
            <w:vAlign w:val="center"/>
          </w:tcPr>
          <w:p w14:paraId="0FDFE937">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制定电梯安全管理机构和相关人员岗位职责；</w:t>
            </w:r>
          </w:p>
          <w:p w14:paraId="2A738BCB">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制定《电梯安全总监职责》《电梯安全员守则》《电梯安全日管控、周排查、月调度管理制度》；</w:t>
            </w:r>
          </w:p>
          <w:p w14:paraId="7F8A9E1D">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3.按《特种设备使用管理规则》建立电梯使用安全和节能管理制度 。</w:t>
            </w:r>
          </w:p>
        </w:tc>
        <w:tc>
          <w:tcPr>
            <w:tcW w:w="1555" w:type="dxa"/>
            <w:vAlign w:val="center"/>
          </w:tcPr>
          <w:p w14:paraId="38BC676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540" w:type="dxa"/>
            <w:vAlign w:val="center"/>
          </w:tcPr>
          <w:p w14:paraId="53E10BF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3C438949">
            <w:pPr>
              <w:spacing w:line="240" w:lineRule="auto"/>
              <w:ind w:left="0" w:leftChars="0" w:firstLine="0" w:firstLineChars="0"/>
              <w:jc w:val="both"/>
              <w:rPr>
                <w:rFonts w:ascii="宋体" w:hAnsi="宋体" w:eastAsia="宋体" w:cs="Times New Roman"/>
                <w:b w:val="0"/>
                <w:sz w:val="21"/>
                <w:szCs w:val="21"/>
              </w:rPr>
            </w:pPr>
          </w:p>
        </w:tc>
      </w:tr>
      <w:tr w14:paraId="5A305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0" w:type="auto"/>
            <w:vAlign w:val="center"/>
          </w:tcPr>
          <w:p w14:paraId="1F0D9269">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7</w:t>
            </w:r>
          </w:p>
        </w:tc>
        <w:tc>
          <w:tcPr>
            <w:tcW w:w="1371" w:type="dxa"/>
            <w:vMerge w:val="continue"/>
            <w:vAlign w:val="center"/>
          </w:tcPr>
          <w:p w14:paraId="63D32AB2">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650EEA10">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未建立安全技术档案</w:t>
            </w:r>
          </w:p>
        </w:tc>
        <w:tc>
          <w:tcPr>
            <w:tcW w:w="3972" w:type="dxa"/>
            <w:vAlign w:val="center"/>
          </w:tcPr>
          <w:p w14:paraId="257D3721">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1.建立电梯安全技术档案管理制度，明确档案内容及管理要求；</w:t>
            </w:r>
          </w:p>
          <w:p w14:paraId="529810E9">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 xml:space="preserve">2.按规定逐台建立安全技术档案并及时更新安全技术档案。 </w:t>
            </w:r>
          </w:p>
        </w:tc>
        <w:tc>
          <w:tcPr>
            <w:tcW w:w="1555" w:type="dxa"/>
            <w:vAlign w:val="center"/>
          </w:tcPr>
          <w:p w14:paraId="614E1BB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540" w:type="dxa"/>
            <w:vAlign w:val="center"/>
          </w:tcPr>
          <w:p w14:paraId="57F0A5B3">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7B644CFD">
            <w:pPr>
              <w:spacing w:line="240" w:lineRule="auto"/>
              <w:ind w:left="0" w:leftChars="0" w:firstLine="0" w:firstLineChars="0"/>
              <w:jc w:val="both"/>
              <w:rPr>
                <w:rFonts w:ascii="宋体" w:hAnsi="宋体" w:eastAsia="宋体" w:cs="Times New Roman"/>
                <w:b w:val="0"/>
                <w:sz w:val="21"/>
                <w:szCs w:val="21"/>
              </w:rPr>
            </w:pPr>
          </w:p>
        </w:tc>
      </w:tr>
      <w:tr w14:paraId="07AC8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0" w:type="auto"/>
            <w:vAlign w:val="center"/>
          </w:tcPr>
          <w:p w14:paraId="18F9D18A">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8</w:t>
            </w:r>
          </w:p>
        </w:tc>
        <w:tc>
          <w:tcPr>
            <w:tcW w:w="1371" w:type="dxa"/>
            <w:vMerge w:val="continue"/>
            <w:vAlign w:val="center"/>
          </w:tcPr>
          <w:p w14:paraId="5406B53A">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211F9CCB">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未按规定办理使用登记、变更登记及停用、报废等手续</w:t>
            </w:r>
          </w:p>
        </w:tc>
        <w:tc>
          <w:tcPr>
            <w:tcW w:w="3972" w:type="dxa"/>
            <w:vAlign w:val="center"/>
          </w:tcPr>
          <w:p w14:paraId="4B04D356">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1.建立使用管理制度和规程，明确相关内容及安全管理要求；</w:t>
            </w:r>
          </w:p>
          <w:p w14:paraId="495E5AC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 按规定办理使用登记、变更登记及停用、报废手续。</w:t>
            </w:r>
          </w:p>
        </w:tc>
        <w:tc>
          <w:tcPr>
            <w:tcW w:w="1555" w:type="dxa"/>
            <w:vAlign w:val="center"/>
          </w:tcPr>
          <w:p w14:paraId="173465B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540" w:type="dxa"/>
            <w:vAlign w:val="center"/>
          </w:tcPr>
          <w:p w14:paraId="1FCFD10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1C1B60A0">
            <w:pPr>
              <w:spacing w:line="240" w:lineRule="auto"/>
              <w:ind w:left="0" w:leftChars="0" w:firstLine="0" w:firstLineChars="0"/>
              <w:jc w:val="both"/>
              <w:rPr>
                <w:rFonts w:ascii="宋体" w:hAnsi="宋体" w:eastAsia="宋体" w:cs="Times New Roman"/>
                <w:b w:val="0"/>
                <w:sz w:val="21"/>
                <w:szCs w:val="21"/>
              </w:rPr>
            </w:pPr>
          </w:p>
        </w:tc>
      </w:tr>
      <w:tr w14:paraId="77A3E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0" w:type="auto"/>
            <w:vAlign w:val="center"/>
          </w:tcPr>
          <w:p w14:paraId="4193CCE4">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9</w:t>
            </w:r>
          </w:p>
        </w:tc>
        <w:tc>
          <w:tcPr>
            <w:tcW w:w="1371" w:type="dxa"/>
            <w:vMerge w:val="continue"/>
            <w:vAlign w:val="center"/>
          </w:tcPr>
          <w:p w14:paraId="47BCB28B">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4E777EE0">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未按规定制定电梯事故应急专项预案并定期演练</w:t>
            </w:r>
          </w:p>
        </w:tc>
        <w:tc>
          <w:tcPr>
            <w:tcW w:w="3972" w:type="dxa"/>
            <w:vAlign w:val="center"/>
          </w:tcPr>
          <w:p w14:paraId="11E249C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制定电梯事故应急专项预案并每年至少开展1次演练</w:t>
            </w:r>
          </w:p>
        </w:tc>
        <w:tc>
          <w:tcPr>
            <w:tcW w:w="1555" w:type="dxa"/>
            <w:vAlign w:val="center"/>
          </w:tcPr>
          <w:p w14:paraId="0E7A2E8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540" w:type="dxa"/>
            <w:vAlign w:val="center"/>
          </w:tcPr>
          <w:p w14:paraId="6F519DC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41" w:type="dxa"/>
          </w:tcPr>
          <w:p w14:paraId="3C3E7DBB">
            <w:pPr>
              <w:spacing w:line="240" w:lineRule="auto"/>
              <w:ind w:left="0" w:leftChars="0" w:firstLine="0" w:firstLineChars="0"/>
              <w:jc w:val="both"/>
              <w:rPr>
                <w:rFonts w:ascii="宋体" w:hAnsi="宋体" w:eastAsia="宋体" w:cs="Times New Roman"/>
                <w:b w:val="0"/>
                <w:sz w:val="21"/>
                <w:szCs w:val="21"/>
              </w:rPr>
            </w:pPr>
          </w:p>
        </w:tc>
      </w:tr>
      <w:tr w14:paraId="1EC35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0" w:type="auto"/>
            <w:vAlign w:val="center"/>
          </w:tcPr>
          <w:p w14:paraId="4350E155">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10</w:t>
            </w:r>
          </w:p>
        </w:tc>
        <w:tc>
          <w:tcPr>
            <w:tcW w:w="1371" w:type="dxa"/>
            <w:vMerge w:val="continue"/>
            <w:vAlign w:val="center"/>
          </w:tcPr>
          <w:p w14:paraId="7D5ECA85">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3ED9B53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电梯维护保养单位未按规定取得相应的许可资质</w:t>
            </w:r>
          </w:p>
        </w:tc>
        <w:tc>
          <w:tcPr>
            <w:tcW w:w="3972" w:type="dxa"/>
            <w:vAlign w:val="center"/>
          </w:tcPr>
          <w:p w14:paraId="1FFD133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查看电梯维护保养单位的资质应覆盖本单位电梯</w:t>
            </w:r>
          </w:p>
        </w:tc>
        <w:tc>
          <w:tcPr>
            <w:tcW w:w="1555" w:type="dxa"/>
            <w:vAlign w:val="center"/>
          </w:tcPr>
          <w:p w14:paraId="2D6879C4">
            <w:pPr>
              <w:spacing w:line="240" w:lineRule="auto"/>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月调度</w:t>
            </w:r>
          </w:p>
        </w:tc>
        <w:tc>
          <w:tcPr>
            <w:tcW w:w="1540" w:type="dxa"/>
            <w:vAlign w:val="center"/>
          </w:tcPr>
          <w:p w14:paraId="7710B8A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50B37357">
            <w:pPr>
              <w:spacing w:line="240" w:lineRule="auto"/>
              <w:ind w:left="0" w:leftChars="0" w:firstLine="0" w:firstLineChars="0"/>
              <w:jc w:val="both"/>
              <w:rPr>
                <w:rFonts w:ascii="宋体" w:hAnsi="宋体" w:eastAsia="宋体" w:cs="Times New Roman"/>
                <w:b w:val="0"/>
                <w:sz w:val="21"/>
                <w:szCs w:val="21"/>
              </w:rPr>
            </w:pPr>
          </w:p>
        </w:tc>
      </w:tr>
      <w:tr w14:paraId="124EB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0" w:type="auto"/>
            <w:vAlign w:val="center"/>
          </w:tcPr>
          <w:p w14:paraId="664655C6">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11</w:t>
            </w:r>
          </w:p>
        </w:tc>
        <w:tc>
          <w:tcPr>
            <w:tcW w:w="1371" w:type="dxa"/>
            <w:vMerge w:val="restart"/>
            <w:vAlign w:val="center"/>
          </w:tcPr>
          <w:p w14:paraId="6374A4EC">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设备</w:t>
            </w:r>
          </w:p>
        </w:tc>
        <w:tc>
          <w:tcPr>
            <w:tcW w:w="3705" w:type="dxa"/>
            <w:vAlign w:val="center"/>
          </w:tcPr>
          <w:p w14:paraId="552E764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选用国家明令禁止或淘汰的电梯产品</w:t>
            </w:r>
          </w:p>
        </w:tc>
        <w:tc>
          <w:tcPr>
            <w:tcW w:w="3972" w:type="dxa"/>
            <w:vAlign w:val="center"/>
          </w:tcPr>
          <w:p w14:paraId="6250FC82">
            <w:pPr>
              <w:widowControl w:val="0"/>
              <w:ind w:firstLine="0" w:firstLineChars="0"/>
              <w:jc w:val="both"/>
              <w:rPr>
                <w:rFonts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建立采购管理制度，明确采购、验收要求</w:t>
            </w:r>
          </w:p>
        </w:tc>
        <w:tc>
          <w:tcPr>
            <w:tcW w:w="1555" w:type="dxa"/>
            <w:vAlign w:val="center"/>
          </w:tcPr>
          <w:p w14:paraId="02EC28C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540" w:type="dxa"/>
            <w:vAlign w:val="center"/>
          </w:tcPr>
          <w:p w14:paraId="7ED03D4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41" w:type="dxa"/>
          </w:tcPr>
          <w:p w14:paraId="4A504037">
            <w:pPr>
              <w:spacing w:line="240" w:lineRule="auto"/>
              <w:ind w:left="0" w:leftChars="0" w:firstLine="0" w:firstLineChars="0"/>
              <w:jc w:val="both"/>
              <w:rPr>
                <w:rFonts w:ascii="宋体" w:hAnsi="宋体" w:eastAsia="宋体" w:cs="Times New Roman"/>
                <w:b w:val="0"/>
                <w:sz w:val="21"/>
                <w:szCs w:val="21"/>
              </w:rPr>
            </w:pPr>
          </w:p>
        </w:tc>
      </w:tr>
      <w:tr w14:paraId="76C19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jc w:val="center"/>
        </w:trPr>
        <w:tc>
          <w:tcPr>
            <w:tcW w:w="0" w:type="auto"/>
            <w:vAlign w:val="center"/>
          </w:tcPr>
          <w:p w14:paraId="6E161D0E">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12</w:t>
            </w:r>
          </w:p>
        </w:tc>
        <w:tc>
          <w:tcPr>
            <w:tcW w:w="1371" w:type="dxa"/>
            <w:vMerge w:val="continue"/>
            <w:vAlign w:val="center"/>
          </w:tcPr>
          <w:p w14:paraId="73759EA1">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5980D39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未按有关法律法规、安全技术规范或合同约定进行维护保养；</w:t>
            </w:r>
          </w:p>
        </w:tc>
        <w:tc>
          <w:tcPr>
            <w:tcW w:w="3972" w:type="dxa"/>
            <w:vAlign w:val="center"/>
          </w:tcPr>
          <w:p w14:paraId="299518AB">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监督维保单位按照《电梯维护保养规则》或合同约定的周期、内容开展电梯维保工作</w:t>
            </w:r>
          </w:p>
        </w:tc>
        <w:tc>
          <w:tcPr>
            <w:tcW w:w="1555" w:type="dxa"/>
            <w:vAlign w:val="center"/>
          </w:tcPr>
          <w:p w14:paraId="044B62C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540" w:type="dxa"/>
            <w:vAlign w:val="center"/>
          </w:tcPr>
          <w:p w14:paraId="48CDCD1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175D6951">
            <w:pPr>
              <w:spacing w:line="240" w:lineRule="auto"/>
              <w:ind w:left="0" w:leftChars="0" w:firstLine="0" w:firstLineChars="0"/>
              <w:jc w:val="both"/>
              <w:rPr>
                <w:rFonts w:ascii="宋体" w:hAnsi="宋体" w:eastAsia="宋体" w:cs="Times New Roman"/>
                <w:b w:val="0"/>
                <w:sz w:val="21"/>
                <w:szCs w:val="21"/>
              </w:rPr>
            </w:pPr>
          </w:p>
        </w:tc>
      </w:tr>
      <w:tr w14:paraId="67FED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jc w:val="center"/>
        </w:trPr>
        <w:tc>
          <w:tcPr>
            <w:tcW w:w="0" w:type="auto"/>
            <w:vAlign w:val="center"/>
          </w:tcPr>
          <w:p w14:paraId="5AE85D5B">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13</w:t>
            </w:r>
          </w:p>
        </w:tc>
        <w:tc>
          <w:tcPr>
            <w:tcW w:w="1371" w:type="dxa"/>
            <w:vMerge w:val="continue"/>
            <w:vAlign w:val="center"/>
          </w:tcPr>
          <w:p w14:paraId="0533F8E4">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0801379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驱动主机运行时有无异常振动和异常声响。</w:t>
            </w:r>
          </w:p>
        </w:tc>
        <w:tc>
          <w:tcPr>
            <w:tcW w:w="3972" w:type="dxa"/>
            <w:vAlign w:val="center"/>
          </w:tcPr>
          <w:p w14:paraId="4A1E7F4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每日观察驱动主机运行情况</w:t>
            </w:r>
          </w:p>
        </w:tc>
        <w:tc>
          <w:tcPr>
            <w:tcW w:w="1555" w:type="dxa"/>
            <w:vAlign w:val="center"/>
          </w:tcPr>
          <w:p w14:paraId="0B1D084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540" w:type="dxa"/>
            <w:vAlign w:val="center"/>
          </w:tcPr>
          <w:p w14:paraId="39D253E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41" w:type="dxa"/>
          </w:tcPr>
          <w:p w14:paraId="1AC94141">
            <w:pPr>
              <w:spacing w:line="240" w:lineRule="auto"/>
              <w:ind w:left="0" w:leftChars="0" w:firstLine="0" w:firstLineChars="0"/>
              <w:jc w:val="both"/>
              <w:rPr>
                <w:rFonts w:ascii="宋体" w:hAnsi="宋体" w:eastAsia="宋体" w:cs="Times New Roman"/>
                <w:b w:val="0"/>
                <w:sz w:val="21"/>
                <w:szCs w:val="21"/>
              </w:rPr>
            </w:pPr>
          </w:p>
        </w:tc>
      </w:tr>
      <w:tr w14:paraId="1B727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0" w:type="auto"/>
            <w:vAlign w:val="center"/>
          </w:tcPr>
          <w:p w14:paraId="74F12934">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14</w:t>
            </w:r>
          </w:p>
        </w:tc>
        <w:tc>
          <w:tcPr>
            <w:tcW w:w="1371" w:type="dxa"/>
            <w:vMerge w:val="continue"/>
            <w:vAlign w:val="center"/>
          </w:tcPr>
          <w:p w14:paraId="01B505F7">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29BB933D">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应急救援通道是否畅通。</w:t>
            </w:r>
          </w:p>
        </w:tc>
        <w:tc>
          <w:tcPr>
            <w:tcW w:w="3972" w:type="dxa"/>
            <w:vAlign w:val="center"/>
          </w:tcPr>
          <w:p w14:paraId="347BAEF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每日巡查应急救援通道是否畅通</w:t>
            </w:r>
          </w:p>
        </w:tc>
        <w:tc>
          <w:tcPr>
            <w:tcW w:w="1555" w:type="dxa"/>
            <w:vAlign w:val="center"/>
          </w:tcPr>
          <w:p w14:paraId="4BFEFE3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540" w:type="dxa"/>
            <w:vAlign w:val="center"/>
          </w:tcPr>
          <w:p w14:paraId="0672876A">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41" w:type="dxa"/>
          </w:tcPr>
          <w:p w14:paraId="795E8423">
            <w:pPr>
              <w:spacing w:line="240" w:lineRule="auto"/>
              <w:ind w:left="0" w:leftChars="0" w:firstLine="0" w:firstLineChars="0"/>
              <w:jc w:val="both"/>
              <w:rPr>
                <w:rFonts w:ascii="宋体" w:hAnsi="宋体" w:eastAsia="宋体" w:cs="Times New Roman"/>
                <w:b w:val="0"/>
                <w:sz w:val="21"/>
                <w:szCs w:val="21"/>
              </w:rPr>
            </w:pPr>
          </w:p>
        </w:tc>
      </w:tr>
      <w:tr w14:paraId="50465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0" w:type="auto"/>
            <w:vAlign w:val="center"/>
          </w:tcPr>
          <w:p w14:paraId="68BF383E">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15</w:t>
            </w:r>
          </w:p>
        </w:tc>
        <w:tc>
          <w:tcPr>
            <w:tcW w:w="1371" w:type="dxa"/>
            <w:vMerge w:val="continue"/>
            <w:vAlign w:val="center"/>
          </w:tcPr>
          <w:p w14:paraId="2E3EAC1C">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30496E25">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 xml:space="preserve">未按规定进行定期检验、自行检测 </w:t>
            </w:r>
          </w:p>
        </w:tc>
        <w:tc>
          <w:tcPr>
            <w:tcW w:w="3972" w:type="dxa"/>
            <w:vAlign w:val="center"/>
          </w:tcPr>
          <w:p w14:paraId="1ED6EED0">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制定定期检验、自行检测计划并组织实施，落实定期检验、自行检测的后续整改工作</w:t>
            </w:r>
          </w:p>
        </w:tc>
        <w:tc>
          <w:tcPr>
            <w:tcW w:w="1555" w:type="dxa"/>
            <w:vAlign w:val="center"/>
          </w:tcPr>
          <w:p w14:paraId="2601A19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540" w:type="dxa"/>
            <w:vAlign w:val="center"/>
          </w:tcPr>
          <w:p w14:paraId="2F60944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41" w:type="dxa"/>
          </w:tcPr>
          <w:p w14:paraId="10526A40">
            <w:pPr>
              <w:spacing w:line="240" w:lineRule="auto"/>
              <w:ind w:left="0" w:leftChars="0" w:firstLine="0" w:firstLineChars="0"/>
              <w:jc w:val="both"/>
              <w:rPr>
                <w:rFonts w:ascii="宋体" w:hAnsi="宋体" w:eastAsia="宋体" w:cs="Times New Roman"/>
                <w:b w:val="0"/>
                <w:sz w:val="21"/>
                <w:szCs w:val="21"/>
              </w:rPr>
            </w:pPr>
          </w:p>
        </w:tc>
      </w:tr>
      <w:tr w14:paraId="4A5BE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0" w:type="auto"/>
            <w:vAlign w:val="center"/>
          </w:tcPr>
          <w:p w14:paraId="29508BB3">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16</w:t>
            </w:r>
          </w:p>
        </w:tc>
        <w:tc>
          <w:tcPr>
            <w:tcW w:w="1371" w:type="dxa"/>
            <w:vMerge w:val="restart"/>
            <w:vAlign w:val="center"/>
          </w:tcPr>
          <w:p w14:paraId="4C458C36">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安全附件和</w:t>
            </w:r>
          </w:p>
          <w:p w14:paraId="239547EE">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安全保护装置</w:t>
            </w:r>
          </w:p>
        </w:tc>
        <w:tc>
          <w:tcPr>
            <w:tcW w:w="3705" w:type="dxa"/>
            <w:vAlign w:val="center"/>
          </w:tcPr>
          <w:p w14:paraId="7673033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轿内报警装置、对讲系统是否工作正常。</w:t>
            </w:r>
          </w:p>
        </w:tc>
        <w:tc>
          <w:tcPr>
            <w:tcW w:w="3972" w:type="dxa"/>
            <w:vAlign w:val="center"/>
          </w:tcPr>
          <w:p w14:paraId="3364AE95">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每日检查轿内报警装置、对讲系统情况。</w:t>
            </w:r>
          </w:p>
        </w:tc>
        <w:tc>
          <w:tcPr>
            <w:tcW w:w="1555" w:type="dxa"/>
            <w:vAlign w:val="center"/>
          </w:tcPr>
          <w:p w14:paraId="321008DA">
            <w:pPr>
              <w:spacing w:line="240" w:lineRule="auto"/>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540" w:type="dxa"/>
            <w:vAlign w:val="center"/>
          </w:tcPr>
          <w:p w14:paraId="088D23A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w:t>
            </w:r>
            <w:r>
              <w:rPr>
                <w:rFonts w:hint="eastAsia" w:ascii="宋体" w:hAnsi="宋体" w:eastAsia="宋体" w:cs="Times New Roman"/>
                <w:b w:val="0"/>
                <w:sz w:val="24"/>
                <w:szCs w:val="24"/>
              </w:rPr>
              <w:t>员</w:t>
            </w:r>
          </w:p>
        </w:tc>
        <w:tc>
          <w:tcPr>
            <w:tcW w:w="1041" w:type="dxa"/>
          </w:tcPr>
          <w:p w14:paraId="7864C9D9">
            <w:pPr>
              <w:spacing w:line="240" w:lineRule="auto"/>
              <w:ind w:left="0" w:leftChars="0" w:firstLine="0" w:firstLineChars="0"/>
              <w:jc w:val="both"/>
              <w:rPr>
                <w:rFonts w:ascii="宋体" w:hAnsi="宋体" w:eastAsia="宋体" w:cs="Times New Roman"/>
                <w:b w:val="0"/>
                <w:sz w:val="21"/>
                <w:szCs w:val="21"/>
              </w:rPr>
            </w:pPr>
          </w:p>
        </w:tc>
      </w:tr>
      <w:tr w14:paraId="4F46D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0" w:type="auto"/>
            <w:vAlign w:val="center"/>
          </w:tcPr>
          <w:p w14:paraId="74C40F6A">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17</w:t>
            </w:r>
          </w:p>
        </w:tc>
        <w:tc>
          <w:tcPr>
            <w:tcW w:w="1371" w:type="dxa"/>
            <w:vMerge w:val="continue"/>
            <w:vAlign w:val="center"/>
          </w:tcPr>
          <w:p w14:paraId="1AE01703">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74A2BC7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紧急停止装置是否有效。</w:t>
            </w:r>
          </w:p>
        </w:tc>
        <w:tc>
          <w:tcPr>
            <w:tcW w:w="3972" w:type="dxa"/>
            <w:vAlign w:val="center"/>
          </w:tcPr>
          <w:p w14:paraId="379F91C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每日检查自动扶梯与自动人行道的紧急停止装置。</w:t>
            </w:r>
          </w:p>
        </w:tc>
        <w:tc>
          <w:tcPr>
            <w:tcW w:w="1555" w:type="dxa"/>
            <w:vAlign w:val="center"/>
          </w:tcPr>
          <w:p w14:paraId="6EDD78FD">
            <w:pPr>
              <w:spacing w:line="240" w:lineRule="auto"/>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日管控</w:t>
            </w:r>
          </w:p>
        </w:tc>
        <w:tc>
          <w:tcPr>
            <w:tcW w:w="1540" w:type="dxa"/>
            <w:vAlign w:val="center"/>
          </w:tcPr>
          <w:p w14:paraId="6A5F829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w:t>
            </w:r>
            <w:r>
              <w:rPr>
                <w:rFonts w:hint="eastAsia" w:ascii="宋体" w:hAnsi="宋体" w:eastAsia="宋体" w:cs="Times New Roman"/>
                <w:b w:val="0"/>
                <w:sz w:val="24"/>
                <w:szCs w:val="24"/>
              </w:rPr>
              <w:t>员</w:t>
            </w:r>
          </w:p>
        </w:tc>
        <w:tc>
          <w:tcPr>
            <w:tcW w:w="1041" w:type="dxa"/>
          </w:tcPr>
          <w:p w14:paraId="51B46C8E">
            <w:pPr>
              <w:spacing w:line="240" w:lineRule="auto"/>
              <w:ind w:left="0" w:leftChars="0" w:firstLine="0" w:firstLineChars="0"/>
              <w:jc w:val="both"/>
              <w:rPr>
                <w:rFonts w:ascii="宋体" w:hAnsi="宋体" w:eastAsia="宋体" w:cs="Times New Roman"/>
                <w:b w:val="0"/>
                <w:sz w:val="24"/>
                <w:szCs w:val="22"/>
              </w:rPr>
            </w:pPr>
          </w:p>
        </w:tc>
      </w:tr>
      <w:tr w14:paraId="7045B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0" w:type="auto"/>
            <w:vAlign w:val="center"/>
          </w:tcPr>
          <w:p w14:paraId="27E7EB9E">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18</w:t>
            </w:r>
          </w:p>
        </w:tc>
        <w:tc>
          <w:tcPr>
            <w:tcW w:w="1371" w:type="dxa"/>
            <w:vMerge w:val="continue"/>
            <w:vAlign w:val="center"/>
          </w:tcPr>
          <w:p w14:paraId="528C6EB0">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5EFA8CB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轿门防撞击保护装置功能是否有效(安全触板，光幕、光电等)。</w:t>
            </w:r>
          </w:p>
        </w:tc>
        <w:tc>
          <w:tcPr>
            <w:tcW w:w="3972" w:type="dxa"/>
            <w:vAlign w:val="center"/>
          </w:tcPr>
          <w:p w14:paraId="356A55D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每日检查轿门防撞击保护装置情况。</w:t>
            </w:r>
          </w:p>
        </w:tc>
        <w:tc>
          <w:tcPr>
            <w:tcW w:w="1555" w:type="dxa"/>
            <w:vAlign w:val="center"/>
          </w:tcPr>
          <w:p w14:paraId="514B763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540" w:type="dxa"/>
            <w:vAlign w:val="center"/>
          </w:tcPr>
          <w:p w14:paraId="4569F65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41" w:type="dxa"/>
          </w:tcPr>
          <w:p w14:paraId="6AF0C3D6">
            <w:pPr>
              <w:spacing w:line="240" w:lineRule="auto"/>
              <w:ind w:left="0" w:leftChars="0" w:firstLine="0" w:firstLineChars="0"/>
              <w:jc w:val="both"/>
              <w:rPr>
                <w:rFonts w:ascii="宋体" w:hAnsi="宋体" w:eastAsia="宋体" w:cs="Times New Roman"/>
                <w:b w:val="0"/>
                <w:sz w:val="24"/>
                <w:szCs w:val="22"/>
              </w:rPr>
            </w:pPr>
          </w:p>
        </w:tc>
      </w:tr>
      <w:tr w14:paraId="6E40E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0" w:type="auto"/>
            <w:vAlign w:val="center"/>
          </w:tcPr>
          <w:p w14:paraId="49BE5C76">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19</w:t>
            </w:r>
          </w:p>
        </w:tc>
        <w:tc>
          <w:tcPr>
            <w:tcW w:w="1371" w:type="dxa"/>
            <w:vMerge w:val="continue"/>
            <w:vAlign w:val="center"/>
          </w:tcPr>
          <w:p w14:paraId="615ECC28">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484A94CD">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示按要求配备手动紧急操作装置是否齐全</w:t>
            </w:r>
          </w:p>
        </w:tc>
        <w:tc>
          <w:tcPr>
            <w:tcW w:w="3972" w:type="dxa"/>
            <w:vAlign w:val="center"/>
          </w:tcPr>
          <w:p w14:paraId="5635DE1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每日手动紧急操作装置是否齐全</w:t>
            </w:r>
          </w:p>
        </w:tc>
        <w:tc>
          <w:tcPr>
            <w:tcW w:w="1555" w:type="dxa"/>
            <w:vAlign w:val="center"/>
          </w:tcPr>
          <w:p w14:paraId="1AC1704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540" w:type="dxa"/>
            <w:vAlign w:val="center"/>
          </w:tcPr>
          <w:p w14:paraId="3F6275E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41" w:type="dxa"/>
          </w:tcPr>
          <w:p w14:paraId="1BE0C1AB">
            <w:pPr>
              <w:spacing w:line="240" w:lineRule="auto"/>
              <w:ind w:left="0" w:leftChars="0" w:firstLine="0" w:firstLineChars="0"/>
              <w:jc w:val="both"/>
              <w:rPr>
                <w:rFonts w:ascii="宋体" w:hAnsi="宋体" w:eastAsia="宋体" w:cs="Times New Roman"/>
                <w:b w:val="0"/>
                <w:sz w:val="24"/>
                <w:szCs w:val="22"/>
              </w:rPr>
            </w:pPr>
          </w:p>
        </w:tc>
      </w:tr>
      <w:tr w14:paraId="7BD38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0" w:type="auto"/>
            <w:vAlign w:val="center"/>
          </w:tcPr>
          <w:p w14:paraId="12ECC95D">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20</w:t>
            </w:r>
          </w:p>
        </w:tc>
        <w:tc>
          <w:tcPr>
            <w:tcW w:w="1371" w:type="dxa"/>
            <w:vMerge w:val="continue"/>
            <w:vAlign w:val="center"/>
          </w:tcPr>
          <w:p w14:paraId="1648E53B">
            <w:pPr>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120547C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未制定应急救援程序</w:t>
            </w:r>
          </w:p>
        </w:tc>
        <w:tc>
          <w:tcPr>
            <w:tcW w:w="3972" w:type="dxa"/>
            <w:vAlign w:val="center"/>
          </w:tcPr>
          <w:p w14:paraId="35FE9F4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每日检查应急救援程序</w:t>
            </w:r>
          </w:p>
        </w:tc>
        <w:tc>
          <w:tcPr>
            <w:tcW w:w="1555" w:type="dxa"/>
            <w:vAlign w:val="center"/>
          </w:tcPr>
          <w:p w14:paraId="65956DF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540" w:type="dxa"/>
            <w:vAlign w:val="center"/>
          </w:tcPr>
          <w:p w14:paraId="7120129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41" w:type="dxa"/>
          </w:tcPr>
          <w:p w14:paraId="76AA9CBB">
            <w:pPr>
              <w:spacing w:line="240" w:lineRule="auto"/>
              <w:ind w:left="0" w:leftChars="0" w:firstLine="0" w:firstLineChars="0"/>
              <w:jc w:val="both"/>
              <w:rPr>
                <w:rFonts w:ascii="宋体" w:hAnsi="宋体" w:eastAsia="宋体" w:cs="Times New Roman"/>
                <w:b w:val="0"/>
                <w:sz w:val="24"/>
                <w:szCs w:val="22"/>
              </w:rPr>
            </w:pPr>
          </w:p>
        </w:tc>
      </w:tr>
      <w:tr w14:paraId="2E15E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0" w:type="auto"/>
            <w:vAlign w:val="center"/>
          </w:tcPr>
          <w:p w14:paraId="3C3D8493">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Times New Roman"/>
                <w:b w:val="0"/>
                <w:kern w:val="0"/>
                <w:sz w:val="24"/>
                <w:szCs w:val="22"/>
              </w:rPr>
              <w:t>21</w:t>
            </w:r>
          </w:p>
        </w:tc>
        <w:tc>
          <w:tcPr>
            <w:tcW w:w="1371" w:type="dxa"/>
            <w:vMerge w:val="restart"/>
            <w:vAlign w:val="center"/>
          </w:tcPr>
          <w:p w14:paraId="3A09CBD5">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环境</w:t>
            </w:r>
          </w:p>
        </w:tc>
        <w:tc>
          <w:tcPr>
            <w:tcW w:w="3705" w:type="dxa"/>
            <w:vAlign w:val="center"/>
          </w:tcPr>
          <w:p w14:paraId="02066AA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4"/>
              </w:rPr>
              <w:t>电梯运行环境存在不符合安全技术规范要求的情况。</w:t>
            </w:r>
          </w:p>
        </w:tc>
        <w:tc>
          <w:tcPr>
            <w:tcW w:w="3972" w:type="dxa"/>
            <w:vAlign w:val="center"/>
          </w:tcPr>
          <w:p w14:paraId="2E60990B">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1.制定电梯巡查</w:t>
            </w:r>
            <w:r>
              <w:rPr>
                <w:rFonts w:ascii="宋体" w:hAnsi="宋体" w:eastAsia="宋体" w:cs="Times New Roman"/>
                <w:b w:val="0"/>
                <w:sz w:val="24"/>
                <w:szCs w:val="22"/>
              </w:rPr>
              <w:t>制度，</w:t>
            </w:r>
            <w:r>
              <w:rPr>
                <w:rFonts w:hint="eastAsia" w:ascii="宋体" w:hAnsi="宋体" w:eastAsia="宋体" w:cs="Times New Roman"/>
                <w:b w:val="0"/>
                <w:sz w:val="24"/>
                <w:szCs w:val="22"/>
              </w:rPr>
              <w:t>设定</w:t>
            </w:r>
            <w:r>
              <w:rPr>
                <w:rFonts w:ascii="宋体" w:hAnsi="宋体" w:eastAsia="宋体" w:cs="Times New Roman"/>
                <w:b w:val="0"/>
                <w:sz w:val="24"/>
                <w:szCs w:val="22"/>
              </w:rPr>
              <w:t>巡查频次。</w:t>
            </w:r>
          </w:p>
          <w:p w14:paraId="12517AC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2.依据</w:t>
            </w:r>
            <w:r>
              <w:rPr>
                <w:rFonts w:ascii="宋体" w:hAnsi="宋体" w:eastAsia="宋体" w:cs="Times New Roman"/>
                <w:b w:val="0"/>
                <w:sz w:val="24"/>
                <w:szCs w:val="22"/>
              </w:rPr>
              <w:t>安全技术规范的要求，保证电梯运行环境符合有</w:t>
            </w:r>
            <w:r>
              <w:rPr>
                <w:rFonts w:hint="eastAsia" w:ascii="宋体" w:hAnsi="宋体" w:eastAsia="宋体" w:cs="Times New Roman"/>
                <w:b w:val="0"/>
                <w:sz w:val="24"/>
                <w:szCs w:val="22"/>
              </w:rPr>
              <w:t>关</w:t>
            </w:r>
            <w:r>
              <w:rPr>
                <w:rFonts w:ascii="宋体" w:hAnsi="宋体" w:eastAsia="宋体" w:cs="Times New Roman"/>
                <w:b w:val="0"/>
                <w:sz w:val="24"/>
                <w:szCs w:val="22"/>
              </w:rPr>
              <w:t>要求</w:t>
            </w:r>
            <w:r>
              <w:rPr>
                <w:rFonts w:hint="eastAsia" w:ascii="宋体" w:hAnsi="宋体" w:eastAsia="宋体" w:cs="Times New Roman"/>
                <w:b w:val="0"/>
                <w:sz w:val="24"/>
                <w:szCs w:val="22"/>
              </w:rPr>
              <w:t>。</w:t>
            </w:r>
          </w:p>
        </w:tc>
        <w:tc>
          <w:tcPr>
            <w:tcW w:w="1555" w:type="dxa"/>
            <w:vAlign w:val="center"/>
          </w:tcPr>
          <w:p w14:paraId="32F76D0A">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540" w:type="dxa"/>
            <w:vAlign w:val="center"/>
          </w:tcPr>
          <w:p w14:paraId="75D6AAF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58CC488C">
            <w:pPr>
              <w:spacing w:line="240" w:lineRule="auto"/>
              <w:ind w:left="0" w:leftChars="0" w:firstLine="0" w:firstLineChars="0"/>
              <w:jc w:val="both"/>
              <w:rPr>
                <w:rFonts w:ascii="宋体" w:hAnsi="宋体" w:eastAsia="宋体" w:cs="Times New Roman"/>
                <w:b w:val="0"/>
                <w:sz w:val="21"/>
                <w:szCs w:val="21"/>
              </w:rPr>
            </w:pPr>
          </w:p>
        </w:tc>
      </w:tr>
      <w:tr w14:paraId="3199F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0" w:type="auto"/>
            <w:vAlign w:val="center"/>
          </w:tcPr>
          <w:p w14:paraId="74729E3E">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22</w:t>
            </w:r>
          </w:p>
        </w:tc>
        <w:tc>
          <w:tcPr>
            <w:tcW w:w="1371" w:type="dxa"/>
            <w:vMerge w:val="continue"/>
            <w:vAlign w:val="center"/>
          </w:tcPr>
          <w:p w14:paraId="76AC139D">
            <w:pPr>
              <w:widowControl/>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0A3C07A5">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未按有关规定设置警示标志或说明</w:t>
            </w:r>
          </w:p>
        </w:tc>
        <w:tc>
          <w:tcPr>
            <w:tcW w:w="3972" w:type="dxa"/>
            <w:vAlign w:val="center"/>
          </w:tcPr>
          <w:p w14:paraId="6864AD9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每日检查电梯安全警示标志是否张贴</w:t>
            </w:r>
          </w:p>
        </w:tc>
        <w:tc>
          <w:tcPr>
            <w:tcW w:w="1555" w:type="dxa"/>
            <w:vAlign w:val="center"/>
          </w:tcPr>
          <w:p w14:paraId="59EA870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540" w:type="dxa"/>
            <w:vAlign w:val="center"/>
          </w:tcPr>
          <w:p w14:paraId="7CF6469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1041" w:type="dxa"/>
          </w:tcPr>
          <w:p w14:paraId="0E1381C4">
            <w:pPr>
              <w:spacing w:line="240" w:lineRule="auto"/>
              <w:ind w:left="0" w:leftChars="0" w:firstLine="0" w:firstLineChars="0"/>
              <w:jc w:val="both"/>
              <w:rPr>
                <w:rFonts w:ascii="宋体" w:hAnsi="宋体" w:eastAsia="宋体" w:cs="Times New Roman"/>
                <w:b w:val="0"/>
                <w:sz w:val="21"/>
                <w:szCs w:val="21"/>
              </w:rPr>
            </w:pPr>
          </w:p>
        </w:tc>
      </w:tr>
      <w:tr w14:paraId="7A8D4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0" w:type="auto"/>
            <w:vAlign w:val="center"/>
          </w:tcPr>
          <w:p w14:paraId="7BAC03E6">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23</w:t>
            </w:r>
          </w:p>
        </w:tc>
        <w:tc>
          <w:tcPr>
            <w:tcW w:w="1371" w:type="dxa"/>
            <w:vMerge w:val="continue"/>
            <w:vAlign w:val="center"/>
          </w:tcPr>
          <w:p w14:paraId="7C0DA047">
            <w:pPr>
              <w:widowControl/>
              <w:spacing w:line="240" w:lineRule="auto"/>
              <w:ind w:left="0" w:leftChars="0" w:firstLine="0" w:firstLineChars="0"/>
              <w:jc w:val="center"/>
              <w:rPr>
                <w:rFonts w:ascii="宋体" w:hAnsi="宋体" w:eastAsia="宋体" w:cs="Times New Roman"/>
                <w:b w:val="0"/>
                <w:sz w:val="24"/>
                <w:szCs w:val="22"/>
              </w:rPr>
            </w:pPr>
          </w:p>
        </w:tc>
        <w:tc>
          <w:tcPr>
            <w:tcW w:w="3705" w:type="dxa"/>
            <w:vAlign w:val="center"/>
          </w:tcPr>
          <w:p w14:paraId="4D96582E">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电梯使用场所是否在易腐蚀、易燃易爆或人员密集场所；</w:t>
            </w:r>
          </w:p>
        </w:tc>
        <w:tc>
          <w:tcPr>
            <w:tcW w:w="3972" w:type="dxa"/>
            <w:vAlign w:val="center"/>
          </w:tcPr>
          <w:p w14:paraId="347F5EA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检查本单位电梯是否有处于易腐蚀、易燃易爆或人员密集场所或环境</w:t>
            </w:r>
          </w:p>
        </w:tc>
        <w:tc>
          <w:tcPr>
            <w:tcW w:w="1555" w:type="dxa"/>
            <w:vAlign w:val="center"/>
          </w:tcPr>
          <w:p w14:paraId="2DC13C2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540" w:type="dxa"/>
            <w:vAlign w:val="center"/>
          </w:tcPr>
          <w:p w14:paraId="754E7BC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1041" w:type="dxa"/>
          </w:tcPr>
          <w:p w14:paraId="38ECCC4E">
            <w:pPr>
              <w:spacing w:line="240" w:lineRule="auto"/>
              <w:ind w:left="0" w:leftChars="0" w:firstLine="0" w:firstLineChars="0"/>
              <w:jc w:val="both"/>
              <w:rPr>
                <w:rFonts w:ascii="宋体" w:hAnsi="宋体" w:eastAsia="宋体" w:cs="Times New Roman"/>
                <w:b w:val="0"/>
                <w:sz w:val="21"/>
                <w:szCs w:val="21"/>
              </w:rPr>
            </w:pPr>
          </w:p>
        </w:tc>
      </w:tr>
      <w:tr w14:paraId="4925E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0" w:type="auto"/>
            <w:vAlign w:val="center"/>
          </w:tcPr>
          <w:p w14:paraId="3FC5AEAA">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24</w:t>
            </w:r>
          </w:p>
        </w:tc>
        <w:tc>
          <w:tcPr>
            <w:tcW w:w="1371" w:type="dxa"/>
            <w:vAlign w:val="center"/>
          </w:tcPr>
          <w:p w14:paraId="595C6370">
            <w:pPr>
              <w:widowControl/>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政府监督、</w:t>
            </w:r>
          </w:p>
          <w:p w14:paraId="7C0A749A">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sz w:val="24"/>
                <w:szCs w:val="22"/>
              </w:rPr>
              <w:t>通报、预警</w:t>
            </w:r>
          </w:p>
        </w:tc>
        <w:tc>
          <w:tcPr>
            <w:tcW w:w="3705" w:type="dxa"/>
            <w:vAlign w:val="center"/>
          </w:tcPr>
          <w:p w14:paraId="5DD27B8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3972" w:type="dxa"/>
            <w:vAlign w:val="center"/>
          </w:tcPr>
          <w:p w14:paraId="09D1BF93">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w:t>
            </w:r>
            <w:r>
              <w:rPr>
                <w:rFonts w:hint="eastAsia" w:ascii="宋体" w:hAnsi="宋体" w:eastAsia="宋体" w:cs="Times New Roman"/>
                <w:b w:val="0"/>
                <w:sz w:val="24"/>
                <w:szCs w:val="22"/>
              </w:rPr>
              <w:t>。</w:t>
            </w:r>
          </w:p>
        </w:tc>
        <w:tc>
          <w:tcPr>
            <w:tcW w:w="1555" w:type="dxa"/>
            <w:vAlign w:val="center"/>
          </w:tcPr>
          <w:p w14:paraId="60D0E84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540" w:type="dxa"/>
            <w:vAlign w:val="center"/>
          </w:tcPr>
          <w:p w14:paraId="798E0B6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41" w:type="dxa"/>
          </w:tcPr>
          <w:p w14:paraId="79D17918">
            <w:pPr>
              <w:spacing w:line="240" w:lineRule="auto"/>
              <w:ind w:left="0" w:leftChars="0" w:firstLine="0" w:firstLineChars="0"/>
              <w:jc w:val="both"/>
              <w:rPr>
                <w:rFonts w:ascii="宋体" w:hAnsi="宋体" w:eastAsia="宋体" w:cs="Times New Roman"/>
                <w:b w:val="0"/>
                <w:sz w:val="21"/>
                <w:szCs w:val="21"/>
              </w:rPr>
            </w:pPr>
          </w:p>
        </w:tc>
      </w:tr>
      <w:tr w14:paraId="355B9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0" w:type="auto"/>
            <w:vAlign w:val="center"/>
          </w:tcPr>
          <w:p w14:paraId="4C264BA3">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25</w:t>
            </w:r>
          </w:p>
        </w:tc>
        <w:tc>
          <w:tcPr>
            <w:tcW w:w="1371" w:type="dxa"/>
            <w:vAlign w:val="center"/>
          </w:tcPr>
          <w:p w14:paraId="2F820821">
            <w:pPr>
              <w:widowControl/>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投诉举报</w:t>
            </w:r>
          </w:p>
        </w:tc>
        <w:tc>
          <w:tcPr>
            <w:tcW w:w="3705" w:type="dxa"/>
            <w:vAlign w:val="center"/>
          </w:tcPr>
          <w:p w14:paraId="378C371B">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3972" w:type="dxa"/>
            <w:vAlign w:val="center"/>
          </w:tcPr>
          <w:p w14:paraId="26DB06A0">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记录，整改，消除安全隐患</w:t>
            </w:r>
            <w:r>
              <w:rPr>
                <w:rFonts w:hint="eastAsia" w:ascii="宋体" w:hAnsi="宋体" w:eastAsia="宋体" w:cs="Times New Roman"/>
                <w:b w:val="0"/>
                <w:sz w:val="24"/>
                <w:szCs w:val="22"/>
              </w:rPr>
              <w:t>。</w:t>
            </w:r>
          </w:p>
        </w:tc>
        <w:tc>
          <w:tcPr>
            <w:tcW w:w="1555" w:type="dxa"/>
            <w:vAlign w:val="center"/>
          </w:tcPr>
          <w:p w14:paraId="305FD2F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540" w:type="dxa"/>
            <w:vAlign w:val="center"/>
          </w:tcPr>
          <w:p w14:paraId="6C5A2CFA">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41" w:type="dxa"/>
          </w:tcPr>
          <w:p w14:paraId="7285118C">
            <w:pPr>
              <w:spacing w:line="240" w:lineRule="auto"/>
              <w:ind w:left="0" w:leftChars="0" w:firstLine="0" w:firstLineChars="0"/>
              <w:jc w:val="both"/>
              <w:rPr>
                <w:rFonts w:ascii="宋体" w:hAnsi="宋体" w:eastAsia="宋体" w:cs="Times New Roman"/>
                <w:b w:val="0"/>
                <w:sz w:val="21"/>
                <w:szCs w:val="21"/>
              </w:rPr>
            </w:pPr>
          </w:p>
        </w:tc>
      </w:tr>
      <w:tr w14:paraId="7C30C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0" w:type="auto"/>
            <w:vAlign w:val="center"/>
          </w:tcPr>
          <w:p w14:paraId="2BFB147E">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26</w:t>
            </w:r>
          </w:p>
        </w:tc>
        <w:tc>
          <w:tcPr>
            <w:tcW w:w="1371" w:type="dxa"/>
            <w:vAlign w:val="center"/>
          </w:tcPr>
          <w:p w14:paraId="3CC8C590">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舆情信息</w:t>
            </w:r>
          </w:p>
        </w:tc>
        <w:tc>
          <w:tcPr>
            <w:tcW w:w="3705" w:type="dxa"/>
            <w:vAlign w:val="center"/>
          </w:tcPr>
          <w:p w14:paraId="15C9431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3972" w:type="dxa"/>
            <w:vAlign w:val="center"/>
          </w:tcPr>
          <w:p w14:paraId="253A029E">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w:t>
            </w:r>
          </w:p>
        </w:tc>
        <w:tc>
          <w:tcPr>
            <w:tcW w:w="1555" w:type="dxa"/>
            <w:vAlign w:val="center"/>
          </w:tcPr>
          <w:p w14:paraId="02D9598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540" w:type="dxa"/>
            <w:vAlign w:val="center"/>
          </w:tcPr>
          <w:p w14:paraId="0BE145B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041" w:type="dxa"/>
          </w:tcPr>
          <w:p w14:paraId="470BEBCC">
            <w:pPr>
              <w:spacing w:line="240" w:lineRule="auto"/>
              <w:ind w:left="0" w:leftChars="0" w:firstLine="0" w:firstLineChars="0"/>
              <w:jc w:val="both"/>
              <w:rPr>
                <w:rFonts w:ascii="宋体" w:hAnsi="宋体" w:eastAsia="宋体" w:cs="Times New Roman"/>
                <w:b w:val="0"/>
                <w:sz w:val="21"/>
                <w:szCs w:val="21"/>
              </w:rPr>
            </w:pPr>
          </w:p>
        </w:tc>
      </w:tr>
    </w:tbl>
    <w:p w14:paraId="663C9D50">
      <w:pPr>
        <w:widowControl/>
        <w:spacing w:line="240" w:lineRule="auto"/>
        <w:ind w:left="0" w:leftChars="0" w:firstLine="482" w:firstLineChars="200"/>
        <w:jc w:val="both"/>
        <w:rPr>
          <w:rFonts w:ascii="宋体" w:hAnsi="宋体" w:eastAsia="宋体" w:cs="宋体"/>
          <w:b/>
          <w:color w:val="000000"/>
          <w:sz w:val="24"/>
          <w:szCs w:val="24"/>
        </w:rPr>
      </w:pPr>
      <w:r>
        <w:rPr>
          <w:rFonts w:ascii="宋体" w:hAnsi="宋体" w:eastAsia="宋体" w:cs="宋体"/>
          <w:b/>
          <w:color w:val="000000"/>
          <w:sz w:val="24"/>
          <w:szCs w:val="24"/>
        </w:rPr>
        <w:t>备注</w:t>
      </w:r>
      <w:r>
        <w:rPr>
          <w:rFonts w:hint="eastAsia" w:ascii="宋体" w:hAnsi="宋体" w:eastAsia="宋体" w:cs="Times New Roman"/>
          <w:b/>
          <w:bCs/>
          <w:color w:val="000000"/>
          <w:kern w:val="0"/>
          <w:sz w:val="24"/>
          <w:szCs w:val="22"/>
        </w:rPr>
        <w:t>：</w:t>
      </w:r>
      <w:r>
        <w:rPr>
          <w:rFonts w:ascii="宋体" w:hAnsi="宋体" w:eastAsia="宋体" w:cs="宋体"/>
          <w:b/>
          <w:color w:val="000000"/>
          <w:sz w:val="24"/>
          <w:szCs w:val="24"/>
        </w:rPr>
        <w:t>本清单为推荐性格式，仅规定了应当进行日管控、周排查、月调度的基本项目，</w:t>
      </w:r>
      <w:r>
        <w:rPr>
          <w:rFonts w:hint="eastAsia" w:ascii="宋体" w:hAnsi="宋体" w:eastAsia="宋体" w:cs="宋体"/>
          <w:b/>
          <w:color w:val="000000"/>
          <w:sz w:val="24"/>
          <w:szCs w:val="24"/>
        </w:rPr>
        <w:t>电梯使用</w:t>
      </w:r>
      <w:r>
        <w:rPr>
          <w:rFonts w:ascii="宋体" w:hAnsi="宋体" w:eastAsia="宋体" w:cs="宋体"/>
          <w:b/>
          <w:color w:val="000000"/>
          <w:sz w:val="24"/>
          <w:szCs w:val="24"/>
        </w:rPr>
        <w:t>单位应当结合本单位实际情况和具体要求，细化风险管控清单</w:t>
      </w:r>
      <w:r>
        <w:rPr>
          <w:rFonts w:hint="eastAsia" w:ascii="宋体" w:hAnsi="宋体" w:eastAsia="宋体" w:cs="宋体"/>
          <w:b/>
          <w:color w:val="000000"/>
          <w:sz w:val="24"/>
          <w:szCs w:val="24"/>
        </w:rPr>
        <w:t>，合理调整管控形式。</w:t>
      </w:r>
    </w:p>
    <w:p w14:paraId="726008EB">
      <w:pPr>
        <w:rPr>
          <w:rFonts w:hint="eastAsia" w:ascii="宋体" w:hAnsi="宋体" w:eastAsia="宋体" w:cs="宋体"/>
          <w:b/>
          <w:bCs/>
          <w:sz w:val="36"/>
          <w:szCs w:val="36"/>
        </w:rPr>
      </w:pPr>
      <w:r>
        <w:rPr>
          <w:rFonts w:hint="eastAsia" w:ascii="宋体" w:hAnsi="宋体" w:eastAsia="宋体" w:cs="宋体"/>
          <w:b/>
          <w:bCs/>
          <w:sz w:val="36"/>
          <w:szCs w:val="36"/>
        </w:rPr>
        <w:br w:type="page"/>
      </w:r>
    </w:p>
    <w:p w14:paraId="40B0F1BC">
      <w:pPr>
        <w:spacing w:line="240" w:lineRule="auto"/>
        <w:ind w:left="0" w:leftChars="0"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起重机械安全风险管控清单</w:t>
      </w:r>
      <w:r>
        <w:rPr>
          <w:rFonts w:hint="eastAsia" w:ascii="宋体" w:hAnsi="宋体" w:eastAsia="宋体" w:cs="宋体"/>
          <w:b/>
          <w:bCs/>
          <w:sz w:val="36"/>
          <w:szCs w:val="36"/>
          <w:lang w:eastAsia="zh-CN"/>
        </w:rPr>
        <w:t>（供参考）</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422"/>
        <w:gridCol w:w="3494"/>
        <w:gridCol w:w="4301"/>
        <w:gridCol w:w="1559"/>
        <w:gridCol w:w="1455"/>
        <w:gridCol w:w="1136"/>
      </w:tblGrid>
      <w:tr w14:paraId="7D04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07" w:type="dxa"/>
            <w:shd w:val="clear" w:color="auto" w:fill="BEBEBE"/>
            <w:vAlign w:val="center"/>
          </w:tcPr>
          <w:p w14:paraId="3774C6E4">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序号</w:t>
            </w:r>
          </w:p>
        </w:tc>
        <w:tc>
          <w:tcPr>
            <w:tcW w:w="1422" w:type="dxa"/>
            <w:shd w:val="clear" w:color="auto" w:fill="BEBEBE"/>
            <w:vAlign w:val="center"/>
          </w:tcPr>
          <w:p w14:paraId="0557FD98">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风险类别</w:t>
            </w:r>
          </w:p>
        </w:tc>
        <w:tc>
          <w:tcPr>
            <w:tcW w:w="3494" w:type="dxa"/>
            <w:shd w:val="clear" w:color="auto" w:fill="BEBEBE"/>
            <w:vAlign w:val="center"/>
          </w:tcPr>
          <w:p w14:paraId="06C82883">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风险指标</w:t>
            </w:r>
          </w:p>
        </w:tc>
        <w:tc>
          <w:tcPr>
            <w:tcW w:w="4301" w:type="dxa"/>
            <w:shd w:val="clear" w:color="auto" w:fill="BEBEBE"/>
            <w:vAlign w:val="center"/>
          </w:tcPr>
          <w:p w14:paraId="5F15597E">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风险管控</w:t>
            </w:r>
            <w:r>
              <w:rPr>
                <w:rFonts w:ascii="宋体" w:hAnsi="宋体" w:eastAsia="宋体" w:cs="Times New Roman"/>
                <w:b/>
                <w:sz w:val="28"/>
                <w:szCs w:val="28"/>
                <w:highlight w:val="lightGray"/>
                <w:shd w:val="clear" w:color="FFFFFF" w:fill="D9D9D9"/>
              </w:rPr>
              <w:t>措施</w:t>
            </w:r>
          </w:p>
        </w:tc>
        <w:tc>
          <w:tcPr>
            <w:tcW w:w="1559" w:type="dxa"/>
            <w:shd w:val="clear" w:color="auto" w:fill="BEBEBE"/>
            <w:vAlign w:val="center"/>
          </w:tcPr>
          <w:p w14:paraId="075D63FA">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管控方式</w:t>
            </w:r>
          </w:p>
        </w:tc>
        <w:tc>
          <w:tcPr>
            <w:tcW w:w="1455" w:type="dxa"/>
            <w:shd w:val="clear" w:color="auto" w:fill="BEBEBE"/>
            <w:vAlign w:val="center"/>
          </w:tcPr>
          <w:p w14:paraId="527A88A2">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责任人</w:t>
            </w:r>
          </w:p>
        </w:tc>
        <w:tc>
          <w:tcPr>
            <w:tcW w:w="1136" w:type="dxa"/>
            <w:shd w:val="clear" w:color="auto" w:fill="BEBEBE"/>
            <w:vAlign w:val="center"/>
          </w:tcPr>
          <w:p w14:paraId="588E2B19">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备注</w:t>
            </w:r>
          </w:p>
        </w:tc>
      </w:tr>
      <w:tr w14:paraId="3E21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807" w:type="dxa"/>
            <w:vAlign w:val="center"/>
          </w:tcPr>
          <w:p w14:paraId="7E0C0205">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w:t>
            </w:r>
          </w:p>
        </w:tc>
        <w:tc>
          <w:tcPr>
            <w:tcW w:w="1422" w:type="dxa"/>
            <w:vMerge w:val="restart"/>
            <w:vAlign w:val="center"/>
          </w:tcPr>
          <w:p w14:paraId="698812BC">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人员</w:t>
            </w:r>
          </w:p>
        </w:tc>
        <w:tc>
          <w:tcPr>
            <w:tcW w:w="3494" w:type="dxa"/>
            <w:vAlign w:val="center"/>
          </w:tcPr>
          <w:p w14:paraId="2DB92A43">
            <w:pPr>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sz w:val="24"/>
                <w:szCs w:val="22"/>
              </w:rPr>
              <w:t>未按规定配备安全管理人员和作业人员</w:t>
            </w:r>
          </w:p>
        </w:tc>
        <w:tc>
          <w:tcPr>
            <w:tcW w:w="4301" w:type="dxa"/>
            <w:vAlign w:val="center"/>
          </w:tcPr>
          <w:p w14:paraId="3ECCF944">
            <w:pPr>
              <w:spacing w:line="240" w:lineRule="auto"/>
              <w:ind w:left="0" w:leftChars="0" w:firstLine="0" w:firstLineChars="0"/>
              <w:jc w:val="both"/>
              <w:rPr>
                <w:rFonts w:ascii="Calibri" w:hAnsi="Calibri" w:eastAsia="宋体" w:cs="Times New Roman"/>
                <w:b w:val="0"/>
                <w:sz w:val="21"/>
                <w:szCs w:val="21"/>
              </w:rPr>
            </w:pPr>
            <w:r>
              <w:rPr>
                <w:rFonts w:hint="eastAsia" w:ascii="宋体" w:hAnsi="宋体" w:eastAsia="宋体" w:cs="Times New Roman"/>
                <w:b w:val="0"/>
                <w:sz w:val="24"/>
                <w:szCs w:val="22"/>
              </w:rPr>
              <w:t>建立特种设备安全管理人员与作业人员管理制度，按规定配备相关人员</w:t>
            </w:r>
          </w:p>
        </w:tc>
        <w:tc>
          <w:tcPr>
            <w:tcW w:w="1559" w:type="dxa"/>
            <w:vAlign w:val="center"/>
          </w:tcPr>
          <w:p w14:paraId="13703A5B">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月调度</w:t>
            </w:r>
          </w:p>
        </w:tc>
        <w:tc>
          <w:tcPr>
            <w:tcW w:w="1455" w:type="dxa"/>
            <w:vAlign w:val="center"/>
          </w:tcPr>
          <w:p w14:paraId="739148E1">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主要负责人</w:t>
            </w:r>
          </w:p>
        </w:tc>
        <w:tc>
          <w:tcPr>
            <w:tcW w:w="1136" w:type="dxa"/>
            <w:vAlign w:val="center"/>
          </w:tcPr>
          <w:p w14:paraId="6062A36D">
            <w:pPr>
              <w:widowControl/>
              <w:spacing w:line="240" w:lineRule="auto"/>
              <w:ind w:left="0" w:leftChars="0" w:firstLine="0" w:firstLineChars="0"/>
              <w:jc w:val="center"/>
              <w:rPr>
                <w:rFonts w:ascii="宋体" w:hAnsi="宋体" w:eastAsia="宋体" w:cs="Times New Roman"/>
                <w:b w:val="0"/>
                <w:kern w:val="0"/>
                <w:sz w:val="24"/>
                <w:szCs w:val="22"/>
              </w:rPr>
            </w:pPr>
          </w:p>
        </w:tc>
      </w:tr>
      <w:tr w14:paraId="5E3A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807" w:type="dxa"/>
            <w:vAlign w:val="center"/>
          </w:tcPr>
          <w:p w14:paraId="6F303D54">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w:t>
            </w:r>
          </w:p>
        </w:tc>
        <w:tc>
          <w:tcPr>
            <w:tcW w:w="1422" w:type="dxa"/>
            <w:vMerge w:val="continue"/>
            <w:vAlign w:val="center"/>
          </w:tcPr>
          <w:p w14:paraId="2FDB186F">
            <w:pPr>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75971803">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sz w:val="24"/>
                <w:szCs w:val="22"/>
              </w:rPr>
              <w:t>作业人员未持有相应资格证件</w:t>
            </w:r>
          </w:p>
        </w:tc>
        <w:tc>
          <w:tcPr>
            <w:tcW w:w="4301" w:type="dxa"/>
            <w:vAlign w:val="center"/>
          </w:tcPr>
          <w:p w14:paraId="74CC613E">
            <w:pPr>
              <w:spacing w:line="240" w:lineRule="auto"/>
              <w:ind w:left="0" w:leftChars="0" w:firstLine="0" w:firstLineChars="0"/>
              <w:jc w:val="both"/>
              <w:rPr>
                <w:rFonts w:ascii="Calibri" w:hAnsi="Calibri" w:eastAsia="宋体" w:cs="Times New Roman"/>
                <w:b w:val="0"/>
                <w:sz w:val="21"/>
                <w:szCs w:val="21"/>
              </w:rPr>
            </w:pPr>
            <w:r>
              <w:rPr>
                <w:rFonts w:hint="eastAsia" w:ascii="宋体" w:hAnsi="宋体" w:eastAsia="宋体" w:cs="Times New Roman"/>
                <w:b w:val="0"/>
                <w:sz w:val="24"/>
                <w:szCs w:val="22"/>
              </w:rPr>
              <w:t>配备具有相应职责资质的作业人员，加强资格证的换证管理</w:t>
            </w:r>
          </w:p>
        </w:tc>
        <w:tc>
          <w:tcPr>
            <w:tcW w:w="1559" w:type="dxa"/>
            <w:vAlign w:val="center"/>
          </w:tcPr>
          <w:p w14:paraId="2D43B22B">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周排查</w:t>
            </w:r>
          </w:p>
        </w:tc>
        <w:tc>
          <w:tcPr>
            <w:tcW w:w="1455" w:type="dxa"/>
            <w:vAlign w:val="center"/>
          </w:tcPr>
          <w:p w14:paraId="731E50A7">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安全总监</w:t>
            </w:r>
          </w:p>
        </w:tc>
        <w:tc>
          <w:tcPr>
            <w:tcW w:w="1136" w:type="dxa"/>
            <w:vAlign w:val="center"/>
          </w:tcPr>
          <w:p w14:paraId="2B3F434E">
            <w:pPr>
              <w:widowControl/>
              <w:spacing w:line="240" w:lineRule="auto"/>
              <w:ind w:left="0" w:leftChars="0" w:firstLine="0" w:firstLineChars="0"/>
              <w:jc w:val="center"/>
              <w:rPr>
                <w:rFonts w:ascii="宋体" w:hAnsi="宋体" w:eastAsia="宋体" w:cs="Times New Roman"/>
                <w:b w:val="0"/>
                <w:kern w:val="0"/>
                <w:sz w:val="24"/>
                <w:szCs w:val="22"/>
              </w:rPr>
            </w:pPr>
          </w:p>
        </w:tc>
      </w:tr>
      <w:tr w14:paraId="239A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07" w:type="dxa"/>
            <w:vAlign w:val="center"/>
          </w:tcPr>
          <w:p w14:paraId="46824EE3">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w:t>
            </w:r>
          </w:p>
        </w:tc>
        <w:tc>
          <w:tcPr>
            <w:tcW w:w="1422" w:type="dxa"/>
            <w:vMerge w:val="continue"/>
            <w:vAlign w:val="center"/>
          </w:tcPr>
          <w:p w14:paraId="684BF9BA">
            <w:pPr>
              <w:widowControl/>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38AC09EE">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sz w:val="24"/>
                <w:szCs w:val="22"/>
              </w:rPr>
              <w:t>未按规定对安全管理人员和作业人员开展安全教育培训</w:t>
            </w:r>
          </w:p>
        </w:tc>
        <w:tc>
          <w:tcPr>
            <w:tcW w:w="4301" w:type="dxa"/>
            <w:vAlign w:val="center"/>
          </w:tcPr>
          <w:p w14:paraId="5F9E9841">
            <w:pPr>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sz w:val="24"/>
                <w:szCs w:val="22"/>
              </w:rPr>
              <w:t>按规定开展安全培训教育</w:t>
            </w:r>
          </w:p>
        </w:tc>
        <w:tc>
          <w:tcPr>
            <w:tcW w:w="1559" w:type="dxa"/>
            <w:vAlign w:val="center"/>
          </w:tcPr>
          <w:p w14:paraId="2425E0D5">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周排查</w:t>
            </w:r>
          </w:p>
        </w:tc>
        <w:tc>
          <w:tcPr>
            <w:tcW w:w="1455" w:type="dxa"/>
            <w:vAlign w:val="center"/>
          </w:tcPr>
          <w:p w14:paraId="5FA66B6E">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安全总监</w:t>
            </w:r>
          </w:p>
        </w:tc>
        <w:tc>
          <w:tcPr>
            <w:tcW w:w="1136" w:type="dxa"/>
            <w:vAlign w:val="center"/>
          </w:tcPr>
          <w:p w14:paraId="15C67B14">
            <w:pPr>
              <w:widowControl/>
              <w:spacing w:line="240" w:lineRule="auto"/>
              <w:ind w:left="0" w:leftChars="0" w:firstLine="0" w:firstLineChars="0"/>
              <w:jc w:val="center"/>
              <w:rPr>
                <w:rFonts w:ascii="宋体" w:hAnsi="宋体" w:eastAsia="宋体" w:cs="Times New Roman"/>
                <w:b w:val="0"/>
                <w:kern w:val="0"/>
                <w:sz w:val="24"/>
                <w:szCs w:val="22"/>
              </w:rPr>
            </w:pPr>
          </w:p>
        </w:tc>
      </w:tr>
      <w:tr w14:paraId="31EC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07" w:type="dxa"/>
            <w:vAlign w:val="center"/>
          </w:tcPr>
          <w:p w14:paraId="4DEC82F0">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4</w:t>
            </w:r>
          </w:p>
        </w:tc>
        <w:tc>
          <w:tcPr>
            <w:tcW w:w="1422" w:type="dxa"/>
            <w:vMerge w:val="continue"/>
            <w:vAlign w:val="center"/>
          </w:tcPr>
          <w:p w14:paraId="488349B1">
            <w:pPr>
              <w:widowControl/>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75A852EF">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sz w:val="24"/>
                <w:szCs w:val="22"/>
              </w:rPr>
              <w:t>作业人员违章作业</w:t>
            </w:r>
          </w:p>
        </w:tc>
        <w:tc>
          <w:tcPr>
            <w:tcW w:w="4301" w:type="dxa"/>
            <w:vAlign w:val="center"/>
          </w:tcPr>
          <w:p w14:paraId="4E75214D">
            <w:pPr>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sz w:val="24"/>
                <w:szCs w:val="22"/>
              </w:rPr>
              <w:t>纠正和制止违章作业行为，遵循起重作业的安全规章和操作规程，杜绝不明重量范围起吊、歪拉斜拽、视线盲区、站位混乱等违章行为</w:t>
            </w:r>
          </w:p>
        </w:tc>
        <w:tc>
          <w:tcPr>
            <w:tcW w:w="1559" w:type="dxa"/>
            <w:vAlign w:val="center"/>
          </w:tcPr>
          <w:p w14:paraId="72157972">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日管控</w:t>
            </w:r>
          </w:p>
        </w:tc>
        <w:tc>
          <w:tcPr>
            <w:tcW w:w="1455" w:type="dxa"/>
            <w:vAlign w:val="center"/>
          </w:tcPr>
          <w:p w14:paraId="010700E7">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安全员</w:t>
            </w:r>
          </w:p>
        </w:tc>
        <w:tc>
          <w:tcPr>
            <w:tcW w:w="1136" w:type="dxa"/>
            <w:vAlign w:val="center"/>
          </w:tcPr>
          <w:p w14:paraId="337F0701">
            <w:pPr>
              <w:widowControl/>
              <w:spacing w:line="240" w:lineRule="auto"/>
              <w:ind w:left="0" w:leftChars="0" w:firstLine="0" w:firstLineChars="0"/>
              <w:jc w:val="center"/>
              <w:rPr>
                <w:rFonts w:ascii="宋体" w:hAnsi="宋体" w:eastAsia="宋体" w:cs="Times New Roman"/>
                <w:b w:val="0"/>
                <w:kern w:val="0"/>
                <w:sz w:val="24"/>
                <w:szCs w:val="22"/>
              </w:rPr>
            </w:pPr>
          </w:p>
        </w:tc>
      </w:tr>
      <w:tr w14:paraId="5B02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dxa"/>
            <w:vAlign w:val="center"/>
          </w:tcPr>
          <w:p w14:paraId="2E8CF13F">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5</w:t>
            </w:r>
          </w:p>
        </w:tc>
        <w:tc>
          <w:tcPr>
            <w:tcW w:w="1422" w:type="dxa"/>
            <w:vMerge w:val="restart"/>
            <w:vAlign w:val="center"/>
          </w:tcPr>
          <w:p w14:paraId="7C6F0ADC">
            <w:pPr>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管理</w:t>
            </w:r>
          </w:p>
        </w:tc>
        <w:tc>
          <w:tcPr>
            <w:tcW w:w="3494" w:type="dxa"/>
            <w:vAlign w:val="center"/>
          </w:tcPr>
          <w:p w14:paraId="353D7E17">
            <w:pPr>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未建立起重机械安全运行管理规章制度</w:t>
            </w:r>
          </w:p>
        </w:tc>
        <w:tc>
          <w:tcPr>
            <w:tcW w:w="4301" w:type="dxa"/>
            <w:vAlign w:val="center"/>
          </w:tcPr>
          <w:p w14:paraId="7C25BA6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1.制定《起重机械安全总监职责》《起重机械安全员守则》《起重机械安全日管控、周排查、月调度管理制度》；</w:t>
            </w:r>
          </w:p>
          <w:p w14:paraId="54283827">
            <w:pPr>
              <w:spacing w:line="240" w:lineRule="auto"/>
              <w:ind w:left="0" w:leftChars="0" w:firstLine="0" w:firstLineChars="0"/>
              <w:jc w:val="both"/>
              <w:rPr>
                <w:rFonts w:ascii="宋体" w:hAnsi="宋体" w:eastAsia="宋体" w:cs="Times New Roman"/>
                <w:b w:val="0"/>
                <w:spacing w:val="6"/>
                <w:sz w:val="21"/>
                <w:szCs w:val="21"/>
              </w:rPr>
            </w:pPr>
            <w:r>
              <w:rPr>
                <w:rFonts w:hint="eastAsia" w:ascii="宋体" w:hAnsi="宋体" w:eastAsia="宋体" w:cs="Times New Roman"/>
                <w:b w:val="0"/>
                <w:sz w:val="24"/>
                <w:szCs w:val="22"/>
              </w:rPr>
              <w:t>2</w:t>
            </w:r>
            <w:r>
              <w:rPr>
                <w:rFonts w:ascii="宋体" w:hAnsi="宋体" w:eastAsia="宋体" w:cs="Times New Roman"/>
                <w:b w:val="0"/>
                <w:sz w:val="24"/>
                <w:szCs w:val="22"/>
              </w:rPr>
              <w:t>.</w:t>
            </w:r>
            <w:r>
              <w:rPr>
                <w:rFonts w:hint="eastAsia" w:ascii="宋体" w:hAnsi="宋体" w:eastAsia="宋体" w:cs="Times New Roman"/>
                <w:b w:val="0"/>
                <w:sz w:val="24"/>
                <w:szCs w:val="22"/>
              </w:rPr>
              <w:t>建立起重机械安全管理机构和相关人员岗位职责。</w:t>
            </w:r>
          </w:p>
        </w:tc>
        <w:tc>
          <w:tcPr>
            <w:tcW w:w="1559" w:type="dxa"/>
            <w:vAlign w:val="center"/>
          </w:tcPr>
          <w:p w14:paraId="395CE511">
            <w:pPr>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月调度</w:t>
            </w:r>
          </w:p>
        </w:tc>
        <w:tc>
          <w:tcPr>
            <w:tcW w:w="1455" w:type="dxa"/>
            <w:vAlign w:val="center"/>
          </w:tcPr>
          <w:p w14:paraId="2A74A3CA">
            <w:pPr>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主要负责人</w:t>
            </w:r>
          </w:p>
        </w:tc>
        <w:tc>
          <w:tcPr>
            <w:tcW w:w="1136" w:type="dxa"/>
            <w:vAlign w:val="center"/>
          </w:tcPr>
          <w:p w14:paraId="71443DCD">
            <w:pPr>
              <w:widowControl/>
              <w:spacing w:line="240" w:lineRule="auto"/>
              <w:ind w:left="0" w:leftChars="0" w:firstLine="0" w:firstLineChars="0"/>
              <w:jc w:val="center"/>
              <w:rPr>
                <w:rFonts w:ascii="宋体" w:hAnsi="宋体" w:eastAsia="宋体" w:cs="Times New Roman"/>
                <w:b w:val="0"/>
                <w:kern w:val="0"/>
                <w:sz w:val="24"/>
                <w:szCs w:val="22"/>
              </w:rPr>
            </w:pPr>
          </w:p>
        </w:tc>
      </w:tr>
      <w:tr w14:paraId="0B41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07" w:type="dxa"/>
            <w:vAlign w:val="center"/>
          </w:tcPr>
          <w:p w14:paraId="5A2C7062">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6</w:t>
            </w:r>
          </w:p>
        </w:tc>
        <w:tc>
          <w:tcPr>
            <w:tcW w:w="1422" w:type="dxa"/>
            <w:vMerge w:val="continue"/>
            <w:vAlign w:val="center"/>
          </w:tcPr>
          <w:p w14:paraId="7D7BC6C9">
            <w:pPr>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7EFB8A51">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未建立安全技术档案</w:t>
            </w:r>
          </w:p>
        </w:tc>
        <w:tc>
          <w:tcPr>
            <w:tcW w:w="4301" w:type="dxa"/>
            <w:vAlign w:val="center"/>
          </w:tcPr>
          <w:p w14:paraId="7885DFFC">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按照一机一档建立安全技术档案，至少包括以下内容：</w:t>
            </w:r>
          </w:p>
          <w:p w14:paraId="7705E301">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起重机械设计、制造技术资料和文件；</w:t>
            </w:r>
          </w:p>
          <w:p w14:paraId="4DA8BCFD">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起重机械安装、改造和修理的方案、图样、材料质量证明书和施工质量证明文件、安装改造修理监督检验报告、验收报告等技术资料；</w:t>
            </w:r>
          </w:p>
          <w:p w14:paraId="794EDF3B">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3.起重机械维护保养记录。</w:t>
            </w:r>
          </w:p>
        </w:tc>
        <w:tc>
          <w:tcPr>
            <w:tcW w:w="1559" w:type="dxa"/>
            <w:vAlign w:val="center"/>
          </w:tcPr>
          <w:p w14:paraId="4BB491FE">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周排查</w:t>
            </w:r>
          </w:p>
        </w:tc>
        <w:tc>
          <w:tcPr>
            <w:tcW w:w="1455" w:type="dxa"/>
            <w:vAlign w:val="center"/>
          </w:tcPr>
          <w:p w14:paraId="3F8C6DA5">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安全总监</w:t>
            </w:r>
          </w:p>
        </w:tc>
        <w:tc>
          <w:tcPr>
            <w:tcW w:w="1136" w:type="dxa"/>
            <w:vAlign w:val="center"/>
          </w:tcPr>
          <w:p w14:paraId="574AD692">
            <w:pPr>
              <w:widowControl/>
              <w:spacing w:line="240" w:lineRule="auto"/>
              <w:ind w:left="0" w:leftChars="0" w:firstLine="0" w:firstLineChars="0"/>
              <w:jc w:val="center"/>
              <w:rPr>
                <w:rFonts w:ascii="宋体" w:hAnsi="宋体" w:eastAsia="宋体" w:cs="Times New Roman"/>
                <w:b w:val="0"/>
                <w:kern w:val="0"/>
                <w:sz w:val="24"/>
                <w:szCs w:val="22"/>
              </w:rPr>
            </w:pPr>
          </w:p>
        </w:tc>
      </w:tr>
      <w:tr w14:paraId="0C2C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807" w:type="dxa"/>
            <w:vAlign w:val="center"/>
          </w:tcPr>
          <w:p w14:paraId="3185F168">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7</w:t>
            </w:r>
          </w:p>
        </w:tc>
        <w:tc>
          <w:tcPr>
            <w:tcW w:w="1422" w:type="dxa"/>
            <w:vMerge w:val="restart"/>
            <w:vAlign w:val="center"/>
          </w:tcPr>
          <w:p w14:paraId="2685C6C9">
            <w:pPr>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管理</w:t>
            </w:r>
          </w:p>
        </w:tc>
        <w:tc>
          <w:tcPr>
            <w:tcW w:w="3494" w:type="dxa"/>
            <w:vAlign w:val="center"/>
          </w:tcPr>
          <w:p w14:paraId="1814323E">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sz w:val="24"/>
                <w:szCs w:val="22"/>
              </w:rPr>
              <w:t>未按规定办理使用登记、变更登记及停用、报废手续</w:t>
            </w:r>
          </w:p>
        </w:tc>
        <w:tc>
          <w:tcPr>
            <w:tcW w:w="4301" w:type="dxa"/>
            <w:vAlign w:val="center"/>
          </w:tcPr>
          <w:p w14:paraId="7D731028">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1.建立使用管理制度和规程，明确相关内容及安全管理要求；</w:t>
            </w:r>
          </w:p>
          <w:p w14:paraId="7287EBF7">
            <w:pPr>
              <w:tabs>
                <w:tab w:val="left" w:pos="312"/>
              </w:tabs>
              <w:spacing w:line="240" w:lineRule="auto"/>
              <w:ind w:left="0" w:leftChars="0" w:firstLine="0" w:firstLineChars="0"/>
              <w:jc w:val="both"/>
              <w:rPr>
                <w:rFonts w:ascii="宋体" w:hAnsi="宋体" w:eastAsia="宋体" w:cs="Times New Roman"/>
                <w:b w:val="0"/>
                <w:spacing w:val="6"/>
                <w:sz w:val="21"/>
                <w:szCs w:val="21"/>
              </w:rPr>
            </w:pPr>
            <w:r>
              <w:rPr>
                <w:rFonts w:hint="eastAsia" w:ascii="宋体" w:hAnsi="宋体" w:eastAsia="宋体" w:cs="Times New Roman"/>
                <w:b w:val="0"/>
                <w:sz w:val="24"/>
                <w:szCs w:val="22"/>
              </w:rPr>
              <w:t>2. 按规定办理使用登记、变更登记及停用、报废手续，办理报废的设备应确认去功能化处理。</w:t>
            </w:r>
            <w:r>
              <w:rPr>
                <w:rFonts w:hint="eastAsia" w:ascii="宋体" w:hAnsi="宋体" w:eastAsia="宋体" w:cs="Times New Roman"/>
                <w:b w:val="0"/>
                <w:kern w:val="0"/>
                <w:sz w:val="24"/>
                <w:szCs w:val="22"/>
              </w:rPr>
              <w:t xml:space="preserve">  </w:t>
            </w:r>
          </w:p>
        </w:tc>
        <w:tc>
          <w:tcPr>
            <w:tcW w:w="1559" w:type="dxa"/>
            <w:vAlign w:val="center"/>
          </w:tcPr>
          <w:p w14:paraId="2478A2AB">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周排查</w:t>
            </w:r>
          </w:p>
        </w:tc>
        <w:tc>
          <w:tcPr>
            <w:tcW w:w="1455" w:type="dxa"/>
            <w:vAlign w:val="center"/>
          </w:tcPr>
          <w:p w14:paraId="5C872005">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安全总监</w:t>
            </w:r>
          </w:p>
        </w:tc>
        <w:tc>
          <w:tcPr>
            <w:tcW w:w="1136" w:type="dxa"/>
            <w:vAlign w:val="center"/>
          </w:tcPr>
          <w:p w14:paraId="110B726A">
            <w:pPr>
              <w:widowControl/>
              <w:spacing w:line="240" w:lineRule="auto"/>
              <w:ind w:left="0" w:leftChars="0" w:firstLine="0" w:firstLineChars="0"/>
              <w:jc w:val="center"/>
              <w:rPr>
                <w:rFonts w:ascii="宋体" w:hAnsi="宋体" w:eastAsia="宋体" w:cs="Times New Roman"/>
                <w:b w:val="0"/>
                <w:kern w:val="0"/>
                <w:sz w:val="24"/>
                <w:szCs w:val="22"/>
              </w:rPr>
            </w:pPr>
          </w:p>
        </w:tc>
      </w:tr>
      <w:tr w14:paraId="544A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dxa"/>
            <w:vAlign w:val="center"/>
          </w:tcPr>
          <w:p w14:paraId="4F2483B4">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8</w:t>
            </w:r>
          </w:p>
        </w:tc>
        <w:tc>
          <w:tcPr>
            <w:tcW w:w="1422" w:type="dxa"/>
            <w:vMerge w:val="continue"/>
            <w:vAlign w:val="center"/>
          </w:tcPr>
          <w:p w14:paraId="03140B68">
            <w:pPr>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2D626888">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sz w:val="24"/>
                <w:szCs w:val="22"/>
              </w:rPr>
              <w:t>未按规定进行经常性维护保养和自行检查</w:t>
            </w:r>
          </w:p>
        </w:tc>
        <w:tc>
          <w:tcPr>
            <w:tcW w:w="4301" w:type="dxa"/>
            <w:vAlign w:val="center"/>
          </w:tcPr>
          <w:p w14:paraId="547E42CF">
            <w:pPr>
              <w:widowControl/>
              <w:spacing w:line="240" w:lineRule="auto"/>
              <w:ind w:left="0" w:leftChars="0" w:firstLine="0" w:firstLineChars="0"/>
              <w:jc w:val="left"/>
              <w:rPr>
                <w:rFonts w:ascii="宋体" w:hAnsi="宋体" w:eastAsia="宋体" w:cs="Times New Roman"/>
                <w:b w:val="0"/>
                <w:spacing w:val="6"/>
                <w:sz w:val="21"/>
                <w:szCs w:val="21"/>
              </w:rPr>
            </w:pPr>
            <w:r>
              <w:rPr>
                <w:rFonts w:hint="eastAsia" w:ascii="宋体" w:hAnsi="宋体" w:eastAsia="宋体" w:cs="Times New Roman"/>
                <w:b w:val="0"/>
                <w:sz w:val="24"/>
                <w:szCs w:val="22"/>
              </w:rPr>
              <w:t>按规定制定维护保养制度和定期自行检查制度，并做好记录</w:t>
            </w:r>
          </w:p>
        </w:tc>
        <w:tc>
          <w:tcPr>
            <w:tcW w:w="1559" w:type="dxa"/>
            <w:vAlign w:val="center"/>
          </w:tcPr>
          <w:p w14:paraId="5CCF6CB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周排查</w:t>
            </w:r>
          </w:p>
        </w:tc>
        <w:tc>
          <w:tcPr>
            <w:tcW w:w="1455" w:type="dxa"/>
            <w:vAlign w:val="center"/>
          </w:tcPr>
          <w:p w14:paraId="5D0D24FB">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安全总监</w:t>
            </w:r>
          </w:p>
        </w:tc>
        <w:tc>
          <w:tcPr>
            <w:tcW w:w="1136" w:type="dxa"/>
            <w:vAlign w:val="center"/>
          </w:tcPr>
          <w:p w14:paraId="5B05296F">
            <w:pPr>
              <w:widowControl/>
              <w:spacing w:line="240" w:lineRule="auto"/>
              <w:ind w:left="0" w:leftChars="0" w:firstLine="0" w:firstLineChars="0"/>
              <w:jc w:val="center"/>
              <w:rPr>
                <w:rFonts w:ascii="宋体" w:hAnsi="宋体" w:eastAsia="宋体" w:cs="Times New Roman"/>
                <w:b w:val="0"/>
                <w:kern w:val="0"/>
                <w:sz w:val="24"/>
                <w:szCs w:val="22"/>
              </w:rPr>
            </w:pPr>
          </w:p>
        </w:tc>
      </w:tr>
      <w:tr w14:paraId="3596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807" w:type="dxa"/>
            <w:vAlign w:val="center"/>
          </w:tcPr>
          <w:p w14:paraId="2C971B81">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9</w:t>
            </w:r>
          </w:p>
        </w:tc>
        <w:tc>
          <w:tcPr>
            <w:tcW w:w="1422" w:type="dxa"/>
            <w:vMerge w:val="continue"/>
            <w:vAlign w:val="center"/>
          </w:tcPr>
          <w:p w14:paraId="2D5996C1">
            <w:pPr>
              <w:widowControl/>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2E0855C6">
            <w:pPr>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sz w:val="24"/>
                <w:szCs w:val="22"/>
              </w:rPr>
              <w:t>未建立起重机械事故应急专项预案并定期演练</w:t>
            </w:r>
          </w:p>
        </w:tc>
        <w:tc>
          <w:tcPr>
            <w:tcW w:w="4301" w:type="dxa"/>
            <w:vAlign w:val="center"/>
          </w:tcPr>
          <w:p w14:paraId="593AFA85">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 xml:space="preserve">制定起重机械事故应急救援专项预案并每年至少进行1次事故演练 </w:t>
            </w:r>
          </w:p>
        </w:tc>
        <w:tc>
          <w:tcPr>
            <w:tcW w:w="1559" w:type="dxa"/>
            <w:vAlign w:val="center"/>
          </w:tcPr>
          <w:p w14:paraId="272E8D81">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月调度</w:t>
            </w:r>
          </w:p>
        </w:tc>
        <w:tc>
          <w:tcPr>
            <w:tcW w:w="1455" w:type="dxa"/>
            <w:vAlign w:val="center"/>
          </w:tcPr>
          <w:p w14:paraId="355456F7">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主要负责人</w:t>
            </w:r>
          </w:p>
        </w:tc>
        <w:tc>
          <w:tcPr>
            <w:tcW w:w="1136" w:type="dxa"/>
            <w:vAlign w:val="center"/>
          </w:tcPr>
          <w:p w14:paraId="185109C3">
            <w:pPr>
              <w:widowControl/>
              <w:spacing w:line="240" w:lineRule="auto"/>
              <w:ind w:left="0" w:leftChars="0" w:firstLine="0" w:firstLineChars="0"/>
              <w:jc w:val="center"/>
              <w:rPr>
                <w:rFonts w:ascii="宋体" w:hAnsi="宋体" w:eastAsia="宋体" w:cs="Times New Roman"/>
                <w:b w:val="0"/>
                <w:kern w:val="0"/>
                <w:sz w:val="24"/>
                <w:szCs w:val="22"/>
              </w:rPr>
            </w:pPr>
          </w:p>
        </w:tc>
      </w:tr>
      <w:tr w14:paraId="379F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807" w:type="dxa"/>
            <w:vAlign w:val="center"/>
          </w:tcPr>
          <w:p w14:paraId="7B2106AB">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4"/>
              </w:rPr>
              <w:t>1</w:t>
            </w:r>
            <w:r>
              <w:rPr>
                <w:rFonts w:ascii="宋体" w:hAnsi="宋体" w:eastAsia="宋体" w:cs="Times New Roman"/>
                <w:b w:val="0"/>
                <w:kern w:val="0"/>
                <w:sz w:val="24"/>
                <w:szCs w:val="24"/>
              </w:rPr>
              <w:t>0</w:t>
            </w:r>
          </w:p>
        </w:tc>
        <w:tc>
          <w:tcPr>
            <w:tcW w:w="1422" w:type="dxa"/>
            <w:vMerge w:val="continue"/>
            <w:vAlign w:val="center"/>
          </w:tcPr>
          <w:p w14:paraId="41BFE779">
            <w:pPr>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65BB941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登高作业风险</w:t>
            </w:r>
          </w:p>
        </w:tc>
        <w:tc>
          <w:tcPr>
            <w:tcW w:w="4301" w:type="dxa"/>
            <w:vAlign w:val="center"/>
          </w:tcPr>
          <w:p w14:paraId="027AEB3A">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操作人员穿戴劳动保护用具（如安全帽、安全鞋），严格遵守安全操作规程，采取必要的安全防护措施</w:t>
            </w:r>
          </w:p>
        </w:tc>
        <w:tc>
          <w:tcPr>
            <w:tcW w:w="1559" w:type="dxa"/>
            <w:vAlign w:val="center"/>
          </w:tcPr>
          <w:p w14:paraId="542CCECE">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日管控</w:t>
            </w:r>
          </w:p>
        </w:tc>
        <w:tc>
          <w:tcPr>
            <w:tcW w:w="1455" w:type="dxa"/>
            <w:vAlign w:val="center"/>
          </w:tcPr>
          <w:p w14:paraId="38FF4A3C">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安全员</w:t>
            </w:r>
          </w:p>
        </w:tc>
        <w:tc>
          <w:tcPr>
            <w:tcW w:w="1136" w:type="dxa"/>
            <w:vAlign w:val="center"/>
          </w:tcPr>
          <w:p w14:paraId="33A00F91">
            <w:pPr>
              <w:widowControl/>
              <w:spacing w:line="240" w:lineRule="auto"/>
              <w:ind w:left="0" w:leftChars="0" w:firstLine="0" w:firstLineChars="0"/>
              <w:jc w:val="center"/>
              <w:rPr>
                <w:rFonts w:ascii="宋体" w:hAnsi="宋体" w:eastAsia="宋体" w:cs="Times New Roman"/>
                <w:b w:val="0"/>
                <w:kern w:val="0"/>
                <w:sz w:val="24"/>
                <w:szCs w:val="22"/>
              </w:rPr>
            </w:pPr>
          </w:p>
        </w:tc>
      </w:tr>
      <w:tr w14:paraId="30DE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807" w:type="dxa"/>
            <w:vAlign w:val="center"/>
          </w:tcPr>
          <w:p w14:paraId="15F26B8E">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11</w:t>
            </w:r>
          </w:p>
        </w:tc>
        <w:tc>
          <w:tcPr>
            <w:tcW w:w="1422" w:type="dxa"/>
            <w:vMerge w:val="restart"/>
            <w:vAlign w:val="center"/>
          </w:tcPr>
          <w:p w14:paraId="56F784F9">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设备</w:t>
            </w:r>
          </w:p>
        </w:tc>
        <w:tc>
          <w:tcPr>
            <w:tcW w:w="3494" w:type="dxa"/>
            <w:vAlign w:val="center"/>
          </w:tcPr>
          <w:p w14:paraId="297111EB">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未按要求使用符合要求的特种设备或使用国家明令禁止，未按实际情况选择</w:t>
            </w:r>
            <w:r>
              <w:rPr>
                <w:rFonts w:ascii="宋体" w:hAnsi="宋体" w:eastAsia="宋体" w:cs="Times New Roman"/>
                <w:b w:val="0"/>
                <w:kern w:val="0"/>
                <w:sz w:val="24"/>
                <w:szCs w:val="22"/>
              </w:rPr>
              <w:t>适合使用条件要求的</w:t>
            </w:r>
            <w:r>
              <w:rPr>
                <w:rFonts w:hint="eastAsia" w:ascii="宋体" w:hAnsi="宋体" w:eastAsia="宋体" w:cs="Times New Roman"/>
                <w:b w:val="0"/>
                <w:kern w:val="0"/>
                <w:sz w:val="24"/>
                <w:szCs w:val="22"/>
              </w:rPr>
              <w:t>起重机械</w:t>
            </w:r>
          </w:p>
        </w:tc>
        <w:tc>
          <w:tcPr>
            <w:tcW w:w="4301" w:type="dxa"/>
            <w:vAlign w:val="center"/>
          </w:tcPr>
          <w:p w14:paraId="2521A257">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1.制定特种设备采购、安装、改造、修理、报废等管理制度；</w:t>
            </w:r>
          </w:p>
          <w:p w14:paraId="1E9F625C">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2.对计划新增设备采购前</w:t>
            </w:r>
            <w:r>
              <w:rPr>
                <w:rFonts w:ascii="宋体" w:hAnsi="宋体" w:eastAsia="宋体" w:cs="Times New Roman"/>
                <w:b w:val="0"/>
                <w:kern w:val="0"/>
                <w:sz w:val="24"/>
                <w:szCs w:val="22"/>
              </w:rPr>
              <w:t>根据</w:t>
            </w:r>
            <w:r>
              <w:rPr>
                <w:rFonts w:hint="eastAsia" w:ascii="宋体" w:hAnsi="宋体" w:eastAsia="宋体" w:cs="Times New Roman"/>
                <w:b w:val="0"/>
                <w:kern w:val="0"/>
                <w:sz w:val="24"/>
                <w:szCs w:val="22"/>
              </w:rPr>
              <w:t>起重机械</w:t>
            </w:r>
            <w:r>
              <w:rPr>
                <w:rFonts w:ascii="宋体" w:hAnsi="宋体" w:eastAsia="宋体" w:cs="Times New Roman"/>
                <w:b w:val="0"/>
                <w:kern w:val="0"/>
                <w:sz w:val="24"/>
                <w:szCs w:val="22"/>
              </w:rPr>
              <w:t>的用途、使用环境，选择适合使用条件要求的</w:t>
            </w:r>
            <w:r>
              <w:rPr>
                <w:rFonts w:hint="eastAsia" w:ascii="宋体" w:hAnsi="宋体" w:eastAsia="宋体" w:cs="Times New Roman"/>
                <w:b w:val="0"/>
                <w:kern w:val="0"/>
                <w:sz w:val="24"/>
                <w:szCs w:val="22"/>
              </w:rPr>
              <w:t>起重机械</w:t>
            </w:r>
            <w:r>
              <w:rPr>
                <w:rFonts w:ascii="宋体" w:hAnsi="宋体" w:eastAsia="宋体" w:cs="Times New Roman"/>
                <w:b w:val="0"/>
                <w:kern w:val="0"/>
                <w:sz w:val="24"/>
                <w:szCs w:val="22"/>
              </w:rPr>
              <w:t>，并且对所使用</w:t>
            </w:r>
            <w:r>
              <w:rPr>
                <w:rFonts w:hint="eastAsia" w:ascii="宋体" w:hAnsi="宋体" w:eastAsia="宋体" w:cs="Times New Roman"/>
                <w:b w:val="0"/>
                <w:kern w:val="0"/>
                <w:sz w:val="24"/>
                <w:szCs w:val="22"/>
              </w:rPr>
              <w:t>起重机械</w:t>
            </w:r>
            <w:r>
              <w:rPr>
                <w:rFonts w:ascii="宋体" w:hAnsi="宋体" w:eastAsia="宋体" w:cs="Times New Roman"/>
                <w:b w:val="0"/>
                <w:kern w:val="0"/>
                <w:sz w:val="24"/>
                <w:szCs w:val="22"/>
              </w:rPr>
              <w:t>的选型负责。</w:t>
            </w:r>
          </w:p>
        </w:tc>
        <w:tc>
          <w:tcPr>
            <w:tcW w:w="1559" w:type="dxa"/>
            <w:vAlign w:val="center"/>
          </w:tcPr>
          <w:p w14:paraId="0944E5D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455" w:type="dxa"/>
            <w:vAlign w:val="center"/>
          </w:tcPr>
          <w:p w14:paraId="0A709DD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136" w:type="dxa"/>
            <w:vAlign w:val="center"/>
          </w:tcPr>
          <w:p w14:paraId="749309BE">
            <w:pPr>
              <w:widowControl/>
              <w:spacing w:line="240" w:lineRule="auto"/>
              <w:ind w:left="0" w:leftChars="0" w:firstLine="0" w:firstLineChars="0"/>
              <w:jc w:val="center"/>
              <w:rPr>
                <w:rFonts w:ascii="宋体" w:hAnsi="宋体" w:eastAsia="宋体" w:cs="Times New Roman"/>
                <w:b w:val="0"/>
                <w:kern w:val="0"/>
                <w:sz w:val="24"/>
                <w:szCs w:val="22"/>
              </w:rPr>
            </w:pPr>
          </w:p>
        </w:tc>
      </w:tr>
      <w:tr w14:paraId="0A18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807" w:type="dxa"/>
            <w:vAlign w:val="center"/>
          </w:tcPr>
          <w:p w14:paraId="427C7E66">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12</w:t>
            </w:r>
          </w:p>
        </w:tc>
        <w:tc>
          <w:tcPr>
            <w:tcW w:w="1422" w:type="dxa"/>
            <w:vMerge w:val="continue"/>
            <w:vAlign w:val="center"/>
          </w:tcPr>
          <w:p w14:paraId="78CB2950">
            <w:pPr>
              <w:widowControl/>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6B1528A3">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未按有关规定起重机械</w:t>
            </w:r>
            <w:r>
              <w:rPr>
                <w:rFonts w:ascii="宋体" w:hAnsi="宋体" w:eastAsia="宋体" w:cs="Times New Roman"/>
                <w:b w:val="0"/>
                <w:kern w:val="0"/>
                <w:sz w:val="24"/>
                <w:szCs w:val="22"/>
              </w:rPr>
              <w:t>定期检验，设备超期未检</w:t>
            </w:r>
          </w:p>
        </w:tc>
        <w:tc>
          <w:tcPr>
            <w:tcW w:w="4301" w:type="dxa"/>
            <w:vAlign w:val="center"/>
          </w:tcPr>
          <w:p w14:paraId="52BBF7FA">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1.制定特种设备检验制度和检验计划；</w:t>
            </w:r>
          </w:p>
          <w:p w14:paraId="7DF2EB5E">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2.明确</w:t>
            </w:r>
            <w:r>
              <w:rPr>
                <w:rFonts w:ascii="宋体" w:hAnsi="宋体" w:eastAsia="宋体" w:cs="Times New Roman"/>
                <w:b w:val="0"/>
                <w:sz w:val="24"/>
                <w:szCs w:val="24"/>
              </w:rPr>
              <w:t>安全总监</w:t>
            </w:r>
            <w:r>
              <w:rPr>
                <w:rFonts w:hint="eastAsia" w:ascii="宋体" w:hAnsi="宋体" w:eastAsia="宋体" w:cs="Times New Roman"/>
                <w:b w:val="0"/>
                <w:kern w:val="0"/>
                <w:sz w:val="24"/>
                <w:szCs w:val="22"/>
              </w:rPr>
              <w:t>负责定期检验和后续整改工作。</w:t>
            </w:r>
          </w:p>
        </w:tc>
        <w:tc>
          <w:tcPr>
            <w:tcW w:w="1559" w:type="dxa"/>
            <w:vAlign w:val="center"/>
          </w:tcPr>
          <w:p w14:paraId="1AD965CE">
            <w:pPr>
              <w:spacing w:line="240" w:lineRule="auto"/>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w:t>
            </w:r>
            <w:r>
              <w:rPr>
                <w:rFonts w:ascii="宋体" w:hAnsi="宋体" w:eastAsia="宋体" w:cs="Times New Roman"/>
                <w:b w:val="0"/>
                <w:sz w:val="24"/>
                <w:szCs w:val="24"/>
              </w:rPr>
              <w:t>调度</w:t>
            </w:r>
          </w:p>
        </w:tc>
        <w:tc>
          <w:tcPr>
            <w:tcW w:w="1455" w:type="dxa"/>
            <w:vAlign w:val="center"/>
          </w:tcPr>
          <w:p w14:paraId="0AA592F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1136" w:type="dxa"/>
            <w:vAlign w:val="center"/>
          </w:tcPr>
          <w:p w14:paraId="1665D7A0">
            <w:pPr>
              <w:widowControl/>
              <w:spacing w:line="240" w:lineRule="auto"/>
              <w:ind w:left="0" w:leftChars="0" w:firstLine="0" w:firstLineChars="0"/>
              <w:jc w:val="center"/>
              <w:rPr>
                <w:rFonts w:ascii="宋体" w:hAnsi="宋体" w:eastAsia="宋体" w:cs="Times New Roman"/>
                <w:b w:val="0"/>
                <w:kern w:val="0"/>
                <w:sz w:val="24"/>
                <w:szCs w:val="22"/>
              </w:rPr>
            </w:pPr>
          </w:p>
        </w:tc>
      </w:tr>
      <w:tr w14:paraId="3EC1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807" w:type="dxa"/>
            <w:vAlign w:val="center"/>
          </w:tcPr>
          <w:p w14:paraId="4EDB1B1E">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13</w:t>
            </w:r>
          </w:p>
        </w:tc>
        <w:tc>
          <w:tcPr>
            <w:tcW w:w="1422" w:type="dxa"/>
            <w:vMerge w:val="restart"/>
            <w:vAlign w:val="center"/>
          </w:tcPr>
          <w:p w14:paraId="3A454A60">
            <w:pPr>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设备</w:t>
            </w:r>
          </w:p>
        </w:tc>
        <w:tc>
          <w:tcPr>
            <w:tcW w:w="3494" w:type="dxa"/>
            <w:vAlign w:val="center"/>
          </w:tcPr>
          <w:p w14:paraId="43736C17">
            <w:pPr>
              <w:widowControl/>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kern w:val="0"/>
                <w:sz w:val="24"/>
                <w:szCs w:val="22"/>
              </w:rPr>
              <w:t>吊索具</w:t>
            </w:r>
            <w:r>
              <w:rPr>
                <w:rFonts w:hint="eastAsia" w:ascii="宋体" w:hAnsi="宋体" w:eastAsia="宋体" w:cs="Times New Roman"/>
                <w:b w:val="0"/>
                <w:sz w:val="24"/>
                <w:szCs w:val="22"/>
              </w:rPr>
              <w:t>未设置防止吊物意外脱钩的安全装置，吊索具出现危险断面磨损超过10%、裂纹、焊补、塑性变形、扭转变形</w:t>
            </w:r>
          </w:p>
        </w:tc>
        <w:tc>
          <w:tcPr>
            <w:tcW w:w="4301" w:type="dxa"/>
            <w:vAlign w:val="center"/>
          </w:tcPr>
          <w:p w14:paraId="0662680F">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 xml:space="preserve">1.检查吊索具防脱钩装置情况； </w:t>
            </w:r>
          </w:p>
          <w:p w14:paraId="3B29DB2B">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2.定期检查吊索具磨损、塑性变形、扭转变形情况 。</w:t>
            </w:r>
          </w:p>
        </w:tc>
        <w:tc>
          <w:tcPr>
            <w:tcW w:w="1559" w:type="dxa"/>
            <w:vAlign w:val="center"/>
          </w:tcPr>
          <w:p w14:paraId="3E569C39">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日管控</w:t>
            </w:r>
          </w:p>
        </w:tc>
        <w:tc>
          <w:tcPr>
            <w:tcW w:w="1455" w:type="dxa"/>
            <w:vAlign w:val="center"/>
          </w:tcPr>
          <w:p w14:paraId="0239427E">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安全员</w:t>
            </w:r>
          </w:p>
        </w:tc>
        <w:tc>
          <w:tcPr>
            <w:tcW w:w="1136" w:type="dxa"/>
            <w:vAlign w:val="center"/>
          </w:tcPr>
          <w:p w14:paraId="172EAD47">
            <w:pPr>
              <w:widowControl/>
              <w:spacing w:line="240" w:lineRule="auto"/>
              <w:ind w:left="0" w:leftChars="0" w:firstLine="0" w:firstLineChars="0"/>
              <w:jc w:val="center"/>
              <w:rPr>
                <w:rFonts w:ascii="宋体" w:hAnsi="宋体" w:eastAsia="宋体" w:cs="Times New Roman"/>
                <w:b w:val="0"/>
                <w:kern w:val="0"/>
                <w:sz w:val="24"/>
                <w:szCs w:val="22"/>
              </w:rPr>
            </w:pPr>
          </w:p>
        </w:tc>
      </w:tr>
      <w:tr w14:paraId="511D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807" w:type="dxa"/>
            <w:vAlign w:val="center"/>
          </w:tcPr>
          <w:p w14:paraId="1F0C9A78">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14</w:t>
            </w:r>
          </w:p>
        </w:tc>
        <w:tc>
          <w:tcPr>
            <w:tcW w:w="1422" w:type="dxa"/>
            <w:vMerge w:val="continue"/>
            <w:vAlign w:val="center"/>
          </w:tcPr>
          <w:p w14:paraId="0385D017">
            <w:pPr>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3C38DAB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未对钢丝绳进行日常检查，未发现钢丝绳的脱槽、断丝、磨损、压扁、扭结、笼形畸形等异常情况</w:t>
            </w:r>
          </w:p>
        </w:tc>
        <w:tc>
          <w:tcPr>
            <w:tcW w:w="4301" w:type="dxa"/>
            <w:vAlign w:val="center"/>
          </w:tcPr>
          <w:p w14:paraId="53B844E2">
            <w:pPr>
              <w:widowControl/>
              <w:spacing w:line="240" w:lineRule="auto"/>
              <w:ind w:left="0" w:leftChars="0" w:firstLine="0" w:firstLineChars="0"/>
              <w:jc w:val="left"/>
              <w:rPr>
                <w:rFonts w:hint="eastAsia" w:ascii="宋体" w:hAnsi="宋体" w:eastAsia="宋体" w:cs="Times New Roman"/>
                <w:b w:val="0"/>
                <w:kern w:val="0"/>
                <w:sz w:val="24"/>
                <w:szCs w:val="22"/>
                <w:lang w:val="en-US" w:eastAsia="zh-CN"/>
              </w:rPr>
            </w:pPr>
            <w:r>
              <w:rPr>
                <w:rFonts w:hint="eastAsia" w:ascii="宋体" w:hAnsi="宋体" w:eastAsia="宋体" w:cs="Times New Roman"/>
                <w:b w:val="0"/>
                <w:kern w:val="0"/>
                <w:sz w:val="24"/>
                <w:szCs w:val="22"/>
                <w:lang w:val="en-US" w:eastAsia="zh-CN"/>
              </w:rPr>
              <w:t>每日检查钢丝绳损伤情况；</w:t>
            </w:r>
          </w:p>
          <w:p w14:paraId="138F338E">
            <w:pPr>
              <w:widowControl/>
              <w:spacing w:line="240" w:lineRule="auto"/>
              <w:ind w:left="0" w:leftChars="0" w:firstLine="0" w:firstLineChars="0"/>
              <w:jc w:val="left"/>
              <w:rPr>
                <w:rFonts w:hint="eastAsia" w:ascii="宋体" w:hAnsi="宋体" w:eastAsia="宋体" w:cs="Times New Roman"/>
                <w:b w:val="0"/>
                <w:kern w:val="0"/>
                <w:sz w:val="24"/>
                <w:szCs w:val="22"/>
                <w:lang w:val="en-US" w:eastAsia="zh-CN"/>
              </w:rPr>
            </w:pPr>
            <w:r>
              <w:rPr>
                <w:rFonts w:hint="eastAsia" w:ascii="宋体" w:hAnsi="宋体" w:eastAsia="宋体" w:cs="Times New Roman"/>
                <w:b w:val="0"/>
                <w:kern w:val="0"/>
                <w:sz w:val="24"/>
                <w:szCs w:val="22"/>
                <w:lang w:val="en-US" w:eastAsia="zh-CN"/>
              </w:rPr>
              <w:t>及时更换出现缺陷钢丝绳。</w:t>
            </w:r>
          </w:p>
        </w:tc>
        <w:tc>
          <w:tcPr>
            <w:tcW w:w="1559" w:type="dxa"/>
            <w:vAlign w:val="center"/>
          </w:tcPr>
          <w:p w14:paraId="12CFDF84">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日管控</w:t>
            </w:r>
          </w:p>
        </w:tc>
        <w:tc>
          <w:tcPr>
            <w:tcW w:w="1455" w:type="dxa"/>
            <w:vAlign w:val="center"/>
          </w:tcPr>
          <w:p w14:paraId="099CDF97">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安全员</w:t>
            </w:r>
          </w:p>
        </w:tc>
        <w:tc>
          <w:tcPr>
            <w:tcW w:w="1136" w:type="dxa"/>
            <w:vAlign w:val="center"/>
          </w:tcPr>
          <w:p w14:paraId="5DA9C95D">
            <w:pPr>
              <w:widowControl/>
              <w:spacing w:line="240" w:lineRule="auto"/>
              <w:ind w:left="0" w:leftChars="0" w:firstLine="0" w:firstLineChars="0"/>
              <w:jc w:val="center"/>
              <w:rPr>
                <w:rFonts w:ascii="宋体" w:hAnsi="宋体" w:eastAsia="宋体" w:cs="Times New Roman"/>
                <w:b w:val="0"/>
                <w:kern w:val="0"/>
                <w:sz w:val="24"/>
                <w:szCs w:val="22"/>
              </w:rPr>
            </w:pPr>
          </w:p>
        </w:tc>
      </w:tr>
      <w:tr w14:paraId="02A9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807" w:type="dxa"/>
            <w:vAlign w:val="center"/>
          </w:tcPr>
          <w:p w14:paraId="4FE90E94">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15</w:t>
            </w:r>
          </w:p>
        </w:tc>
        <w:tc>
          <w:tcPr>
            <w:tcW w:w="1422" w:type="dxa"/>
            <w:vMerge w:val="continue"/>
            <w:vAlign w:val="center"/>
          </w:tcPr>
          <w:p w14:paraId="3E3C26E8">
            <w:pPr>
              <w:widowControl/>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57311DF5">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桥、粱架等</w:t>
            </w:r>
            <w:r>
              <w:rPr>
                <w:rFonts w:hint="eastAsia" w:ascii="宋体" w:hAnsi="宋体" w:eastAsia="宋体" w:cs="Times New Roman"/>
                <w:b w:val="0"/>
                <w:sz w:val="24"/>
                <w:szCs w:val="24"/>
              </w:rPr>
              <w:t>主要受力构件发生明显的腐蚀、裂纹、塑性变形等</w:t>
            </w:r>
          </w:p>
        </w:tc>
        <w:tc>
          <w:tcPr>
            <w:tcW w:w="4301" w:type="dxa"/>
            <w:vAlign w:val="center"/>
          </w:tcPr>
          <w:p w14:paraId="43DE6969">
            <w:pPr>
              <w:numPr>
                <w:ilvl w:val="0"/>
                <w:numId w:val="33"/>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定期对主要受力构件进行防腐蚀处理；</w:t>
            </w:r>
          </w:p>
          <w:p w14:paraId="1A8846B5">
            <w:pPr>
              <w:numPr>
                <w:ilvl w:val="0"/>
                <w:numId w:val="33"/>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对发生明显的腐蚀主梁、吊具横梁的受拉区的对接焊缝进行射线或者超声检测。</w:t>
            </w:r>
          </w:p>
        </w:tc>
        <w:tc>
          <w:tcPr>
            <w:tcW w:w="1559" w:type="dxa"/>
            <w:vAlign w:val="center"/>
          </w:tcPr>
          <w:p w14:paraId="7DACB699">
            <w:pPr>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周排查</w:t>
            </w:r>
          </w:p>
        </w:tc>
        <w:tc>
          <w:tcPr>
            <w:tcW w:w="1455" w:type="dxa"/>
            <w:vAlign w:val="center"/>
          </w:tcPr>
          <w:p w14:paraId="7CD80AC2">
            <w:pPr>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sz w:val="24"/>
                <w:szCs w:val="24"/>
              </w:rPr>
              <w:t>安全总监</w:t>
            </w:r>
          </w:p>
        </w:tc>
        <w:tc>
          <w:tcPr>
            <w:tcW w:w="1136" w:type="dxa"/>
            <w:vAlign w:val="center"/>
          </w:tcPr>
          <w:p w14:paraId="623CFBD1">
            <w:pPr>
              <w:widowControl/>
              <w:spacing w:line="240" w:lineRule="auto"/>
              <w:ind w:left="0" w:leftChars="0" w:firstLine="0" w:firstLineChars="0"/>
              <w:jc w:val="center"/>
              <w:rPr>
                <w:rFonts w:ascii="宋体" w:hAnsi="宋体" w:eastAsia="宋体" w:cs="Times New Roman"/>
                <w:b w:val="0"/>
                <w:kern w:val="0"/>
                <w:sz w:val="24"/>
                <w:szCs w:val="22"/>
              </w:rPr>
            </w:pPr>
          </w:p>
        </w:tc>
      </w:tr>
      <w:tr w14:paraId="027B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807" w:type="dxa"/>
            <w:vAlign w:val="center"/>
          </w:tcPr>
          <w:p w14:paraId="03E6C99D">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16</w:t>
            </w:r>
          </w:p>
        </w:tc>
        <w:tc>
          <w:tcPr>
            <w:tcW w:w="1422" w:type="dxa"/>
            <w:vMerge w:val="restart"/>
            <w:vAlign w:val="center"/>
          </w:tcPr>
          <w:p w14:paraId="0BCBAD06">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kern w:val="0"/>
                <w:sz w:val="24"/>
                <w:szCs w:val="22"/>
              </w:rPr>
              <w:t>安全保护</w:t>
            </w:r>
          </w:p>
          <w:p w14:paraId="195670F7">
            <w:pPr>
              <w:widowControl/>
              <w:spacing w:line="240" w:lineRule="auto"/>
              <w:ind w:left="0" w:leftChars="0" w:firstLine="0" w:firstLineChars="0"/>
              <w:jc w:val="center"/>
              <w:rPr>
                <w:rFonts w:ascii="宋体" w:hAnsi="宋体" w:eastAsia="宋体" w:cs="Times New Roman"/>
                <w:b w:val="0"/>
                <w:kern w:val="0"/>
                <w:sz w:val="24"/>
                <w:szCs w:val="22"/>
              </w:rPr>
            </w:pPr>
            <w:r>
              <w:rPr>
                <w:rFonts w:ascii="宋体" w:hAnsi="宋体" w:eastAsia="宋体" w:cs="Times New Roman"/>
                <w:b w:val="0"/>
                <w:kern w:val="0"/>
                <w:sz w:val="24"/>
                <w:szCs w:val="22"/>
              </w:rPr>
              <w:t>装置</w:t>
            </w:r>
          </w:p>
        </w:tc>
        <w:tc>
          <w:tcPr>
            <w:tcW w:w="3494" w:type="dxa"/>
            <w:vAlign w:val="center"/>
          </w:tcPr>
          <w:p w14:paraId="234B1221">
            <w:pPr>
              <w:spacing w:line="240" w:lineRule="auto"/>
              <w:ind w:left="0" w:leftChars="0" w:firstLine="0" w:firstLineChars="0"/>
              <w:jc w:val="both"/>
              <w:rPr>
                <w:rFonts w:ascii="宋体" w:hAnsi="宋体" w:eastAsia="宋体" w:cs="Times New Roman"/>
                <w:b w:val="0"/>
                <w:sz w:val="24"/>
                <w:szCs w:val="24"/>
              </w:rPr>
            </w:pPr>
            <w:r>
              <w:rPr>
                <w:rFonts w:hint="eastAsia" w:ascii="宋体" w:hAnsi="宋体" w:eastAsia="宋体" w:cs="Times New Roman"/>
                <w:b w:val="0"/>
                <w:sz w:val="24"/>
                <w:szCs w:val="24"/>
              </w:rPr>
              <w:t>上限位装置、断错相保护、制动器、行程限位、漏电保护器等安全保护装置的故障及缺损</w:t>
            </w:r>
          </w:p>
        </w:tc>
        <w:tc>
          <w:tcPr>
            <w:tcW w:w="4301" w:type="dxa"/>
            <w:vAlign w:val="center"/>
          </w:tcPr>
          <w:p w14:paraId="7B438E42">
            <w:pPr>
              <w:spacing w:line="240" w:lineRule="auto"/>
              <w:ind w:left="0" w:leftChars="0" w:firstLine="0" w:firstLineChars="0"/>
              <w:jc w:val="both"/>
              <w:rPr>
                <w:rFonts w:ascii="宋体" w:hAnsi="宋体" w:eastAsia="宋体" w:cs="Times New Roman"/>
                <w:b w:val="0"/>
                <w:sz w:val="24"/>
                <w:szCs w:val="24"/>
              </w:rPr>
            </w:pPr>
            <w:r>
              <w:rPr>
                <w:rFonts w:hint="eastAsia" w:ascii="宋体" w:hAnsi="宋体" w:eastAsia="宋体" w:cs="Times New Roman"/>
                <w:b w:val="0"/>
                <w:sz w:val="24"/>
                <w:szCs w:val="24"/>
              </w:rPr>
              <w:t>1.检查并空车试运行安全保护装置运行情况；</w:t>
            </w:r>
          </w:p>
          <w:p w14:paraId="3E94F2E4">
            <w:pPr>
              <w:spacing w:line="240" w:lineRule="auto"/>
              <w:ind w:left="0" w:leftChars="0" w:firstLine="0" w:firstLineChars="0"/>
              <w:jc w:val="both"/>
              <w:rPr>
                <w:rFonts w:ascii="宋体" w:hAnsi="宋体" w:eastAsia="宋体" w:cs="Times New Roman"/>
                <w:b w:val="0"/>
                <w:sz w:val="24"/>
                <w:szCs w:val="24"/>
              </w:rPr>
            </w:pPr>
            <w:r>
              <w:rPr>
                <w:rFonts w:hint="eastAsia" w:ascii="宋体" w:hAnsi="宋体" w:eastAsia="宋体" w:cs="Times New Roman"/>
                <w:b w:val="0"/>
                <w:sz w:val="24"/>
                <w:szCs w:val="24"/>
              </w:rPr>
              <w:t>2.及时修理损坏的元件。</w:t>
            </w:r>
          </w:p>
        </w:tc>
        <w:tc>
          <w:tcPr>
            <w:tcW w:w="1559" w:type="dxa"/>
            <w:vAlign w:val="center"/>
          </w:tcPr>
          <w:p w14:paraId="1F5D7BE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日管控</w:t>
            </w:r>
          </w:p>
        </w:tc>
        <w:tc>
          <w:tcPr>
            <w:tcW w:w="1455" w:type="dxa"/>
            <w:vAlign w:val="center"/>
          </w:tcPr>
          <w:p w14:paraId="60A4C61C">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安全员</w:t>
            </w:r>
          </w:p>
        </w:tc>
        <w:tc>
          <w:tcPr>
            <w:tcW w:w="1136" w:type="dxa"/>
            <w:vAlign w:val="center"/>
          </w:tcPr>
          <w:p w14:paraId="6F8FA27E">
            <w:pPr>
              <w:widowControl/>
              <w:spacing w:line="240" w:lineRule="auto"/>
              <w:ind w:left="0" w:leftChars="0" w:firstLine="0" w:firstLineChars="0"/>
              <w:jc w:val="center"/>
              <w:rPr>
                <w:rFonts w:ascii="宋体" w:hAnsi="宋体" w:eastAsia="宋体" w:cs="Times New Roman"/>
                <w:b w:val="0"/>
                <w:kern w:val="0"/>
                <w:sz w:val="24"/>
                <w:szCs w:val="22"/>
              </w:rPr>
            </w:pPr>
          </w:p>
        </w:tc>
      </w:tr>
      <w:tr w14:paraId="57FD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807" w:type="dxa"/>
            <w:vAlign w:val="center"/>
          </w:tcPr>
          <w:p w14:paraId="6F57BB9F">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17</w:t>
            </w:r>
          </w:p>
        </w:tc>
        <w:tc>
          <w:tcPr>
            <w:tcW w:w="1422" w:type="dxa"/>
            <w:vMerge w:val="continue"/>
            <w:vAlign w:val="center"/>
          </w:tcPr>
          <w:p w14:paraId="199925A9">
            <w:pPr>
              <w:widowControl/>
              <w:spacing w:line="240" w:lineRule="auto"/>
              <w:ind w:left="0" w:leftChars="0" w:firstLine="0" w:firstLineChars="0"/>
              <w:jc w:val="center"/>
              <w:rPr>
                <w:rFonts w:ascii="宋体" w:hAnsi="宋体" w:eastAsia="宋体" w:cs="Times New Roman"/>
                <w:b w:val="0"/>
                <w:kern w:val="0"/>
                <w:sz w:val="24"/>
                <w:szCs w:val="22"/>
              </w:rPr>
            </w:pPr>
          </w:p>
        </w:tc>
        <w:tc>
          <w:tcPr>
            <w:tcW w:w="3494" w:type="dxa"/>
            <w:vAlign w:val="center"/>
          </w:tcPr>
          <w:p w14:paraId="79FD0189">
            <w:pPr>
              <w:spacing w:line="240" w:lineRule="auto"/>
              <w:ind w:left="0" w:leftChars="0" w:firstLine="0" w:firstLineChars="0"/>
              <w:jc w:val="both"/>
              <w:rPr>
                <w:rFonts w:ascii="宋体" w:hAnsi="宋体" w:eastAsia="宋体" w:cs="Times New Roman"/>
                <w:b w:val="0"/>
                <w:kern w:val="0"/>
                <w:sz w:val="24"/>
                <w:szCs w:val="24"/>
              </w:rPr>
            </w:pPr>
            <w:r>
              <w:rPr>
                <w:rFonts w:hint="eastAsia" w:ascii="宋体" w:hAnsi="宋体" w:eastAsia="宋体" w:cs="Times New Roman"/>
                <w:b w:val="0"/>
                <w:kern w:val="0"/>
                <w:sz w:val="24"/>
                <w:szCs w:val="24"/>
              </w:rPr>
              <w:t>急停开关功能缺失</w:t>
            </w:r>
          </w:p>
        </w:tc>
        <w:tc>
          <w:tcPr>
            <w:tcW w:w="4301" w:type="dxa"/>
            <w:vAlign w:val="center"/>
          </w:tcPr>
          <w:p w14:paraId="6C312B51">
            <w:pPr>
              <w:spacing w:line="240" w:lineRule="auto"/>
              <w:ind w:left="0" w:leftChars="0" w:firstLine="0" w:firstLineChars="0"/>
              <w:jc w:val="both"/>
              <w:rPr>
                <w:rFonts w:ascii="宋体" w:hAnsi="宋体" w:eastAsia="宋体" w:cs="Times New Roman"/>
                <w:b w:val="0"/>
                <w:sz w:val="24"/>
                <w:szCs w:val="24"/>
              </w:rPr>
            </w:pPr>
            <w:r>
              <w:rPr>
                <w:rFonts w:hint="eastAsia" w:ascii="宋体" w:hAnsi="宋体" w:eastAsia="宋体" w:cs="Times New Roman"/>
                <w:b w:val="0"/>
                <w:sz w:val="24"/>
                <w:szCs w:val="24"/>
              </w:rPr>
              <w:t>检查并空车试运行，及时修理损坏的元件</w:t>
            </w:r>
          </w:p>
        </w:tc>
        <w:tc>
          <w:tcPr>
            <w:tcW w:w="1559" w:type="dxa"/>
            <w:vAlign w:val="center"/>
          </w:tcPr>
          <w:p w14:paraId="3ECA829F">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日管控</w:t>
            </w:r>
          </w:p>
        </w:tc>
        <w:tc>
          <w:tcPr>
            <w:tcW w:w="1455" w:type="dxa"/>
            <w:vAlign w:val="center"/>
          </w:tcPr>
          <w:p w14:paraId="036CD15B">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安全员</w:t>
            </w:r>
          </w:p>
        </w:tc>
        <w:tc>
          <w:tcPr>
            <w:tcW w:w="1136" w:type="dxa"/>
            <w:vAlign w:val="center"/>
          </w:tcPr>
          <w:p w14:paraId="532213BB">
            <w:pPr>
              <w:widowControl/>
              <w:spacing w:line="240" w:lineRule="auto"/>
              <w:ind w:left="0" w:leftChars="0" w:firstLine="0" w:firstLineChars="0"/>
              <w:jc w:val="center"/>
              <w:rPr>
                <w:rFonts w:ascii="宋体" w:hAnsi="宋体" w:eastAsia="宋体" w:cs="Times New Roman"/>
                <w:b w:val="0"/>
                <w:kern w:val="0"/>
                <w:sz w:val="24"/>
                <w:szCs w:val="22"/>
              </w:rPr>
            </w:pPr>
          </w:p>
        </w:tc>
      </w:tr>
      <w:tr w14:paraId="2B29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07" w:type="dxa"/>
            <w:vAlign w:val="center"/>
          </w:tcPr>
          <w:p w14:paraId="7EA67C3A">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18</w:t>
            </w:r>
          </w:p>
        </w:tc>
        <w:tc>
          <w:tcPr>
            <w:tcW w:w="1422" w:type="dxa"/>
            <w:vAlign w:val="center"/>
          </w:tcPr>
          <w:p w14:paraId="0FD2E548">
            <w:pPr>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环境因素</w:t>
            </w:r>
          </w:p>
        </w:tc>
        <w:tc>
          <w:tcPr>
            <w:tcW w:w="3494" w:type="dxa"/>
            <w:vAlign w:val="center"/>
          </w:tcPr>
          <w:p w14:paraId="2046F8CA">
            <w:pPr>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起重机作业区域内有高海拔、易燃易爆品、等极端状况并且缺少警示标线和警示标志</w:t>
            </w:r>
          </w:p>
        </w:tc>
        <w:tc>
          <w:tcPr>
            <w:tcW w:w="4301" w:type="dxa"/>
            <w:vAlign w:val="center"/>
          </w:tcPr>
          <w:p w14:paraId="3E26AF8F">
            <w:pPr>
              <w:spacing w:line="240" w:lineRule="auto"/>
              <w:ind w:left="0" w:leftChars="0" w:firstLine="0" w:firstLineChars="0"/>
              <w:jc w:val="both"/>
              <w:rPr>
                <w:rFonts w:hint="eastAsia" w:ascii="宋体" w:hAnsi="宋体" w:eastAsia="宋体" w:cs="Times New Roman"/>
                <w:b w:val="0"/>
                <w:sz w:val="24"/>
                <w:szCs w:val="24"/>
                <w:lang w:val="en-US" w:eastAsia="zh-CN"/>
              </w:rPr>
            </w:pPr>
            <w:r>
              <w:rPr>
                <w:rFonts w:hint="eastAsia" w:ascii="宋体" w:hAnsi="宋体" w:eastAsia="宋体" w:cs="Times New Roman"/>
                <w:b w:val="0"/>
                <w:sz w:val="24"/>
                <w:szCs w:val="24"/>
                <w:lang w:val="en-US" w:eastAsia="zh-CN"/>
              </w:rPr>
              <w:t>1.定期检查作业区域环境，禁止违章在高海拔、易燃易爆品、大风作业、雷电、高温、高湿度、电磁干扰、地面承载力不足等极端状况下作业；</w:t>
            </w:r>
          </w:p>
          <w:p w14:paraId="35D02691">
            <w:pPr>
              <w:spacing w:line="240" w:lineRule="auto"/>
              <w:ind w:left="0" w:leftChars="0" w:firstLine="0" w:firstLineChars="0"/>
              <w:jc w:val="both"/>
              <w:rPr>
                <w:rFonts w:hint="eastAsia" w:ascii="宋体" w:hAnsi="宋体" w:eastAsia="宋体" w:cs="Times New Roman"/>
                <w:b w:val="0"/>
                <w:sz w:val="24"/>
                <w:szCs w:val="24"/>
                <w:lang w:val="en-US" w:eastAsia="zh-CN"/>
              </w:rPr>
            </w:pPr>
            <w:r>
              <w:rPr>
                <w:rFonts w:hint="eastAsia" w:ascii="宋体" w:hAnsi="宋体" w:eastAsia="宋体" w:cs="Times New Roman"/>
                <w:b w:val="0"/>
                <w:sz w:val="24"/>
                <w:szCs w:val="24"/>
                <w:lang w:val="en-US" w:eastAsia="zh-CN"/>
              </w:rPr>
              <w:t>2.制作“禁止进入”“防止坠物”等标识和距离警示标线。</w:t>
            </w:r>
          </w:p>
        </w:tc>
        <w:tc>
          <w:tcPr>
            <w:tcW w:w="1559" w:type="dxa"/>
            <w:vAlign w:val="center"/>
          </w:tcPr>
          <w:p w14:paraId="5CF4C8B6">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周排查</w:t>
            </w:r>
          </w:p>
        </w:tc>
        <w:tc>
          <w:tcPr>
            <w:tcW w:w="1455" w:type="dxa"/>
            <w:vAlign w:val="center"/>
          </w:tcPr>
          <w:p w14:paraId="47FAB07D">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安全总监</w:t>
            </w:r>
          </w:p>
        </w:tc>
        <w:tc>
          <w:tcPr>
            <w:tcW w:w="1136" w:type="dxa"/>
            <w:vAlign w:val="center"/>
          </w:tcPr>
          <w:p w14:paraId="34C5B3FE">
            <w:pPr>
              <w:widowControl/>
              <w:spacing w:line="240" w:lineRule="auto"/>
              <w:ind w:left="0" w:leftChars="0" w:firstLine="0" w:firstLineChars="0"/>
              <w:jc w:val="center"/>
              <w:rPr>
                <w:rFonts w:ascii="宋体" w:hAnsi="宋体" w:eastAsia="宋体" w:cs="Times New Roman"/>
                <w:b w:val="0"/>
                <w:kern w:val="0"/>
                <w:sz w:val="24"/>
                <w:szCs w:val="22"/>
              </w:rPr>
            </w:pPr>
          </w:p>
        </w:tc>
      </w:tr>
      <w:tr w14:paraId="38D1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807" w:type="dxa"/>
            <w:vAlign w:val="center"/>
          </w:tcPr>
          <w:p w14:paraId="4882781E">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19</w:t>
            </w:r>
          </w:p>
        </w:tc>
        <w:tc>
          <w:tcPr>
            <w:tcW w:w="1422" w:type="dxa"/>
            <w:vAlign w:val="center"/>
          </w:tcPr>
          <w:p w14:paraId="3998EEFA">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政府监督、通报、预警</w:t>
            </w:r>
          </w:p>
        </w:tc>
        <w:tc>
          <w:tcPr>
            <w:tcW w:w="3494" w:type="dxa"/>
            <w:vAlign w:val="center"/>
          </w:tcPr>
          <w:p w14:paraId="2B979CA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4301" w:type="dxa"/>
            <w:vAlign w:val="center"/>
          </w:tcPr>
          <w:p w14:paraId="5C92EBAA">
            <w:pPr>
              <w:spacing w:line="240" w:lineRule="auto"/>
              <w:ind w:left="0" w:leftChars="0" w:firstLine="0" w:firstLineChars="0"/>
              <w:jc w:val="both"/>
              <w:rPr>
                <w:rFonts w:ascii="Calibri" w:hAnsi="Calibri" w:eastAsia="宋体" w:cs="Times New Roman"/>
                <w:b w:val="0"/>
                <w:sz w:val="21"/>
                <w:szCs w:val="21"/>
              </w:rPr>
            </w:pPr>
            <w:r>
              <w:rPr>
                <w:rFonts w:hint="eastAsia" w:ascii="宋体" w:hAnsi="宋体" w:eastAsia="宋体" w:cs="Times New Roman"/>
                <w:b w:val="0"/>
                <w:sz w:val="24"/>
                <w:szCs w:val="22"/>
              </w:rPr>
              <w:t>记录、整改</w:t>
            </w:r>
          </w:p>
        </w:tc>
        <w:tc>
          <w:tcPr>
            <w:tcW w:w="1559" w:type="dxa"/>
            <w:vAlign w:val="center"/>
          </w:tcPr>
          <w:p w14:paraId="42D5D1EA">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周排查</w:t>
            </w:r>
          </w:p>
        </w:tc>
        <w:tc>
          <w:tcPr>
            <w:tcW w:w="1455" w:type="dxa"/>
            <w:vAlign w:val="center"/>
          </w:tcPr>
          <w:p w14:paraId="4B795DFC">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安全总监</w:t>
            </w:r>
          </w:p>
        </w:tc>
        <w:tc>
          <w:tcPr>
            <w:tcW w:w="1136" w:type="dxa"/>
            <w:vAlign w:val="center"/>
          </w:tcPr>
          <w:p w14:paraId="55EEDF0E">
            <w:pPr>
              <w:widowControl/>
              <w:spacing w:line="240" w:lineRule="auto"/>
              <w:ind w:left="0" w:leftChars="0" w:firstLine="0" w:firstLineChars="0"/>
              <w:jc w:val="center"/>
              <w:rPr>
                <w:rFonts w:ascii="宋体" w:hAnsi="宋体" w:eastAsia="宋体" w:cs="Times New Roman"/>
                <w:b w:val="0"/>
                <w:kern w:val="0"/>
                <w:sz w:val="24"/>
                <w:szCs w:val="22"/>
              </w:rPr>
            </w:pPr>
          </w:p>
        </w:tc>
      </w:tr>
      <w:tr w14:paraId="6BE4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807" w:type="dxa"/>
            <w:vAlign w:val="center"/>
          </w:tcPr>
          <w:p w14:paraId="39B4345F">
            <w:pPr>
              <w:widowControl/>
              <w:spacing w:line="240" w:lineRule="auto"/>
              <w:ind w:left="0" w:leftChars="0" w:firstLine="0" w:firstLineChars="0"/>
              <w:jc w:val="center"/>
              <w:rPr>
                <w:rFonts w:ascii="宋体" w:hAnsi="宋体" w:eastAsia="宋体" w:cs="Times New Roman"/>
                <w:b w:val="0"/>
                <w:kern w:val="0"/>
                <w:sz w:val="24"/>
                <w:szCs w:val="24"/>
              </w:rPr>
            </w:pPr>
            <w:r>
              <w:rPr>
                <w:rFonts w:hint="eastAsia" w:ascii="宋体" w:hAnsi="宋体" w:eastAsia="宋体" w:cs="Times New Roman"/>
                <w:b w:val="0"/>
                <w:kern w:val="0"/>
                <w:sz w:val="24"/>
                <w:szCs w:val="24"/>
              </w:rPr>
              <w:t>20</w:t>
            </w:r>
          </w:p>
        </w:tc>
        <w:tc>
          <w:tcPr>
            <w:tcW w:w="1422" w:type="dxa"/>
            <w:vAlign w:val="center"/>
          </w:tcPr>
          <w:p w14:paraId="1B372C6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投诉举报</w:t>
            </w:r>
          </w:p>
        </w:tc>
        <w:tc>
          <w:tcPr>
            <w:tcW w:w="3494" w:type="dxa"/>
            <w:vAlign w:val="center"/>
          </w:tcPr>
          <w:p w14:paraId="66E14C6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4301" w:type="dxa"/>
            <w:vAlign w:val="center"/>
          </w:tcPr>
          <w:p w14:paraId="611AB45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记录、整改、消除安全隐患</w:t>
            </w:r>
          </w:p>
        </w:tc>
        <w:tc>
          <w:tcPr>
            <w:tcW w:w="1559" w:type="dxa"/>
            <w:vAlign w:val="center"/>
          </w:tcPr>
          <w:p w14:paraId="1AE44398">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日管控</w:t>
            </w:r>
          </w:p>
        </w:tc>
        <w:tc>
          <w:tcPr>
            <w:tcW w:w="1455" w:type="dxa"/>
            <w:vAlign w:val="center"/>
          </w:tcPr>
          <w:p w14:paraId="7585FE85">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安全员</w:t>
            </w:r>
          </w:p>
        </w:tc>
        <w:tc>
          <w:tcPr>
            <w:tcW w:w="1136" w:type="dxa"/>
          </w:tcPr>
          <w:p w14:paraId="4A8B3810">
            <w:pPr>
              <w:widowControl/>
              <w:spacing w:line="240" w:lineRule="auto"/>
              <w:ind w:left="0" w:leftChars="0" w:firstLine="0" w:firstLineChars="0"/>
              <w:jc w:val="center"/>
              <w:rPr>
                <w:rFonts w:ascii="宋体" w:hAnsi="宋体" w:eastAsia="宋体" w:cs="Times New Roman"/>
                <w:b w:val="0"/>
                <w:kern w:val="0"/>
                <w:sz w:val="24"/>
                <w:szCs w:val="22"/>
              </w:rPr>
            </w:pPr>
          </w:p>
        </w:tc>
      </w:tr>
      <w:tr w14:paraId="1527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7" w:type="dxa"/>
            <w:vAlign w:val="center"/>
          </w:tcPr>
          <w:p w14:paraId="01F59A7B">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21</w:t>
            </w:r>
          </w:p>
        </w:tc>
        <w:tc>
          <w:tcPr>
            <w:tcW w:w="1422" w:type="dxa"/>
            <w:vAlign w:val="center"/>
          </w:tcPr>
          <w:p w14:paraId="595A0399">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舆情信息</w:t>
            </w:r>
          </w:p>
        </w:tc>
        <w:tc>
          <w:tcPr>
            <w:tcW w:w="3494" w:type="dxa"/>
            <w:vAlign w:val="center"/>
          </w:tcPr>
          <w:p w14:paraId="5C0080B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4301" w:type="dxa"/>
            <w:vAlign w:val="center"/>
          </w:tcPr>
          <w:p w14:paraId="1CC9A75B">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记录、整改</w:t>
            </w:r>
          </w:p>
        </w:tc>
        <w:tc>
          <w:tcPr>
            <w:tcW w:w="1559" w:type="dxa"/>
            <w:vAlign w:val="center"/>
          </w:tcPr>
          <w:p w14:paraId="007C8903">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日管控</w:t>
            </w:r>
          </w:p>
        </w:tc>
        <w:tc>
          <w:tcPr>
            <w:tcW w:w="1455" w:type="dxa"/>
            <w:vAlign w:val="center"/>
          </w:tcPr>
          <w:p w14:paraId="3C3E9DEA">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安全员</w:t>
            </w:r>
          </w:p>
        </w:tc>
        <w:tc>
          <w:tcPr>
            <w:tcW w:w="1136" w:type="dxa"/>
          </w:tcPr>
          <w:p w14:paraId="20BA23F4">
            <w:pPr>
              <w:spacing w:line="240" w:lineRule="auto"/>
              <w:ind w:left="0" w:leftChars="0" w:firstLine="0" w:firstLineChars="0"/>
              <w:jc w:val="both"/>
              <w:rPr>
                <w:rFonts w:ascii="宋体" w:hAnsi="宋体" w:eastAsia="宋体" w:cs="Times New Roman"/>
                <w:b w:val="0"/>
                <w:kern w:val="0"/>
                <w:sz w:val="24"/>
                <w:szCs w:val="22"/>
              </w:rPr>
            </w:pPr>
          </w:p>
        </w:tc>
      </w:tr>
    </w:tbl>
    <w:p w14:paraId="435B7DE5">
      <w:pPr>
        <w:widowControl/>
        <w:spacing w:line="240" w:lineRule="auto"/>
        <w:ind w:left="0" w:leftChars="0" w:firstLine="482" w:firstLineChars="200"/>
        <w:jc w:val="both"/>
        <w:rPr>
          <w:rFonts w:ascii="宋体" w:hAnsi="宋体" w:eastAsia="宋体" w:cs="宋体"/>
          <w:b/>
          <w:sz w:val="24"/>
          <w:szCs w:val="24"/>
        </w:rPr>
      </w:pPr>
      <w:r>
        <w:rPr>
          <w:rFonts w:ascii="宋体" w:hAnsi="宋体" w:eastAsia="宋体" w:cs="宋体"/>
          <w:b/>
          <w:sz w:val="24"/>
          <w:szCs w:val="24"/>
        </w:rPr>
        <w:t>注</w:t>
      </w:r>
      <w:r>
        <w:rPr>
          <w:rFonts w:hint="eastAsia" w:ascii="宋体" w:hAnsi="宋体" w:eastAsia="宋体" w:cs="Times New Roman"/>
          <w:b/>
          <w:bCs/>
          <w:kern w:val="0"/>
          <w:sz w:val="24"/>
          <w:szCs w:val="22"/>
        </w:rPr>
        <w:t>：</w:t>
      </w:r>
      <w:r>
        <w:rPr>
          <w:rFonts w:ascii="宋体" w:hAnsi="宋体" w:eastAsia="宋体" w:cs="宋体"/>
          <w:b/>
          <w:sz w:val="24"/>
          <w:szCs w:val="24"/>
        </w:rPr>
        <w:t>本清单为推荐性格式，仅规定了应当进行日管控、周排查、月调度的基本项目，</w:t>
      </w:r>
      <w:r>
        <w:rPr>
          <w:rFonts w:hint="eastAsia" w:ascii="宋体" w:hAnsi="宋体" w:eastAsia="宋体" w:cs="宋体"/>
          <w:b/>
          <w:sz w:val="24"/>
          <w:szCs w:val="24"/>
        </w:rPr>
        <w:t>起重机械使用</w:t>
      </w:r>
      <w:r>
        <w:rPr>
          <w:rFonts w:ascii="宋体" w:hAnsi="宋体" w:eastAsia="宋体" w:cs="宋体"/>
          <w:b/>
          <w:sz w:val="24"/>
          <w:szCs w:val="24"/>
        </w:rPr>
        <w:t>单位应当结合本单位实际情况和具体要求，细化风险管控清单</w:t>
      </w:r>
      <w:r>
        <w:rPr>
          <w:rFonts w:hint="eastAsia" w:ascii="宋体" w:hAnsi="宋体" w:eastAsia="宋体" w:cs="宋体"/>
          <w:b/>
          <w:sz w:val="24"/>
          <w:szCs w:val="24"/>
        </w:rPr>
        <w:t>，</w:t>
      </w:r>
      <w:r>
        <w:rPr>
          <w:rFonts w:ascii="宋体" w:hAnsi="宋体" w:eastAsia="宋体" w:cs="宋体"/>
          <w:b/>
          <w:sz w:val="24"/>
          <w:szCs w:val="24"/>
        </w:rPr>
        <w:t>合理调整管控形式。</w:t>
      </w:r>
    </w:p>
    <w:p w14:paraId="22ABF96D">
      <w:pPr>
        <w:rPr>
          <w:rFonts w:hint="eastAsia" w:ascii="Calibri" w:hAnsi="Calibri" w:eastAsia="宋体" w:cs="Times New Roman"/>
          <w:b/>
          <w:color w:val="000000"/>
          <w:sz w:val="36"/>
          <w:szCs w:val="36"/>
        </w:rPr>
      </w:pPr>
      <w:r>
        <w:rPr>
          <w:rFonts w:hint="eastAsia" w:ascii="Calibri" w:hAnsi="Calibri" w:eastAsia="宋体" w:cs="Times New Roman"/>
          <w:b/>
          <w:color w:val="000000"/>
          <w:sz w:val="36"/>
          <w:szCs w:val="36"/>
        </w:rPr>
        <w:br w:type="page"/>
      </w:r>
    </w:p>
    <w:p w14:paraId="60434239">
      <w:pPr>
        <w:bidi w:val="0"/>
        <w:ind w:left="0" w:leftChars="0" w:firstLine="0" w:firstLineChars="0"/>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场</w:t>
      </w:r>
      <w:r>
        <w:rPr>
          <w:rFonts w:hint="eastAsia" w:asciiTheme="minorEastAsia" w:hAnsiTheme="minorEastAsia" w:eastAsiaTheme="minorEastAsia" w:cstheme="minorEastAsia"/>
          <w:sz w:val="36"/>
          <w:szCs w:val="36"/>
          <w:lang w:eastAsia="zh-CN"/>
        </w:rPr>
        <w:t>（</w:t>
      </w:r>
      <w:r>
        <w:rPr>
          <w:rFonts w:hint="eastAsia" w:asciiTheme="minorEastAsia" w:hAnsiTheme="minorEastAsia" w:eastAsiaTheme="minorEastAsia" w:cstheme="minorEastAsia"/>
          <w:sz w:val="36"/>
          <w:szCs w:val="36"/>
          <w:lang w:val="en-US" w:eastAsia="zh-CN"/>
        </w:rPr>
        <w:t>厂）内机动车辆</w:t>
      </w:r>
      <w:r>
        <w:rPr>
          <w:rFonts w:hint="eastAsia" w:asciiTheme="minorEastAsia" w:hAnsiTheme="minorEastAsia" w:eastAsiaTheme="minorEastAsia" w:cstheme="minorEastAsia"/>
          <w:sz w:val="36"/>
          <w:szCs w:val="36"/>
        </w:rPr>
        <w:t>安全风险管控清单</w:t>
      </w:r>
      <w:r>
        <w:rPr>
          <w:rFonts w:hint="eastAsia" w:asciiTheme="minorEastAsia" w:hAnsiTheme="minorEastAsia" w:eastAsiaTheme="minorEastAsia" w:cstheme="minorEastAsia"/>
          <w:sz w:val="36"/>
          <w:szCs w:val="36"/>
          <w:lang w:eastAsia="zh-CN"/>
        </w:rPr>
        <w:t>（供参考）</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381"/>
        <w:gridCol w:w="2880"/>
        <w:gridCol w:w="5610"/>
        <w:gridCol w:w="1470"/>
        <w:gridCol w:w="1155"/>
        <w:gridCol w:w="877"/>
      </w:tblGrid>
      <w:tr w14:paraId="7AB0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01" w:type="dxa"/>
            <w:shd w:val="clear" w:color="auto" w:fill="BEBEBE"/>
            <w:vAlign w:val="center"/>
          </w:tcPr>
          <w:p w14:paraId="651CAF95">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序号</w:t>
            </w:r>
          </w:p>
        </w:tc>
        <w:tc>
          <w:tcPr>
            <w:tcW w:w="1381" w:type="dxa"/>
            <w:shd w:val="clear" w:color="auto" w:fill="BEBEBE"/>
            <w:vAlign w:val="center"/>
          </w:tcPr>
          <w:p w14:paraId="2046CBEE">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风险类别</w:t>
            </w:r>
          </w:p>
        </w:tc>
        <w:tc>
          <w:tcPr>
            <w:tcW w:w="2880" w:type="dxa"/>
            <w:shd w:val="clear" w:color="auto" w:fill="BEBEBE"/>
            <w:vAlign w:val="center"/>
          </w:tcPr>
          <w:p w14:paraId="7F9F1515">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风险指标</w:t>
            </w:r>
          </w:p>
        </w:tc>
        <w:tc>
          <w:tcPr>
            <w:tcW w:w="5610" w:type="dxa"/>
            <w:shd w:val="clear" w:color="auto" w:fill="BEBEBE"/>
            <w:vAlign w:val="center"/>
          </w:tcPr>
          <w:p w14:paraId="0CBC9646">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风险管控</w:t>
            </w:r>
            <w:r>
              <w:rPr>
                <w:rFonts w:ascii="宋体" w:hAnsi="宋体" w:eastAsia="宋体" w:cs="Times New Roman"/>
                <w:b/>
                <w:sz w:val="28"/>
                <w:szCs w:val="28"/>
                <w:highlight w:val="lightGray"/>
                <w:shd w:val="clear" w:color="FFFFFF" w:fill="D9D9D9"/>
              </w:rPr>
              <w:t>措施</w:t>
            </w:r>
          </w:p>
        </w:tc>
        <w:tc>
          <w:tcPr>
            <w:tcW w:w="1470" w:type="dxa"/>
            <w:shd w:val="clear" w:color="auto" w:fill="BEBEBE"/>
            <w:vAlign w:val="center"/>
          </w:tcPr>
          <w:p w14:paraId="718D5D5F">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管控方式</w:t>
            </w:r>
          </w:p>
        </w:tc>
        <w:tc>
          <w:tcPr>
            <w:tcW w:w="1155" w:type="dxa"/>
            <w:shd w:val="clear" w:color="auto" w:fill="BEBEBE"/>
            <w:vAlign w:val="center"/>
          </w:tcPr>
          <w:p w14:paraId="3077ABAE">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责任人</w:t>
            </w:r>
          </w:p>
        </w:tc>
        <w:tc>
          <w:tcPr>
            <w:tcW w:w="877" w:type="dxa"/>
            <w:shd w:val="clear" w:color="auto" w:fill="BEBEBE"/>
            <w:vAlign w:val="center"/>
          </w:tcPr>
          <w:p w14:paraId="72976226">
            <w:pPr>
              <w:spacing w:line="240" w:lineRule="auto"/>
              <w:ind w:left="0" w:leftChars="0" w:firstLine="0" w:firstLineChars="0"/>
              <w:jc w:val="center"/>
              <w:rPr>
                <w:rFonts w:ascii="宋体" w:hAnsi="宋体" w:eastAsia="宋体" w:cs="Times New Roman"/>
                <w:b/>
                <w:bCs/>
                <w:kern w:val="0"/>
                <w:sz w:val="28"/>
                <w:szCs w:val="28"/>
                <w:highlight w:val="lightGray"/>
                <w:shd w:val="clear" w:color="FFFFFF" w:fill="D9D9D9"/>
              </w:rPr>
            </w:pPr>
            <w:r>
              <w:rPr>
                <w:rFonts w:hint="eastAsia" w:ascii="宋体" w:hAnsi="宋体" w:eastAsia="宋体" w:cs="Times New Roman"/>
                <w:b/>
                <w:sz w:val="28"/>
                <w:szCs w:val="28"/>
                <w:highlight w:val="lightGray"/>
                <w:shd w:val="clear" w:color="FFFFFF" w:fill="D9D9D9"/>
              </w:rPr>
              <w:t>备注</w:t>
            </w:r>
          </w:p>
        </w:tc>
      </w:tr>
      <w:tr w14:paraId="02E5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801" w:type="dxa"/>
            <w:vAlign w:val="center"/>
          </w:tcPr>
          <w:p w14:paraId="4AA89A60">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w:t>
            </w:r>
          </w:p>
        </w:tc>
        <w:tc>
          <w:tcPr>
            <w:tcW w:w="1381" w:type="dxa"/>
            <w:vMerge w:val="restart"/>
            <w:vAlign w:val="center"/>
          </w:tcPr>
          <w:p w14:paraId="359B913A">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人员</w:t>
            </w:r>
          </w:p>
        </w:tc>
        <w:tc>
          <w:tcPr>
            <w:tcW w:w="2880" w:type="dxa"/>
            <w:vAlign w:val="center"/>
          </w:tcPr>
          <w:p w14:paraId="24918626">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未按规定配备安全管理人员和作业人员</w:t>
            </w:r>
          </w:p>
        </w:tc>
        <w:tc>
          <w:tcPr>
            <w:tcW w:w="5610" w:type="dxa"/>
            <w:vAlign w:val="center"/>
          </w:tcPr>
          <w:p w14:paraId="2B03BCCA">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1.建立特种设备安全管理人员与作业人员管理制度；</w:t>
            </w:r>
          </w:p>
          <w:p w14:paraId="4705E9FF">
            <w:pPr>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2.根据场车的数量、特性等配备适当数量的安全管理人员和作业人员。</w:t>
            </w:r>
          </w:p>
        </w:tc>
        <w:tc>
          <w:tcPr>
            <w:tcW w:w="1470" w:type="dxa"/>
            <w:vAlign w:val="center"/>
          </w:tcPr>
          <w:p w14:paraId="273AEB9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155" w:type="dxa"/>
            <w:vAlign w:val="center"/>
          </w:tcPr>
          <w:p w14:paraId="3841A53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877" w:type="dxa"/>
            <w:vAlign w:val="center"/>
          </w:tcPr>
          <w:p w14:paraId="701C1B3E">
            <w:pPr>
              <w:widowControl/>
              <w:spacing w:line="240" w:lineRule="auto"/>
              <w:ind w:left="0" w:leftChars="0" w:firstLine="0" w:firstLineChars="0"/>
              <w:jc w:val="center"/>
              <w:rPr>
                <w:rFonts w:ascii="宋体" w:hAnsi="宋体" w:eastAsia="宋体" w:cs="Times New Roman"/>
                <w:b w:val="0"/>
                <w:kern w:val="0"/>
                <w:sz w:val="24"/>
                <w:szCs w:val="22"/>
              </w:rPr>
            </w:pPr>
          </w:p>
        </w:tc>
      </w:tr>
      <w:tr w14:paraId="4BDA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vAlign w:val="center"/>
          </w:tcPr>
          <w:p w14:paraId="10FD193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w:t>
            </w:r>
          </w:p>
        </w:tc>
        <w:tc>
          <w:tcPr>
            <w:tcW w:w="1381" w:type="dxa"/>
            <w:vMerge w:val="continue"/>
            <w:vAlign w:val="center"/>
          </w:tcPr>
          <w:p w14:paraId="7A685D73">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6C49A26D">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作业人员未持有相应资格证件</w:t>
            </w:r>
          </w:p>
        </w:tc>
        <w:tc>
          <w:tcPr>
            <w:tcW w:w="5610" w:type="dxa"/>
            <w:vAlign w:val="center"/>
          </w:tcPr>
          <w:p w14:paraId="721D2125">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1.</w:t>
            </w:r>
            <w:r>
              <w:rPr>
                <w:rFonts w:ascii="宋体" w:hAnsi="宋体" w:eastAsia="宋体" w:cs="Times New Roman"/>
                <w:b w:val="0"/>
                <w:kern w:val="0"/>
                <w:sz w:val="24"/>
                <w:szCs w:val="22"/>
              </w:rPr>
              <w:t>场车作业和专职安全管理人员需取得相应项目作业人员证，持证上岗，并且保证每台场车在作业时均由司机随车操纵</w:t>
            </w:r>
            <w:r>
              <w:rPr>
                <w:rFonts w:hint="eastAsia" w:ascii="宋体" w:hAnsi="宋体" w:eastAsia="宋体" w:cs="Times New Roman"/>
                <w:b w:val="0"/>
                <w:kern w:val="0"/>
                <w:sz w:val="24"/>
                <w:szCs w:val="22"/>
              </w:rPr>
              <w:t>；</w:t>
            </w:r>
          </w:p>
          <w:p w14:paraId="473D1A52">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2.定期检查作业人员证件有效期，杜绝无证上岗，当发生人员变动时，及时派人取证。</w:t>
            </w:r>
          </w:p>
        </w:tc>
        <w:tc>
          <w:tcPr>
            <w:tcW w:w="1470" w:type="dxa"/>
            <w:vAlign w:val="center"/>
          </w:tcPr>
          <w:p w14:paraId="0A085F6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155" w:type="dxa"/>
            <w:vAlign w:val="center"/>
          </w:tcPr>
          <w:p w14:paraId="1796029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877" w:type="dxa"/>
            <w:vAlign w:val="center"/>
          </w:tcPr>
          <w:p w14:paraId="02165F1D">
            <w:pPr>
              <w:widowControl/>
              <w:spacing w:line="240" w:lineRule="auto"/>
              <w:ind w:left="0" w:leftChars="0" w:firstLine="0" w:firstLineChars="0"/>
              <w:jc w:val="center"/>
              <w:rPr>
                <w:rFonts w:ascii="宋体" w:hAnsi="宋体" w:eastAsia="宋体" w:cs="Times New Roman"/>
                <w:b w:val="0"/>
                <w:kern w:val="0"/>
                <w:sz w:val="24"/>
                <w:szCs w:val="22"/>
              </w:rPr>
            </w:pPr>
          </w:p>
        </w:tc>
      </w:tr>
      <w:tr w14:paraId="1B95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1" w:type="dxa"/>
            <w:vAlign w:val="center"/>
          </w:tcPr>
          <w:p w14:paraId="78C45A6A">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3</w:t>
            </w:r>
          </w:p>
        </w:tc>
        <w:tc>
          <w:tcPr>
            <w:tcW w:w="1381" w:type="dxa"/>
            <w:vMerge w:val="continue"/>
            <w:vAlign w:val="center"/>
          </w:tcPr>
          <w:p w14:paraId="1A389406">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0A06B4BA">
            <w:pPr>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未按规定对安全管理人员和作业人员开展安全教育培训</w:t>
            </w:r>
          </w:p>
        </w:tc>
        <w:tc>
          <w:tcPr>
            <w:tcW w:w="5610" w:type="dxa"/>
            <w:vAlign w:val="center"/>
          </w:tcPr>
          <w:p w14:paraId="4685485A">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1.制定安全教育培训制度和培训计划；</w:t>
            </w:r>
          </w:p>
          <w:p w14:paraId="7AB16329">
            <w:pPr>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 xml:space="preserve">2.定期对作业人员进行培训教育，并保留相关培训记录 </w:t>
            </w:r>
          </w:p>
        </w:tc>
        <w:tc>
          <w:tcPr>
            <w:tcW w:w="1470" w:type="dxa"/>
            <w:vAlign w:val="center"/>
          </w:tcPr>
          <w:p w14:paraId="2472320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155" w:type="dxa"/>
            <w:vAlign w:val="center"/>
          </w:tcPr>
          <w:p w14:paraId="6583A12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877" w:type="dxa"/>
            <w:vAlign w:val="center"/>
          </w:tcPr>
          <w:p w14:paraId="67972430">
            <w:pPr>
              <w:widowControl/>
              <w:spacing w:line="240" w:lineRule="auto"/>
              <w:ind w:left="0" w:leftChars="0" w:firstLine="0" w:firstLineChars="0"/>
              <w:jc w:val="center"/>
              <w:rPr>
                <w:rFonts w:ascii="宋体" w:hAnsi="宋体" w:eastAsia="宋体" w:cs="Times New Roman"/>
                <w:b w:val="0"/>
                <w:kern w:val="0"/>
                <w:sz w:val="24"/>
                <w:szCs w:val="22"/>
              </w:rPr>
            </w:pPr>
          </w:p>
        </w:tc>
      </w:tr>
      <w:tr w14:paraId="2F95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01" w:type="dxa"/>
            <w:vAlign w:val="center"/>
          </w:tcPr>
          <w:p w14:paraId="70CDBF2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4</w:t>
            </w:r>
          </w:p>
        </w:tc>
        <w:tc>
          <w:tcPr>
            <w:tcW w:w="1381" w:type="dxa"/>
            <w:vMerge w:val="continue"/>
            <w:vAlign w:val="center"/>
          </w:tcPr>
          <w:p w14:paraId="61B3A656">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4125F082">
            <w:pPr>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未遵守操作规程进行作业、未按规定填写作业交接班记录、未及时报告事故隐患等</w:t>
            </w:r>
          </w:p>
        </w:tc>
        <w:tc>
          <w:tcPr>
            <w:tcW w:w="5610" w:type="dxa"/>
            <w:vAlign w:val="center"/>
          </w:tcPr>
          <w:p w14:paraId="62A92529">
            <w:pPr>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sz w:val="24"/>
                <w:szCs w:val="22"/>
              </w:rPr>
              <w:t>检查作业人员执行操作规程情况，纠正和制止违章作业行为</w:t>
            </w:r>
          </w:p>
        </w:tc>
        <w:tc>
          <w:tcPr>
            <w:tcW w:w="1470" w:type="dxa"/>
            <w:vAlign w:val="center"/>
          </w:tcPr>
          <w:p w14:paraId="0E7FE483">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155" w:type="dxa"/>
            <w:vAlign w:val="center"/>
          </w:tcPr>
          <w:p w14:paraId="538F8A6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877" w:type="dxa"/>
            <w:vAlign w:val="center"/>
          </w:tcPr>
          <w:p w14:paraId="4AC9035E">
            <w:pPr>
              <w:widowControl/>
              <w:spacing w:line="240" w:lineRule="auto"/>
              <w:ind w:left="0" w:leftChars="0" w:firstLine="0" w:firstLineChars="0"/>
              <w:jc w:val="center"/>
              <w:rPr>
                <w:rFonts w:ascii="宋体" w:hAnsi="宋体" w:eastAsia="宋体" w:cs="Times New Roman"/>
                <w:b w:val="0"/>
                <w:kern w:val="0"/>
                <w:sz w:val="24"/>
                <w:szCs w:val="22"/>
              </w:rPr>
            </w:pPr>
          </w:p>
        </w:tc>
      </w:tr>
      <w:tr w14:paraId="0EE8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01" w:type="dxa"/>
            <w:vAlign w:val="center"/>
          </w:tcPr>
          <w:p w14:paraId="7ED333B8">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5</w:t>
            </w:r>
          </w:p>
        </w:tc>
        <w:tc>
          <w:tcPr>
            <w:tcW w:w="1381" w:type="dxa"/>
            <w:vMerge w:val="restart"/>
            <w:vAlign w:val="center"/>
          </w:tcPr>
          <w:p w14:paraId="0FEC70A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管理</w:t>
            </w:r>
          </w:p>
        </w:tc>
        <w:tc>
          <w:tcPr>
            <w:tcW w:w="2880" w:type="dxa"/>
            <w:vAlign w:val="center"/>
          </w:tcPr>
          <w:p w14:paraId="2D611E37">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未按规定设置安全管理机构</w:t>
            </w:r>
          </w:p>
        </w:tc>
        <w:tc>
          <w:tcPr>
            <w:tcW w:w="5610" w:type="dxa"/>
            <w:vAlign w:val="center"/>
          </w:tcPr>
          <w:p w14:paraId="3106C8B8">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根据特种设备的数量，及时设置安全管理机构，明确机构职责和人员安排。</w:t>
            </w:r>
          </w:p>
        </w:tc>
        <w:tc>
          <w:tcPr>
            <w:tcW w:w="1470" w:type="dxa"/>
            <w:vAlign w:val="center"/>
          </w:tcPr>
          <w:p w14:paraId="6D51A8D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155" w:type="dxa"/>
            <w:vAlign w:val="center"/>
          </w:tcPr>
          <w:p w14:paraId="363902A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877" w:type="dxa"/>
            <w:vAlign w:val="center"/>
          </w:tcPr>
          <w:p w14:paraId="360A1E4B">
            <w:pPr>
              <w:widowControl/>
              <w:spacing w:line="240" w:lineRule="auto"/>
              <w:ind w:left="0" w:leftChars="0" w:firstLine="0" w:firstLineChars="0"/>
              <w:jc w:val="center"/>
              <w:rPr>
                <w:rFonts w:ascii="宋体" w:hAnsi="宋体" w:eastAsia="宋体" w:cs="Times New Roman"/>
                <w:b w:val="0"/>
                <w:kern w:val="0"/>
                <w:sz w:val="24"/>
                <w:szCs w:val="22"/>
              </w:rPr>
            </w:pPr>
          </w:p>
        </w:tc>
      </w:tr>
      <w:tr w14:paraId="7FBB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01" w:type="dxa"/>
            <w:vAlign w:val="center"/>
          </w:tcPr>
          <w:p w14:paraId="075F03FA">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6</w:t>
            </w:r>
          </w:p>
        </w:tc>
        <w:tc>
          <w:tcPr>
            <w:tcW w:w="1381" w:type="dxa"/>
            <w:vMerge w:val="continue"/>
            <w:vAlign w:val="center"/>
          </w:tcPr>
          <w:p w14:paraId="51593592">
            <w:pPr>
              <w:widowControl/>
              <w:spacing w:line="240" w:lineRule="auto"/>
              <w:ind w:left="0" w:leftChars="0" w:firstLine="0" w:firstLineChars="0"/>
              <w:jc w:val="both"/>
              <w:rPr>
                <w:rFonts w:ascii="宋体" w:hAnsi="宋体" w:eastAsia="宋体" w:cs="Times New Roman"/>
                <w:b w:val="0"/>
                <w:kern w:val="0"/>
                <w:sz w:val="24"/>
                <w:szCs w:val="22"/>
              </w:rPr>
            </w:pPr>
          </w:p>
        </w:tc>
        <w:tc>
          <w:tcPr>
            <w:tcW w:w="2880" w:type="dxa"/>
            <w:vAlign w:val="center"/>
          </w:tcPr>
          <w:p w14:paraId="1771369D">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未按有关规定建立健全特种设备安全管理制度和操作规程</w:t>
            </w:r>
          </w:p>
        </w:tc>
        <w:tc>
          <w:tcPr>
            <w:tcW w:w="5610" w:type="dxa"/>
            <w:vAlign w:val="center"/>
          </w:tcPr>
          <w:p w14:paraId="0619DDDC">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1.单位制定符合TSG08-2017《特种设备使用管理规则》、TSG81-2022《场（厂）内专用机动车辆安全技术规程》要求的以岗位责任制为核心管理制度；</w:t>
            </w:r>
          </w:p>
          <w:p w14:paraId="1E9E6A6C">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2.根据所使用设备运行特点等，制定完整齐全操作规程；操作规程一般包括设备运行参数、操作程序和方法、维护保养要求、安全注意事项、巡回检查和异常情况处置规定，以及相应记录等，</w:t>
            </w:r>
            <w:r>
              <w:rPr>
                <w:rFonts w:ascii="宋体" w:hAnsi="宋体" w:eastAsia="宋体" w:cs="Times New Roman"/>
                <w:b w:val="0"/>
                <w:kern w:val="0"/>
                <w:sz w:val="24"/>
                <w:szCs w:val="22"/>
              </w:rPr>
              <w:t>并且在本单位贯彻实施</w:t>
            </w:r>
            <w:r>
              <w:rPr>
                <w:rFonts w:hint="eastAsia" w:ascii="宋体" w:hAnsi="宋体" w:eastAsia="宋体" w:cs="Times New Roman"/>
                <w:b w:val="0"/>
                <w:kern w:val="0"/>
                <w:sz w:val="24"/>
                <w:szCs w:val="22"/>
              </w:rPr>
              <w:t>；场车</w:t>
            </w:r>
            <w:r>
              <w:rPr>
                <w:rFonts w:ascii="宋体" w:hAnsi="宋体" w:eastAsia="宋体" w:cs="Times New Roman"/>
                <w:b w:val="0"/>
                <w:kern w:val="0"/>
                <w:sz w:val="24"/>
                <w:szCs w:val="22"/>
              </w:rPr>
              <w:t>安全操作规程至少包括以下内容：出车前进行试运行检查，并且做好记录；遵守作业场所内的限速规定，严禁超速行驶；叉车不得载客运行（设有搭载随乘人员设施的车辆除外，此时搭载人数不得超过允许随乘的人数）；行驶和作业时佩戴安全带（如果有）；车辆转弯、进出库门等须减速行驶；严禁在货叉上站人或者利用货叉起升载有人员的装置；叉车司机视线不良或者受阻时，倒车低速行驶或者在专人指挥下低速行驶；严禁超载；身体过度疲劳、饮酒后或者患病有碍操作安全时，严禁操作车辆。</w:t>
            </w:r>
          </w:p>
        </w:tc>
        <w:tc>
          <w:tcPr>
            <w:tcW w:w="1470" w:type="dxa"/>
            <w:vAlign w:val="center"/>
          </w:tcPr>
          <w:p w14:paraId="61B2A32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155" w:type="dxa"/>
            <w:vAlign w:val="center"/>
          </w:tcPr>
          <w:p w14:paraId="2F5F15A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877" w:type="dxa"/>
            <w:vAlign w:val="center"/>
          </w:tcPr>
          <w:p w14:paraId="6F6CC57F">
            <w:pPr>
              <w:widowControl/>
              <w:spacing w:line="240" w:lineRule="auto"/>
              <w:ind w:left="0" w:leftChars="0" w:firstLine="0" w:firstLineChars="0"/>
              <w:jc w:val="center"/>
              <w:rPr>
                <w:rFonts w:ascii="宋体" w:hAnsi="宋体" w:eastAsia="宋体" w:cs="Times New Roman"/>
                <w:b w:val="0"/>
                <w:kern w:val="0"/>
                <w:sz w:val="24"/>
                <w:szCs w:val="22"/>
              </w:rPr>
            </w:pPr>
          </w:p>
        </w:tc>
      </w:tr>
      <w:tr w14:paraId="1750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01" w:type="dxa"/>
            <w:vAlign w:val="center"/>
          </w:tcPr>
          <w:p w14:paraId="1BB3F926">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7</w:t>
            </w:r>
          </w:p>
        </w:tc>
        <w:tc>
          <w:tcPr>
            <w:tcW w:w="1381" w:type="dxa"/>
            <w:vMerge w:val="continue"/>
            <w:vAlign w:val="center"/>
          </w:tcPr>
          <w:p w14:paraId="1074E9CC">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6228F615">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未按按要求建立健全特种设备安全技术档案</w:t>
            </w:r>
          </w:p>
        </w:tc>
        <w:tc>
          <w:tcPr>
            <w:tcW w:w="5610" w:type="dxa"/>
            <w:vAlign w:val="center"/>
          </w:tcPr>
          <w:p w14:paraId="273BFC8A">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1.指定安全员负责特种设备安全技术档案的管理；按TSG08-2017《特种设备使用管理规则》第2.5条要求逐台建立安全技术档案。</w:t>
            </w:r>
          </w:p>
          <w:p w14:paraId="184ECEB1">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2.定期检查安全技术档案的完整性</w:t>
            </w:r>
          </w:p>
        </w:tc>
        <w:tc>
          <w:tcPr>
            <w:tcW w:w="1470" w:type="dxa"/>
            <w:vAlign w:val="center"/>
          </w:tcPr>
          <w:p w14:paraId="0BAD40B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155" w:type="dxa"/>
            <w:vAlign w:val="center"/>
          </w:tcPr>
          <w:p w14:paraId="4579864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877" w:type="dxa"/>
            <w:vAlign w:val="center"/>
          </w:tcPr>
          <w:p w14:paraId="0CC9AAA9">
            <w:pPr>
              <w:widowControl/>
              <w:spacing w:line="240" w:lineRule="auto"/>
              <w:ind w:left="0" w:leftChars="0" w:firstLine="0" w:firstLineChars="0"/>
              <w:jc w:val="center"/>
              <w:rPr>
                <w:rFonts w:ascii="宋体" w:hAnsi="宋体" w:eastAsia="宋体" w:cs="Times New Roman"/>
                <w:b w:val="0"/>
                <w:kern w:val="0"/>
                <w:sz w:val="24"/>
                <w:szCs w:val="22"/>
              </w:rPr>
            </w:pPr>
          </w:p>
        </w:tc>
      </w:tr>
      <w:tr w14:paraId="21A5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801" w:type="dxa"/>
            <w:vAlign w:val="center"/>
          </w:tcPr>
          <w:p w14:paraId="6FFEA413">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8</w:t>
            </w:r>
          </w:p>
        </w:tc>
        <w:tc>
          <w:tcPr>
            <w:tcW w:w="1381" w:type="dxa"/>
            <w:vMerge w:val="continue"/>
            <w:vAlign w:val="center"/>
          </w:tcPr>
          <w:p w14:paraId="15F18586">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11C2163B">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未按规定及时办理使用登记</w:t>
            </w:r>
            <w:r>
              <w:rPr>
                <w:rFonts w:ascii="宋体" w:hAnsi="宋体" w:eastAsia="宋体" w:cs="Times New Roman"/>
                <w:b w:val="0"/>
                <w:kern w:val="0"/>
                <w:sz w:val="24"/>
                <w:szCs w:val="22"/>
              </w:rPr>
              <w:t>、变更使用登记</w:t>
            </w:r>
          </w:p>
        </w:tc>
        <w:tc>
          <w:tcPr>
            <w:tcW w:w="5610" w:type="dxa"/>
            <w:vAlign w:val="center"/>
          </w:tcPr>
          <w:p w14:paraId="09D4063C">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1.建立使用登记、定期检验管理制度；</w:t>
            </w:r>
          </w:p>
          <w:p w14:paraId="0A377EAE">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2.加强对使用登记情况、特种设备安全使用标志情况的定期检查，重点对发生改造、移装、使用单位或产权单位更名的，及时办理变更登记</w:t>
            </w:r>
          </w:p>
        </w:tc>
        <w:tc>
          <w:tcPr>
            <w:tcW w:w="1470" w:type="dxa"/>
            <w:vAlign w:val="center"/>
          </w:tcPr>
          <w:p w14:paraId="5801E09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155" w:type="dxa"/>
            <w:vAlign w:val="center"/>
          </w:tcPr>
          <w:p w14:paraId="46EFE6F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877" w:type="dxa"/>
            <w:vAlign w:val="center"/>
          </w:tcPr>
          <w:p w14:paraId="69BF91E4">
            <w:pPr>
              <w:widowControl/>
              <w:spacing w:line="240" w:lineRule="auto"/>
              <w:ind w:left="0" w:leftChars="0" w:firstLine="0" w:firstLineChars="0"/>
              <w:jc w:val="center"/>
              <w:rPr>
                <w:rFonts w:ascii="宋体" w:hAnsi="宋体" w:eastAsia="宋体" w:cs="Times New Roman"/>
                <w:b w:val="0"/>
                <w:kern w:val="0"/>
                <w:sz w:val="24"/>
                <w:szCs w:val="22"/>
              </w:rPr>
            </w:pPr>
          </w:p>
        </w:tc>
      </w:tr>
      <w:tr w14:paraId="2079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801" w:type="dxa"/>
            <w:vAlign w:val="center"/>
          </w:tcPr>
          <w:p w14:paraId="4730A74C">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9</w:t>
            </w:r>
          </w:p>
        </w:tc>
        <w:tc>
          <w:tcPr>
            <w:tcW w:w="1381" w:type="dxa"/>
            <w:vMerge w:val="continue"/>
            <w:vAlign w:val="center"/>
          </w:tcPr>
          <w:p w14:paraId="40A0B120">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1CEAD165">
            <w:pPr>
              <w:widowControl/>
              <w:spacing w:line="240" w:lineRule="auto"/>
              <w:ind w:left="0" w:leftChars="0" w:firstLine="0" w:firstLineChars="0"/>
              <w:jc w:val="both"/>
              <w:rPr>
                <w:rFonts w:ascii="宋体" w:hAnsi="宋体" w:eastAsia="宋体" w:cs="宋体"/>
                <w:b w:val="0"/>
                <w:kern w:val="0"/>
                <w:sz w:val="24"/>
                <w:szCs w:val="22"/>
              </w:rPr>
            </w:pPr>
            <w:r>
              <w:rPr>
                <w:rFonts w:hint="eastAsia" w:ascii="宋体" w:hAnsi="宋体" w:eastAsia="宋体" w:cs="Times New Roman"/>
                <w:b w:val="0"/>
                <w:kern w:val="0"/>
                <w:sz w:val="24"/>
                <w:szCs w:val="22"/>
              </w:rPr>
              <w:t>未按要求经常性维护保养和</w:t>
            </w:r>
            <w:r>
              <w:rPr>
                <w:rFonts w:ascii="宋体" w:hAnsi="宋体" w:eastAsia="宋体" w:cs="Times New Roman"/>
                <w:b w:val="0"/>
                <w:kern w:val="0"/>
                <w:sz w:val="24"/>
                <w:szCs w:val="22"/>
              </w:rPr>
              <w:t>定期自行检查</w:t>
            </w:r>
          </w:p>
        </w:tc>
        <w:tc>
          <w:tcPr>
            <w:tcW w:w="5610" w:type="dxa"/>
            <w:vAlign w:val="center"/>
          </w:tcPr>
          <w:p w14:paraId="19335118">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1.制定特种设备经常性维护保养和定期自行检查管理制度；</w:t>
            </w:r>
            <w:r>
              <w:rPr>
                <w:rFonts w:ascii="宋体" w:hAnsi="宋体" w:eastAsia="宋体" w:cs="Times New Roman"/>
                <w:b w:val="0"/>
                <w:kern w:val="0"/>
                <w:sz w:val="24"/>
                <w:szCs w:val="22"/>
              </w:rPr>
              <w:t>维护保养应当符合有关安全技术规范和产品使用维护说明的要求，根据场车的使用繁重程度、环境条件状况，确定</w:t>
            </w:r>
            <w:r>
              <w:rPr>
                <w:rFonts w:hint="eastAsia" w:ascii="宋体" w:hAnsi="宋体" w:eastAsia="宋体" w:cs="Times New Roman"/>
                <w:b w:val="0"/>
                <w:kern w:val="0"/>
                <w:sz w:val="24"/>
                <w:szCs w:val="22"/>
              </w:rPr>
              <w:t>不低于TSG81-2022《场（厂）内专用机动车辆安全技术规程》</w:t>
            </w:r>
            <w:r>
              <w:rPr>
                <w:rFonts w:ascii="宋体" w:hAnsi="宋体" w:eastAsia="宋体" w:cs="Times New Roman"/>
                <w:b w:val="0"/>
                <w:kern w:val="0"/>
                <w:sz w:val="24"/>
                <w:szCs w:val="22"/>
              </w:rPr>
              <w:t>规定的维护保养、月度检查、年度检查的周期和内容</w:t>
            </w:r>
            <w:r>
              <w:rPr>
                <w:rFonts w:hint="eastAsia" w:ascii="宋体" w:hAnsi="宋体" w:eastAsia="宋体" w:cs="Times New Roman"/>
                <w:b w:val="0"/>
                <w:kern w:val="0"/>
                <w:sz w:val="24"/>
                <w:szCs w:val="22"/>
              </w:rPr>
              <w:t>；</w:t>
            </w:r>
          </w:p>
          <w:p w14:paraId="6A5998B2">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w:t>
            </w:r>
            <w:r>
              <w:rPr>
                <w:rFonts w:ascii="宋体" w:hAnsi="宋体" w:eastAsia="宋体" w:cs="Times New Roman"/>
                <w:b w:val="0"/>
                <w:kern w:val="0"/>
                <w:sz w:val="24"/>
                <w:szCs w:val="22"/>
              </w:rPr>
              <w:t>对维护保养和检查中发现的异常情况应当及时处理，消除事故隐患，并且记录，记录存入安全技术档案；</w:t>
            </w:r>
          </w:p>
          <w:p w14:paraId="07125E46">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 xml:space="preserve"> 3.</w:t>
            </w:r>
            <w:r>
              <w:rPr>
                <w:rFonts w:ascii="宋体" w:hAnsi="宋体" w:eastAsia="宋体" w:cs="Times New Roman"/>
                <w:b w:val="0"/>
                <w:kern w:val="0"/>
                <w:sz w:val="24"/>
                <w:szCs w:val="22"/>
              </w:rPr>
              <w:t>使用单位应当在场车每日投入使用前，按照使用维护说明的要求进行日常检查，在使用过程中还应当加强对场车的巡检，并且形成使用记录</w:t>
            </w:r>
          </w:p>
        </w:tc>
        <w:tc>
          <w:tcPr>
            <w:tcW w:w="1470" w:type="dxa"/>
            <w:vAlign w:val="center"/>
          </w:tcPr>
          <w:p w14:paraId="12FE5E4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155" w:type="dxa"/>
            <w:vAlign w:val="center"/>
          </w:tcPr>
          <w:p w14:paraId="1AF59CE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877" w:type="dxa"/>
            <w:vAlign w:val="center"/>
          </w:tcPr>
          <w:p w14:paraId="1C107038">
            <w:pPr>
              <w:widowControl/>
              <w:spacing w:line="240" w:lineRule="auto"/>
              <w:ind w:left="0" w:leftChars="0" w:firstLine="0" w:firstLineChars="0"/>
              <w:jc w:val="center"/>
              <w:rPr>
                <w:rFonts w:ascii="宋体" w:hAnsi="宋体" w:eastAsia="宋体" w:cs="Times New Roman"/>
                <w:b w:val="0"/>
                <w:kern w:val="0"/>
                <w:sz w:val="24"/>
                <w:szCs w:val="22"/>
              </w:rPr>
            </w:pPr>
          </w:p>
        </w:tc>
      </w:tr>
      <w:tr w14:paraId="34A8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Align w:val="center"/>
          </w:tcPr>
          <w:p w14:paraId="3D721C8C">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10</w:t>
            </w:r>
          </w:p>
        </w:tc>
        <w:tc>
          <w:tcPr>
            <w:tcW w:w="1381" w:type="dxa"/>
            <w:vMerge w:val="continue"/>
            <w:vAlign w:val="center"/>
          </w:tcPr>
          <w:p w14:paraId="2C60019B">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6F524842">
            <w:pPr>
              <w:widowControl/>
              <w:tabs>
                <w:tab w:val="left" w:pos="312"/>
              </w:tabs>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未建立特种设备事故应急专项预案，未按规定定期开展应急救援预案演练并保存应急救援预案演练记录（含文字、图片、视频等）</w:t>
            </w:r>
          </w:p>
        </w:tc>
        <w:tc>
          <w:tcPr>
            <w:tcW w:w="5610" w:type="dxa"/>
            <w:vAlign w:val="center"/>
          </w:tcPr>
          <w:p w14:paraId="7A7B6547">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1.制定特种设备应急救援管理制度，制定事故应急专项预案；</w:t>
            </w:r>
          </w:p>
          <w:p w14:paraId="145094F3">
            <w:pPr>
              <w:widowControl/>
              <w:spacing w:line="240" w:lineRule="auto"/>
              <w:ind w:left="0" w:leftChars="0" w:firstLine="0" w:firstLineChars="0"/>
              <w:jc w:val="left"/>
              <w:rPr>
                <w:rFonts w:ascii="宋体" w:hAnsi="宋体" w:eastAsia="宋体" w:cs="Times New Roman"/>
                <w:b w:val="0"/>
                <w:kern w:val="0"/>
                <w:sz w:val="24"/>
                <w:szCs w:val="22"/>
              </w:rPr>
            </w:pPr>
            <w:r>
              <w:rPr>
                <w:rFonts w:hint="eastAsia" w:ascii="宋体" w:hAnsi="宋体" w:eastAsia="宋体" w:cs="Times New Roman"/>
                <w:b w:val="0"/>
                <w:kern w:val="0"/>
                <w:sz w:val="24"/>
                <w:szCs w:val="22"/>
              </w:rPr>
              <w:t>2.定期开展应急预案和特种设备应急专项预案定期开展应急处置和救援演练，每年至少演练一次，并且作出记录</w:t>
            </w:r>
          </w:p>
        </w:tc>
        <w:tc>
          <w:tcPr>
            <w:tcW w:w="1470" w:type="dxa"/>
            <w:vAlign w:val="center"/>
          </w:tcPr>
          <w:p w14:paraId="628F0F8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155" w:type="dxa"/>
            <w:vAlign w:val="center"/>
          </w:tcPr>
          <w:p w14:paraId="5EA5278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877" w:type="dxa"/>
            <w:vAlign w:val="center"/>
          </w:tcPr>
          <w:p w14:paraId="0F1AC0DF">
            <w:pPr>
              <w:widowControl/>
              <w:spacing w:line="240" w:lineRule="auto"/>
              <w:ind w:left="0" w:leftChars="0" w:firstLine="0" w:firstLineChars="0"/>
              <w:jc w:val="center"/>
              <w:rPr>
                <w:rFonts w:ascii="宋体" w:hAnsi="宋体" w:eastAsia="宋体" w:cs="Times New Roman"/>
                <w:b w:val="0"/>
                <w:kern w:val="0"/>
                <w:sz w:val="24"/>
                <w:szCs w:val="22"/>
              </w:rPr>
            </w:pPr>
          </w:p>
        </w:tc>
      </w:tr>
      <w:tr w14:paraId="5AD9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01" w:type="dxa"/>
            <w:vAlign w:val="center"/>
          </w:tcPr>
          <w:p w14:paraId="6A365566">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11</w:t>
            </w:r>
          </w:p>
        </w:tc>
        <w:tc>
          <w:tcPr>
            <w:tcW w:w="1381" w:type="dxa"/>
            <w:vMerge w:val="restart"/>
            <w:vAlign w:val="center"/>
          </w:tcPr>
          <w:p w14:paraId="59CFB3D5">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设备</w:t>
            </w:r>
          </w:p>
        </w:tc>
        <w:tc>
          <w:tcPr>
            <w:tcW w:w="2880" w:type="dxa"/>
            <w:vAlign w:val="center"/>
          </w:tcPr>
          <w:p w14:paraId="42840E79">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未按要求使用符合要求的特种设备或使用国家明令禁止，未按实际情况选择</w:t>
            </w:r>
            <w:r>
              <w:rPr>
                <w:rFonts w:ascii="宋体" w:hAnsi="宋体" w:eastAsia="宋体" w:cs="Times New Roman"/>
                <w:b w:val="0"/>
                <w:kern w:val="0"/>
                <w:sz w:val="24"/>
                <w:szCs w:val="22"/>
              </w:rPr>
              <w:t>适合使用条件要求的场车</w:t>
            </w:r>
          </w:p>
        </w:tc>
        <w:tc>
          <w:tcPr>
            <w:tcW w:w="5610" w:type="dxa"/>
            <w:vAlign w:val="center"/>
          </w:tcPr>
          <w:p w14:paraId="2AB89E2A">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1.制定特种设备采购、安装、改造、修理、报废等管理制度；</w:t>
            </w:r>
          </w:p>
          <w:p w14:paraId="19013A35">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2.对计划新增设备采购前</w:t>
            </w:r>
            <w:r>
              <w:rPr>
                <w:rFonts w:ascii="宋体" w:hAnsi="宋体" w:eastAsia="宋体" w:cs="Times New Roman"/>
                <w:b w:val="0"/>
                <w:kern w:val="0"/>
                <w:sz w:val="24"/>
                <w:szCs w:val="22"/>
              </w:rPr>
              <w:t>根据场车的用途、使用环境（如温度、湿度、海拨高度、坡度、弯道圆曲线半径、爆炸性环境等），选择适合使用条件要求的场车，并且对所使用场车的选型负责；</w:t>
            </w:r>
          </w:p>
          <w:p w14:paraId="5DCF4774">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3.</w:t>
            </w:r>
            <w:r>
              <w:rPr>
                <w:rFonts w:ascii="宋体" w:hAnsi="宋体" w:eastAsia="宋体" w:cs="Times New Roman"/>
                <w:b w:val="0"/>
                <w:kern w:val="0"/>
                <w:sz w:val="24"/>
                <w:szCs w:val="22"/>
              </w:rPr>
              <w:t>购置观光车辆时，保证观光车辆的最大行驶坡度能够满足使用单位行驶路线中的最大坡度的要求，并且在销售合同中明确； （观光车专项）</w:t>
            </w:r>
          </w:p>
        </w:tc>
        <w:tc>
          <w:tcPr>
            <w:tcW w:w="1470" w:type="dxa"/>
            <w:vAlign w:val="center"/>
          </w:tcPr>
          <w:p w14:paraId="0F08CC3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155" w:type="dxa"/>
            <w:vAlign w:val="center"/>
          </w:tcPr>
          <w:p w14:paraId="0D41E2C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877" w:type="dxa"/>
            <w:vAlign w:val="center"/>
          </w:tcPr>
          <w:p w14:paraId="4F74909E">
            <w:pPr>
              <w:widowControl/>
              <w:spacing w:line="240" w:lineRule="auto"/>
              <w:ind w:left="0" w:leftChars="0" w:firstLine="0" w:firstLineChars="0"/>
              <w:jc w:val="center"/>
              <w:rPr>
                <w:rFonts w:ascii="宋体" w:hAnsi="宋体" w:eastAsia="宋体" w:cs="Times New Roman"/>
                <w:b w:val="0"/>
                <w:kern w:val="0"/>
                <w:sz w:val="24"/>
                <w:szCs w:val="22"/>
              </w:rPr>
            </w:pPr>
          </w:p>
        </w:tc>
      </w:tr>
      <w:tr w14:paraId="494D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801" w:type="dxa"/>
            <w:vAlign w:val="center"/>
          </w:tcPr>
          <w:p w14:paraId="115D8CE9">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12</w:t>
            </w:r>
          </w:p>
        </w:tc>
        <w:tc>
          <w:tcPr>
            <w:tcW w:w="1381" w:type="dxa"/>
            <w:vMerge w:val="continue"/>
            <w:vAlign w:val="center"/>
          </w:tcPr>
          <w:p w14:paraId="02DF3AB6">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08CDB40C">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未按有关规定安排</w:t>
            </w:r>
            <w:r>
              <w:rPr>
                <w:rFonts w:ascii="宋体" w:hAnsi="宋体" w:eastAsia="宋体" w:cs="Times New Roman"/>
                <w:b w:val="0"/>
                <w:kern w:val="0"/>
                <w:sz w:val="24"/>
                <w:szCs w:val="22"/>
              </w:rPr>
              <w:t>场车首次</w:t>
            </w:r>
            <w:r>
              <w:rPr>
                <w:rFonts w:hint="eastAsia" w:ascii="宋体" w:hAnsi="宋体" w:eastAsia="宋体" w:cs="Times New Roman"/>
                <w:b w:val="0"/>
                <w:kern w:val="0"/>
                <w:sz w:val="24"/>
                <w:szCs w:val="22"/>
              </w:rPr>
              <w:t>检验</w:t>
            </w:r>
            <w:r>
              <w:rPr>
                <w:rFonts w:ascii="宋体" w:hAnsi="宋体" w:eastAsia="宋体" w:cs="Times New Roman"/>
                <w:b w:val="0"/>
                <w:kern w:val="0"/>
                <w:sz w:val="24"/>
                <w:szCs w:val="22"/>
              </w:rPr>
              <w:t>、定期检验，设备超期未检</w:t>
            </w:r>
          </w:p>
        </w:tc>
        <w:tc>
          <w:tcPr>
            <w:tcW w:w="5610" w:type="dxa"/>
            <w:vAlign w:val="center"/>
          </w:tcPr>
          <w:p w14:paraId="4603F47E">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1.制定特种设备检验制度和检验计划；</w:t>
            </w:r>
          </w:p>
          <w:p w14:paraId="1FB23982">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2.明确安全员负责定检验和后续整改工作；</w:t>
            </w:r>
          </w:p>
          <w:p w14:paraId="0EBAF26F">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3.安全总监注意每月检查设备的检验有效期情况。</w:t>
            </w:r>
          </w:p>
        </w:tc>
        <w:tc>
          <w:tcPr>
            <w:tcW w:w="1470" w:type="dxa"/>
            <w:vAlign w:val="center"/>
          </w:tcPr>
          <w:p w14:paraId="2853474A">
            <w:pPr>
              <w:spacing w:line="240" w:lineRule="auto"/>
              <w:ind w:left="0" w:leftChars="0" w:firstLine="0" w:firstLineChars="0"/>
              <w:jc w:val="center"/>
              <w:rPr>
                <w:rFonts w:ascii="宋体" w:hAnsi="宋体" w:eastAsia="宋体" w:cs="Times New Roman"/>
                <w:b w:val="0"/>
                <w:sz w:val="24"/>
                <w:szCs w:val="24"/>
              </w:rPr>
            </w:pPr>
            <w:r>
              <w:rPr>
                <w:rFonts w:hint="eastAsia" w:ascii="宋体" w:hAnsi="宋体" w:eastAsia="宋体" w:cs="Times New Roman"/>
                <w:b w:val="0"/>
                <w:sz w:val="24"/>
                <w:szCs w:val="24"/>
              </w:rPr>
              <w:t>月</w:t>
            </w:r>
            <w:r>
              <w:rPr>
                <w:rFonts w:ascii="宋体" w:hAnsi="宋体" w:eastAsia="宋体" w:cs="Times New Roman"/>
                <w:b w:val="0"/>
                <w:sz w:val="24"/>
                <w:szCs w:val="24"/>
              </w:rPr>
              <w:t>调度</w:t>
            </w:r>
          </w:p>
        </w:tc>
        <w:tc>
          <w:tcPr>
            <w:tcW w:w="1155" w:type="dxa"/>
            <w:vAlign w:val="center"/>
          </w:tcPr>
          <w:p w14:paraId="3D80E59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877" w:type="dxa"/>
            <w:vAlign w:val="center"/>
          </w:tcPr>
          <w:p w14:paraId="0B6C931F">
            <w:pPr>
              <w:widowControl/>
              <w:spacing w:line="240" w:lineRule="auto"/>
              <w:ind w:left="0" w:leftChars="0" w:firstLine="0" w:firstLineChars="0"/>
              <w:jc w:val="center"/>
              <w:rPr>
                <w:rFonts w:ascii="宋体" w:hAnsi="宋体" w:eastAsia="宋体" w:cs="Times New Roman"/>
                <w:b w:val="0"/>
                <w:kern w:val="0"/>
                <w:sz w:val="24"/>
                <w:szCs w:val="22"/>
              </w:rPr>
            </w:pPr>
          </w:p>
        </w:tc>
      </w:tr>
      <w:tr w14:paraId="469A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01" w:type="dxa"/>
            <w:vAlign w:val="center"/>
          </w:tcPr>
          <w:p w14:paraId="0A3E7E27">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13</w:t>
            </w:r>
          </w:p>
        </w:tc>
        <w:tc>
          <w:tcPr>
            <w:tcW w:w="1381" w:type="dxa"/>
            <w:vMerge w:val="continue"/>
            <w:vAlign w:val="center"/>
          </w:tcPr>
          <w:p w14:paraId="227546C6">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12215AF8">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未按照规定固定车牌、无产品商标或厂标、制动系统失效、转向系统失效、车轮安装不符、车轮磨损超限、轮辋缺损等、传动系统失效、</w:t>
            </w:r>
            <w:r>
              <w:rPr>
                <w:rFonts w:hint="eastAsia" w:ascii="宋体" w:hAnsi="宋体" w:eastAsia="宋体" w:cs="宋体"/>
                <w:b w:val="0"/>
                <w:kern w:val="0"/>
                <w:sz w:val="24"/>
                <w:szCs w:val="22"/>
              </w:rPr>
              <w:t>照明系统失效、</w:t>
            </w:r>
            <w:r>
              <w:rPr>
                <w:rFonts w:hint="eastAsia" w:ascii="宋体" w:hAnsi="宋体" w:eastAsia="宋体" w:cs="Times New Roman"/>
                <w:b w:val="0"/>
                <w:kern w:val="0"/>
                <w:sz w:val="24"/>
                <w:szCs w:val="22"/>
              </w:rPr>
              <w:t>仪表系统失效、电气系统损坏、驾驶室门锁及玻璃等部件缺损、灭火器未配备、座椅不符合要求、</w:t>
            </w:r>
            <w:r>
              <w:rPr>
                <w:rFonts w:hint="eastAsia" w:ascii="宋体" w:hAnsi="宋体" w:eastAsia="宋体" w:cs="宋体"/>
                <w:b w:val="0"/>
                <w:kern w:val="0"/>
                <w:sz w:val="24"/>
                <w:szCs w:val="22"/>
              </w:rPr>
              <w:t>操纵系统故障、</w:t>
            </w:r>
            <w:r>
              <w:rPr>
                <w:rFonts w:hint="eastAsia" w:ascii="宋体" w:hAnsi="宋体" w:eastAsia="宋体" w:cs="Times New Roman"/>
                <w:b w:val="0"/>
                <w:kern w:val="0"/>
                <w:sz w:val="24"/>
                <w:szCs w:val="22"/>
              </w:rPr>
              <w:t>货叉缺陷、磨损等（叉车专项）、液压系统故障、漏油等（叉车专项）、</w:t>
            </w:r>
            <w:r>
              <w:rPr>
                <w:rFonts w:ascii="宋体" w:hAnsi="宋体" w:eastAsia="宋体" w:cs="Times New Roman"/>
                <w:b w:val="0"/>
                <w:kern w:val="0"/>
                <w:sz w:val="24"/>
                <w:szCs w:val="22"/>
              </w:rPr>
              <w:t>安全监控装置失效</w:t>
            </w:r>
            <w:r>
              <w:rPr>
                <w:rFonts w:hint="eastAsia" w:ascii="宋体" w:hAnsi="宋体" w:eastAsia="宋体" w:cs="Times New Roman"/>
                <w:b w:val="0"/>
                <w:kern w:val="0"/>
                <w:sz w:val="24"/>
                <w:szCs w:val="22"/>
              </w:rPr>
              <w:t>（叉车专项）、</w:t>
            </w:r>
            <w:r>
              <w:rPr>
                <w:rFonts w:ascii="宋体" w:hAnsi="宋体" w:eastAsia="宋体" w:cs="Times New Roman"/>
                <w:b w:val="0"/>
                <w:kern w:val="0"/>
                <w:sz w:val="24"/>
                <w:szCs w:val="22"/>
              </w:rPr>
              <w:t>视频监控装置失效</w:t>
            </w:r>
            <w:r>
              <w:rPr>
                <w:rFonts w:hint="eastAsia" w:ascii="宋体" w:hAnsi="宋体" w:eastAsia="宋体" w:cs="Times New Roman"/>
                <w:b w:val="0"/>
                <w:kern w:val="0"/>
                <w:sz w:val="24"/>
                <w:szCs w:val="22"/>
              </w:rPr>
              <w:t>等（观光列车专项）</w:t>
            </w:r>
          </w:p>
        </w:tc>
        <w:tc>
          <w:tcPr>
            <w:tcW w:w="5610" w:type="dxa"/>
            <w:vAlign w:val="center"/>
          </w:tcPr>
          <w:p w14:paraId="2541FF24">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1.作业人员（操作人员）上车前日检，日检记录填写完整；</w:t>
            </w:r>
          </w:p>
          <w:p w14:paraId="60AC2808">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2.定期检查车辆设备状况；</w:t>
            </w:r>
          </w:p>
          <w:p w14:paraId="036D4896">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3.按期保养，及时维修；</w:t>
            </w:r>
          </w:p>
        </w:tc>
        <w:tc>
          <w:tcPr>
            <w:tcW w:w="1470" w:type="dxa"/>
            <w:vAlign w:val="center"/>
          </w:tcPr>
          <w:p w14:paraId="5ADBA76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155" w:type="dxa"/>
            <w:vAlign w:val="center"/>
          </w:tcPr>
          <w:p w14:paraId="5BB1D12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877" w:type="dxa"/>
            <w:vMerge w:val="restart"/>
            <w:vAlign w:val="center"/>
          </w:tcPr>
          <w:p w14:paraId="4E30DEEF">
            <w:pPr>
              <w:widowControl/>
              <w:spacing w:line="240" w:lineRule="auto"/>
              <w:ind w:left="0" w:leftChars="0" w:firstLine="0" w:firstLineChars="0"/>
              <w:jc w:val="center"/>
              <w:rPr>
                <w:rFonts w:ascii="宋体" w:hAnsi="宋体" w:eastAsia="宋体" w:cs="Times New Roman"/>
                <w:b w:val="0"/>
                <w:kern w:val="0"/>
                <w:sz w:val="24"/>
                <w:szCs w:val="22"/>
              </w:rPr>
            </w:pPr>
          </w:p>
        </w:tc>
      </w:tr>
      <w:tr w14:paraId="0203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801" w:type="dxa"/>
            <w:vAlign w:val="center"/>
          </w:tcPr>
          <w:p w14:paraId="5FB08A7C">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14</w:t>
            </w:r>
          </w:p>
        </w:tc>
        <w:tc>
          <w:tcPr>
            <w:tcW w:w="1381" w:type="dxa"/>
            <w:vMerge w:val="restart"/>
            <w:vAlign w:val="center"/>
          </w:tcPr>
          <w:p w14:paraId="60B5614E">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安全保护和防护装置</w:t>
            </w:r>
          </w:p>
        </w:tc>
        <w:tc>
          <w:tcPr>
            <w:tcW w:w="2880" w:type="dxa"/>
            <w:vAlign w:val="center"/>
          </w:tcPr>
          <w:p w14:paraId="704FD1F8">
            <w:pPr>
              <w:wordWrap w:val="0"/>
              <w:topLinePunct/>
              <w:snapToGrid w:val="0"/>
              <w:spacing w:line="300" w:lineRule="exact"/>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未按要求设置安全保护和防护装置</w:t>
            </w:r>
          </w:p>
        </w:tc>
        <w:tc>
          <w:tcPr>
            <w:tcW w:w="5610" w:type="dxa"/>
            <w:vAlign w:val="center"/>
          </w:tcPr>
          <w:p w14:paraId="327C47D0">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1.作业人员（操作人员）上车前日检，日检记录填写完整；</w:t>
            </w:r>
          </w:p>
          <w:p w14:paraId="6C7DFFCF">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2.定期检查车辆设备状况；</w:t>
            </w:r>
          </w:p>
          <w:p w14:paraId="58D9E981">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3.按期保养，及时维修。</w:t>
            </w:r>
          </w:p>
        </w:tc>
        <w:tc>
          <w:tcPr>
            <w:tcW w:w="1470" w:type="dxa"/>
            <w:vAlign w:val="center"/>
          </w:tcPr>
          <w:p w14:paraId="684738E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155" w:type="dxa"/>
            <w:vAlign w:val="center"/>
          </w:tcPr>
          <w:p w14:paraId="78EF6A2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877" w:type="dxa"/>
            <w:vMerge w:val="continue"/>
            <w:vAlign w:val="center"/>
          </w:tcPr>
          <w:p w14:paraId="2DE4C0B6">
            <w:pPr>
              <w:widowControl/>
              <w:spacing w:line="240" w:lineRule="auto"/>
              <w:ind w:left="0" w:leftChars="0" w:firstLine="0" w:firstLineChars="0"/>
              <w:jc w:val="center"/>
              <w:rPr>
                <w:rFonts w:ascii="宋体" w:hAnsi="宋体" w:eastAsia="宋体" w:cs="Times New Roman"/>
                <w:b w:val="0"/>
                <w:kern w:val="0"/>
                <w:sz w:val="24"/>
                <w:szCs w:val="22"/>
              </w:rPr>
            </w:pPr>
          </w:p>
        </w:tc>
      </w:tr>
      <w:tr w14:paraId="7212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801" w:type="dxa"/>
            <w:vAlign w:val="center"/>
          </w:tcPr>
          <w:p w14:paraId="6D638871">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15</w:t>
            </w:r>
          </w:p>
        </w:tc>
        <w:tc>
          <w:tcPr>
            <w:tcW w:w="1381" w:type="dxa"/>
            <w:vMerge w:val="continue"/>
            <w:vAlign w:val="center"/>
          </w:tcPr>
          <w:p w14:paraId="06F84E5A">
            <w:pPr>
              <w:widowControl/>
              <w:spacing w:line="240" w:lineRule="auto"/>
              <w:ind w:left="0" w:leftChars="0" w:firstLine="0" w:firstLineChars="0"/>
              <w:jc w:val="center"/>
              <w:rPr>
                <w:rFonts w:ascii="宋体" w:hAnsi="宋体" w:eastAsia="宋体" w:cs="Times New Roman"/>
                <w:b w:val="0"/>
                <w:kern w:val="0"/>
                <w:sz w:val="24"/>
                <w:szCs w:val="22"/>
              </w:rPr>
            </w:pPr>
          </w:p>
        </w:tc>
        <w:tc>
          <w:tcPr>
            <w:tcW w:w="2880" w:type="dxa"/>
            <w:vAlign w:val="center"/>
          </w:tcPr>
          <w:p w14:paraId="2EFF22E5">
            <w:pPr>
              <w:topLinePunct/>
              <w:snapToGrid w:val="0"/>
              <w:spacing w:line="300" w:lineRule="exact"/>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安全保护和防护装置、安全监控装置、视频监控装置等失灵或失效</w:t>
            </w:r>
          </w:p>
        </w:tc>
        <w:tc>
          <w:tcPr>
            <w:tcW w:w="5610" w:type="dxa"/>
            <w:vAlign w:val="center"/>
          </w:tcPr>
          <w:p w14:paraId="3B05461C">
            <w:pPr>
              <w:widowControl/>
              <w:spacing w:line="300" w:lineRule="exact"/>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按照技术规范要求设置安全保护和防护并经常性检查</w:t>
            </w:r>
          </w:p>
        </w:tc>
        <w:tc>
          <w:tcPr>
            <w:tcW w:w="1470" w:type="dxa"/>
            <w:vAlign w:val="center"/>
          </w:tcPr>
          <w:p w14:paraId="54294303">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155" w:type="dxa"/>
            <w:vAlign w:val="center"/>
          </w:tcPr>
          <w:p w14:paraId="0FADB5B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877" w:type="dxa"/>
            <w:vAlign w:val="center"/>
          </w:tcPr>
          <w:p w14:paraId="6689B525">
            <w:pPr>
              <w:widowControl/>
              <w:spacing w:line="240" w:lineRule="auto"/>
              <w:ind w:left="0" w:leftChars="0" w:firstLine="0" w:firstLineChars="0"/>
              <w:jc w:val="center"/>
              <w:rPr>
                <w:rFonts w:ascii="宋体" w:hAnsi="宋体" w:eastAsia="宋体" w:cs="Times New Roman"/>
                <w:b w:val="0"/>
                <w:kern w:val="0"/>
                <w:sz w:val="24"/>
                <w:szCs w:val="22"/>
              </w:rPr>
            </w:pPr>
          </w:p>
        </w:tc>
      </w:tr>
      <w:tr w14:paraId="414E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01" w:type="dxa"/>
            <w:vAlign w:val="center"/>
          </w:tcPr>
          <w:p w14:paraId="6585F139">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16</w:t>
            </w:r>
          </w:p>
        </w:tc>
        <w:tc>
          <w:tcPr>
            <w:tcW w:w="1381" w:type="dxa"/>
            <w:vMerge w:val="restart"/>
            <w:vAlign w:val="center"/>
          </w:tcPr>
          <w:p w14:paraId="23CEF3CA">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环境因素</w:t>
            </w:r>
          </w:p>
        </w:tc>
        <w:tc>
          <w:tcPr>
            <w:tcW w:w="2880" w:type="dxa"/>
            <w:vAlign w:val="center"/>
          </w:tcPr>
          <w:p w14:paraId="7A25920B">
            <w:pPr>
              <w:widowControl/>
              <w:spacing w:line="240" w:lineRule="auto"/>
              <w:ind w:left="0" w:leftChars="0" w:firstLine="0" w:firstLineChars="0"/>
              <w:jc w:val="both"/>
              <w:rPr>
                <w:rFonts w:ascii="宋体" w:hAnsi="宋体" w:eastAsia="宋体" w:cs="宋体"/>
                <w:b w:val="0"/>
                <w:kern w:val="0"/>
                <w:sz w:val="24"/>
                <w:szCs w:val="22"/>
              </w:rPr>
            </w:pPr>
            <w:r>
              <w:rPr>
                <w:rFonts w:hint="eastAsia" w:ascii="宋体" w:hAnsi="宋体" w:eastAsia="宋体" w:cs="Times New Roman"/>
                <w:b w:val="0"/>
                <w:kern w:val="0"/>
                <w:sz w:val="24"/>
                <w:szCs w:val="22"/>
              </w:rPr>
              <w:t>使用环境不符、标志不完善，使用区域未进行管理</w:t>
            </w:r>
          </w:p>
        </w:tc>
        <w:tc>
          <w:tcPr>
            <w:tcW w:w="5610" w:type="dxa"/>
            <w:vAlign w:val="center"/>
          </w:tcPr>
          <w:p w14:paraId="22C5EEDA">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1.明确场车行驶线路、使用区域，标识；</w:t>
            </w:r>
            <w:r>
              <w:rPr>
                <w:rFonts w:ascii="宋体" w:hAnsi="宋体" w:eastAsia="宋体" w:cs="Times New Roman"/>
                <w:b w:val="0"/>
                <w:kern w:val="0"/>
                <w:sz w:val="24"/>
                <w:szCs w:val="22"/>
              </w:rPr>
              <w:t>应当根据本单位场车作业区域的状况，规范本单位场车作业环境，作业环境不符合要求的，场车不得进入该区域作业</w:t>
            </w:r>
            <w:r>
              <w:rPr>
                <w:rFonts w:hint="eastAsia" w:ascii="宋体" w:hAnsi="宋体" w:eastAsia="宋体" w:cs="Times New Roman"/>
                <w:b w:val="0"/>
                <w:kern w:val="0"/>
                <w:sz w:val="24"/>
                <w:szCs w:val="22"/>
              </w:rPr>
              <w:t>，场车作业区域应进行有效管理，无关人员不得进入</w:t>
            </w:r>
            <w:r>
              <w:rPr>
                <w:rFonts w:ascii="宋体" w:hAnsi="宋体" w:eastAsia="宋体" w:cs="Times New Roman"/>
                <w:b w:val="0"/>
                <w:kern w:val="0"/>
                <w:sz w:val="24"/>
                <w:szCs w:val="22"/>
              </w:rPr>
              <w:t>；</w:t>
            </w:r>
            <w:r>
              <w:rPr>
                <w:rFonts w:hint="eastAsia" w:ascii="宋体" w:hAnsi="宋体" w:eastAsia="宋体" w:cs="Times New Roman"/>
                <w:b w:val="0"/>
                <w:kern w:val="0"/>
                <w:sz w:val="24"/>
                <w:szCs w:val="22"/>
              </w:rPr>
              <w:t>使用符合</w:t>
            </w:r>
            <w:r>
              <w:rPr>
                <w:rFonts w:ascii="宋体" w:hAnsi="宋体" w:eastAsia="宋体" w:cs="Times New Roman"/>
                <w:b w:val="0"/>
                <w:kern w:val="0"/>
                <w:sz w:val="24"/>
                <w:szCs w:val="22"/>
              </w:rPr>
              <w:t>GB2894-2008《安全标志及其使用导则》</w:t>
            </w:r>
            <w:r>
              <w:rPr>
                <w:rFonts w:hint="eastAsia" w:ascii="宋体" w:hAnsi="宋体" w:eastAsia="宋体" w:cs="Times New Roman"/>
                <w:b w:val="0"/>
                <w:kern w:val="0"/>
                <w:sz w:val="24"/>
                <w:szCs w:val="22"/>
              </w:rPr>
              <w:t>要求的标志标牌；</w:t>
            </w:r>
          </w:p>
          <w:p w14:paraId="2979AACC">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w:t>
            </w:r>
            <w:r>
              <w:rPr>
                <w:rFonts w:ascii="宋体" w:hAnsi="宋体" w:eastAsia="宋体" w:cs="Times New Roman"/>
                <w:b w:val="0"/>
                <w:kern w:val="0"/>
                <w:sz w:val="24"/>
                <w:szCs w:val="22"/>
              </w:rPr>
              <w:t>观光车辆的行驶路线中，任意连续20m路段的平均坡度不应当超过最大行驶坡度；（观光车专项）</w:t>
            </w:r>
          </w:p>
          <w:p w14:paraId="6F309CD9">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3.</w:t>
            </w:r>
            <w:r>
              <w:rPr>
                <w:rFonts w:ascii="宋体" w:hAnsi="宋体" w:eastAsia="宋体" w:cs="Times New Roman"/>
                <w:b w:val="0"/>
                <w:kern w:val="0"/>
                <w:sz w:val="24"/>
                <w:szCs w:val="22"/>
              </w:rPr>
              <w:t>观光车辆的行驶路线中不得存在爆炸性环境，路面边沿3m（弯道处为4.5m）内有悬崖、深谷、深沟或水域的路段，应当设置防护能力与车辆相匹配的路侧护栏。存在陡坡、连续下坡、急弯、窄道、交岔口等特殊情况的路段，使用单位应当评估风险，根据需要设置相应的标志、标线、避险车道、减速丘、凸面镜等安全设施，或者采取限速、分流等管理措施</w:t>
            </w:r>
            <w:r>
              <w:rPr>
                <w:rFonts w:hint="eastAsia" w:ascii="宋体" w:hAnsi="宋体" w:eastAsia="宋体" w:cs="Times New Roman"/>
                <w:b w:val="0"/>
                <w:kern w:val="0"/>
                <w:sz w:val="24"/>
                <w:szCs w:val="22"/>
              </w:rPr>
              <w:t>；</w:t>
            </w:r>
            <w:r>
              <w:rPr>
                <w:rFonts w:ascii="宋体" w:hAnsi="宋体" w:eastAsia="宋体" w:cs="Times New Roman"/>
                <w:b w:val="0"/>
                <w:kern w:val="0"/>
                <w:sz w:val="24"/>
                <w:szCs w:val="22"/>
              </w:rPr>
              <w:t>（观光车专项）</w:t>
            </w:r>
          </w:p>
          <w:p w14:paraId="23CD750F">
            <w:pPr>
              <w:widowControl/>
              <w:spacing w:line="240" w:lineRule="auto"/>
              <w:ind w:left="0" w:leftChars="0" w:firstLine="0" w:firstLineChars="0"/>
              <w:jc w:val="both"/>
              <w:rPr>
                <w:rFonts w:ascii="宋体" w:hAnsi="宋体" w:eastAsia="宋体" w:cs="仿宋"/>
                <w:b w:val="0"/>
                <w:sz w:val="28"/>
                <w:szCs w:val="28"/>
              </w:rPr>
            </w:pPr>
            <w:r>
              <w:rPr>
                <w:rFonts w:hint="eastAsia" w:ascii="宋体" w:hAnsi="宋体" w:eastAsia="宋体" w:cs="Times New Roman"/>
                <w:b w:val="0"/>
                <w:kern w:val="0"/>
                <w:sz w:val="24"/>
                <w:szCs w:val="22"/>
              </w:rPr>
              <w:t>4.安全员对使用环境及线路日常巡查，检查环境、路况和相关标志的设置和完好情况；</w:t>
            </w:r>
            <w:r>
              <w:rPr>
                <w:rFonts w:ascii="宋体" w:hAnsi="宋体" w:eastAsia="宋体" w:cs="Times New Roman"/>
                <w:b w:val="0"/>
                <w:kern w:val="0"/>
                <w:sz w:val="24"/>
                <w:szCs w:val="22"/>
              </w:rPr>
              <w:t>作业环境不符合要求的，场车不得进入该区域作业</w:t>
            </w:r>
            <w:r>
              <w:rPr>
                <w:rFonts w:hint="eastAsia" w:ascii="宋体" w:hAnsi="宋体" w:eastAsia="宋体" w:cs="Times New Roman"/>
                <w:b w:val="0"/>
                <w:kern w:val="0"/>
                <w:sz w:val="24"/>
                <w:szCs w:val="22"/>
              </w:rPr>
              <w:t>，作业区域严格控制。</w:t>
            </w:r>
          </w:p>
        </w:tc>
        <w:tc>
          <w:tcPr>
            <w:tcW w:w="1470" w:type="dxa"/>
            <w:vAlign w:val="center"/>
          </w:tcPr>
          <w:p w14:paraId="3A4A329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155" w:type="dxa"/>
            <w:vAlign w:val="center"/>
          </w:tcPr>
          <w:p w14:paraId="7612816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877" w:type="dxa"/>
            <w:vAlign w:val="center"/>
          </w:tcPr>
          <w:p w14:paraId="51B84862">
            <w:pPr>
              <w:widowControl/>
              <w:spacing w:line="240" w:lineRule="auto"/>
              <w:ind w:left="0" w:leftChars="0" w:firstLine="0" w:firstLineChars="0"/>
              <w:jc w:val="center"/>
              <w:rPr>
                <w:rFonts w:ascii="宋体" w:hAnsi="宋体" w:eastAsia="宋体" w:cs="Times New Roman"/>
                <w:b w:val="0"/>
                <w:kern w:val="0"/>
                <w:sz w:val="24"/>
                <w:szCs w:val="22"/>
              </w:rPr>
            </w:pPr>
          </w:p>
        </w:tc>
      </w:tr>
      <w:tr w14:paraId="0EF0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01" w:type="dxa"/>
            <w:vAlign w:val="center"/>
          </w:tcPr>
          <w:p w14:paraId="35EEF3AC">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17</w:t>
            </w:r>
          </w:p>
        </w:tc>
        <w:tc>
          <w:tcPr>
            <w:tcW w:w="1381" w:type="dxa"/>
            <w:vMerge w:val="continue"/>
            <w:vAlign w:val="center"/>
          </w:tcPr>
          <w:p w14:paraId="614E43EE">
            <w:pPr>
              <w:spacing w:line="240" w:lineRule="auto"/>
              <w:ind w:left="0" w:leftChars="0" w:firstLine="0" w:firstLineChars="0"/>
              <w:jc w:val="both"/>
              <w:rPr>
                <w:rFonts w:ascii="宋体" w:hAnsi="宋体" w:eastAsia="宋体" w:cs="Times New Roman"/>
                <w:b w:val="0"/>
                <w:kern w:val="0"/>
                <w:sz w:val="24"/>
                <w:szCs w:val="22"/>
              </w:rPr>
            </w:pPr>
          </w:p>
        </w:tc>
        <w:tc>
          <w:tcPr>
            <w:tcW w:w="2880" w:type="dxa"/>
            <w:vAlign w:val="center"/>
          </w:tcPr>
          <w:p w14:paraId="3C3C8497">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未按有关规定设置警示标志或说明</w:t>
            </w:r>
          </w:p>
        </w:tc>
        <w:tc>
          <w:tcPr>
            <w:tcW w:w="5610" w:type="dxa"/>
            <w:vAlign w:val="center"/>
          </w:tcPr>
          <w:p w14:paraId="6C0744FD">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1.安全员和作业人员加强对特种设备法律法规知识学习，掌握警示标志或说明设置要求；</w:t>
            </w:r>
            <w:r>
              <w:rPr>
                <w:rFonts w:ascii="宋体" w:hAnsi="宋体" w:eastAsia="宋体" w:cs="Times New Roman"/>
                <w:b w:val="0"/>
                <w:kern w:val="0"/>
                <w:sz w:val="24"/>
                <w:szCs w:val="22"/>
              </w:rPr>
              <w:t>叉车应当在醒目的位置以图形或者文字形式设置具有下列含义的安全标志：禁止站在货叉上、禁止站在货叉下、手指或者手被挤压风险提示，配备安全带的叉车还应当包括扣紧安全</w:t>
            </w:r>
            <w:r>
              <w:rPr>
                <w:rFonts w:hint="eastAsia" w:ascii="宋体" w:hAnsi="宋体" w:eastAsia="宋体" w:cs="Times New Roman"/>
                <w:b w:val="0"/>
                <w:kern w:val="0"/>
                <w:sz w:val="24"/>
                <w:szCs w:val="22"/>
              </w:rPr>
              <w:t>；</w:t>
            </w:r>
            <w:r>
              <w:rPr>
                <w:rFonts w:ascii="宋体" w:hAnsi="宋体" w:eastAsia="宋体" w:cs="Times New Roman"/>
                <w:b w:val="0"/>
                <w:kern w:val="0"/>
                <w:sz w:val="24"/>
                <w:szCs w:val="22"/>
              </w:rPr>
              <w:t>观光车辆应当在醒目的位置以图形或者文字形式设置具有下列含义的安全标志：系好安全带、灭火器、车未停稳前请勿下车</w:t>
            </w:r>
            <w:r>
              <w:rPr>
                <w:rFonts w:hint="eastAsia" w:ascii="宋体" w:hAnsi="宋体" w:eastAsia="宋体" w:cs="Times New Roman"/>
                <w:b w:val="0"/>
                <w:kern w:val="0"/>
                <w:sz w:val="24"/>
                <w:szCs w:val="22"/>
              </w:rPr>
              <w:t>；</w:t>
            </w:r>
          </w:p>
          <w:p w14:paraId="7BE6820A">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2.定期对警示标志或说明设置情况进行检查。</w:t>
            </w:r>
          </w:p>
        </w:tc>
        <w:tc>
          <w:tcPr>
            <w:tcW w:w="1470" w:type="dxa"/>
            <w:vAlign w:val="center"/>
          </w:tcPr>
          <w:p w14:paraId="195B147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155" w:type="dxa"/>
            <w:vAlign w:val="center"/>
          </w:tcPr>
          <w:p w14:paraId="44B01DF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877" w:type="dxa"/>
            <w:vAlign w:val="center"/>
          </w:tcPr>
          <w:p w14:paraId="4D063E1D">
            <w:pPr>
              <w:widowControl/>
              <w:spacing w:line="240" w:lineRule="auto"/>
              <w:ind w:left="0" w:leftChars="0" w:firstLine="0" w:firstLineChars="0"/>
              <w:jc w:val="center"/>
              <w:rPr>
                <w:rFonts w:ascii="宋体" w:hAnsi="宋体" w:eastAsia="宋体" w:cs="Times New Roman"/>
                <w:b w:val="0"/>
                <w:kern w:val="0"/>
                <w:sz w:val="24"/>
                <w:szCs w:val="22"/>
              </w:rPr>
            </w:pPr>
          </w:p>
        </w:tc>
      </w:tr>
      <w:tr w14:paraId="73C6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1" w:type="dxa"/>
            <w:vAlign w:val="center"/>
          </w:tcPr>
          <w:p w14:paraId="5B462FE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18</w:t>
            </w:r>
          </w:p>
        </w:tc>
        <w:tc>
          <w:tcPr>
            <w:tcW w:w="1381" w:type="dxa"/>
            <w:vMerge w:val="continue"/>
            <w:vAlign w:val="center"/>
          </w:tcPr>
          <w:p w14:paraId="7036376E">
            <w:pPr>
              <w:spacing w:line="240" w:lineRule="auto"/>
              <w:ind w:left="0" w:leftChars="0" w:firstLine="0" w:firstLineChars="0"/>
              <w:jc w:val="both"/>
              <w:rPr>
                <w:rFonts w:ascii="宋体" w:hAnsi="宋体" w:eastAsia="宋体" w:cs="Times New Roman"/>
                <w:b w:val="0"/>
                <w:kern w:val="0"/>
                <w:sz w:val="24"/>
                <w:szCs w:val="22"/>
              </w:rPr>
            </w:pPr>
          </w:p>
        </w:tc>
        <w:tc>
          <w:tcPr>
            <w:tcW w:w="2880" w:type="dxa"/>
            <w:vAlign w:val="center"/>
          </w:tcPr>
          <w:p w14:paraId="71067663">
            <w:pPr>
              <w:spacing w:line="240" w:lineRule="auto"/>
              <w:ind w:left="0" w:leftChars="0" w:firstLine="0" w:firstLineChars="0"/>
              <w:jc w:val="both"/>
              <w:rPr>
                <w:rFonts w:ascii="宋体" w:hAnsi="宋体" w:eastAsia="宋体" w:cs="Times New Roman"/>
                <w:b w:val="0"/>
                <w:kern w:val="0"/>
                <w:sz w:val="24"/>
                <w:szCs w:val="22"/>
              </w:rPr>
            </w:pPr>
            <w:r>
              <w:rPr>
                <w:rFonts w:ascii="宋体" w:hAnsi="宋体" w:eastAsia="宋体" w:cs="Times New Roman"/>
                <w:b w:val="0"/>
                <w:kern w:val="0"/>
                <w:sz w:val="24"/>
                <w:szCs w:val="22"/>
              </w:rPr>
              <w:t>观光车辆的行驶路线</w:t>
            </w:r>
            <w:r>
              <w:rPr>
                <w:rFonts w:hint="eastAsia" w:ascii="宋体" w:hAnsi="宋体" w:eastAsia="宋体" w:cs="Times New Roman"/>
                <w:b w:val="0"/>
                <w:kern w:val="0"/>
                <w:sz w:val="24"/>
                <w:szCs w:val="22"/>
              </w:rPr>
              <w:t>不符合要求</w:t>
            </w:r>
            <w:r>
              <w:rPr>
                <w:rFonts w:ascii="宋体" w:hAnsi="宋体" w:eastAsia="宋体" w:cs="Times New Roman"/>
                <w:b w:val="0"/>
                <w:kern w:val="0"/>
                <w:sz w:val="24"/>
                <w:szCs w:val="22"/>
              </w:rPr>
              <w:t>（观光车专项）</w:t>
            </w:r>
          </w:p>
        </w:tc>
        <w:tc>
          <w:tcPr>
            <w:tcW w:w="5610" w:type="dxa"/>
            <w:vAlign w:val="center"/>
          </w:tcPr>
          <w:p w14:paraId="4AE77DA3">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1.安全总监</w:t>
            </w:r>
            <w:r>
              <w:rPr>
                <w:rFonts w:ascii="宋体" w:hAnsi="宋体" w:eastAsia="宋体" w:cs="Times New Roman"/>
                <w:b w:val="0"/>
                <w:kern w:val="0"/>
                <w:sz w:val="24"/>
                <w:szCs w:val="22"/>
              </w:rPr>
              <w:t>应当制定车辆运营时的行驶路线图，并且按照路线图在行驶路线上设置醒目的行驶路线标志，明确行驶速度等安全要求</w:t>
            </w:r>
            <w:r>
              <w:rPr>
                <w:rFonts w:hint="eastAsia" w:ascii="宋体" w:hAnsi="宋体" w:eastAsia="宋体" w:cs="Times New Roman"/>
                <w:b w:val="0"/>
                <w:kern w:val="0"/>
                <w:sz w:val="24"/>
                <w:szCs w:val="22"/>
              </w:rPr>
              <w:t>；</w:t>
            </w:r>
          </w:p>
          <w:p w14:paraId="14E2ACED">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w:t>
            </w:r>
            <w:r>
              <w:rPr>
                <w:rFonts w:ascii="宋体" w:hAnsi="宋体" w:eastAsia="宋体" w:cs="Times New Roman"/>
                <w:b w:val="0"/>
                <w:kern w:val="0"/>
                <w:sz w:val="24"/>
                <w:szCs w:val="22"/>
              </w:rPr>
              <w:t>观光车辆的行驶路线图，应当在乘客固定的上下车位置明确标识</w:t>
            </w:r>
            <w:r>
              <w:rPr>
                <w:rFonts w:hint="eastAsia" w:ascii="宋体" w:hAnsi="宋体" w:eastAsia="宋体" w:cs="Times New Roman"/>
                <w:b w:val="0"/>
                <w:kern w:val="0"/>
                <w:sz w:val="24"/>
                <w:szCs w:val="22"/>
              </w:rPr>
              <w:t>；</w:t>
            </w:r>
          </w:p>
          <w:p w14:paraId="25A494B4">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3.安全员对使用环境及线路日常巡查，检查环境、路况和相关标志的设置和完好情况；路线</w:t>
            </w:r>
            <w:r>
              <w:rPr>
                <w:rFonts w:ascii="宋体" w:hAnsi="宋体" w:eastAsia="宋体" w:cs="Times New Roman"/>
                <w:b w:val="0"/>
                <w:kern w:val="0"/>
                <w:sz w:val="24"/>
                <w:szCs w:val="22"/>
              </w:rPr>
              <w:t>不符合要求的，</w:t>
            </w:r>
            <w:r>
              <w:rPr>
                <w:rFonts w:hint="eastAsia" w:ascii="宋体" w:hAnsi="宋体" w:eastAsia="宋体" w:cs="Times New Roman"/>
                <w:b w:val="0"/>
                <w:kern w:val="0"/>
                <w:sz w:val="24"/>
                <w:szCs w:val="22"/>
              </w:rPr>
              <w:t>车辆不得行使。</w:t>
            </w:r>
          </w:p>
        </w:tc>
        <w:tc>
          <w:tcPr>
            <w:tcW w:w="1470" w:type="dxa"/>
            <w:vAlign w:val="center"/>
          </w:tcPr>
          <w:p w14:paraId="498C2D1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155" w:type="dxa"/>
            <w:vAlign w:val="center"/>
          </w:tcPr>
          <w:p w14:paraId="1FCF75B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877" w:type="dxa"/>
            <w:vAlign w:val="center"/>
          </w:tcPr>
          <w:p w14:paraId="0436F32D">
            <w:pPr>
              <w:widowControl/>
              <w:spacing w:line="240" w:lineRule="auto"/>
              <w:ind w:left="0" w:leftChars="0" w:firstLine="0" w:firstLineChars="0"/>
              <w:jc w:val="center"/>
              <w:rPr>
                <w:rFonts w:ascii="宋体" w:hAnsi="宋体" w:eastAsia="宋体" w:cs="Times New Roman"/>
                <w:b w:val="0"/>
                <w:kern w:val="0"/>
                <w:sz w:val="24"/>
                <w:szCs w:val="22"/>
              </w:rPr>
            </w:pPr>
          </w:p>
        </w:tc>
      </w:tr>
      <w:tr w14:paraId="4077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801" w:type="dxa"/>
            <w:vAlign w:val="center"/>
          </w:tcPr>
          <w:p w14:paraId="741F2902">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19</w:t>
            </w:r>
          </w:p>
        </w:tc>
        <w:tc>
          <w:tcPr>
            <w:tcW w:w="1381" w:type="dxa"/>
            <w:vMerge w:val="continue"/>
            <w:vAlign w:val="center"/>
          </w:tcPr>
          <w:p w14:paraId="01E9917A">
            <w:pPr>
              <w:widowControl/>
              <w:spacing w:line="240" w:lineRule="auto"/>
              <w:ind w:left="0" w:leftChars="0" w:firstLine="0" w:firstLineChars="0"/>
              <w:jc w:val="both"/>
              <w:rPr>
                <w:rFonts w:ascii="宋体" w:hAnsi="宋体" w:eastAsia="宋体" w:cs="Times New Roman"/>
                <w:b w:val="0"/>
                <w:kern w:val="0"/>
                <w:sz w:val="24"/>
                <w:szCs w:val="22"/>
              </w:rPr>
            </w:pPr>
          </w:p>
        </w:tc>
        <w:tc>
          <w:tcPr>
            <w:tcW w:w="2880" w:type="dxa"/>
            <w:vAlign w:val="center"/>
          </w:tcPr>
          <w:p w14:paraId="779E2CE5">
            <w:pPr>
              <w:widowControl/>
              <w:spacing w:line="240" w:lineRule="auto"/>
              <w:ind w:left="0" w:leftChars="0" w:firstLine="0" w:firstLineChars="0"/>
              <w:jc w:val="both"/>
              <w:rPr>
                <w:rFonts w:ascii="宋体" w:hAnsi="宋体" w:eastAsia="宋体" w:cs="宋体"/>
                <w:b w:val="0"/>
                <w:kern w:val="0"/>
                <w:sz w:val="24"/>
                <w:szCs w:val="22"/>
              </w:rPr>
            </w:pPr>
            <w:r>
              <w:rPr>
                <w:rFonts w:hint="eastAsia" w:ascii="宋体" w:hAnsi="宋体" w:eastAsia="宋体" w:cs="Times New Roman"/>
                <w:b w:val="0"/>
                <w:kern w:val="0"/>
                <w:sz w:val="24"/>
                <w:szCs w:val="22"/>
              </w:rPr>
              <w:t>在易燃易爆等危险区域作业，装载运输易燃易爆、剧毒等危险品或熔融金属、炙热金属等特殊物品</w:t>
            </w:r>
            <w:r>
              <w:rPr>
                <w:rFonts w:ascii="宋体" w:hAnsi="宋体" w:eastAsia="宋体" w:cs="Times New Roman"/>
                <w:b w:val="0"/>
                <w:kern w:val="0"/>
                <w:sz w:val="24"/>
                <w:szCs w:val="22"/>
              </w:rPr>
              <w:t>（叉车专项）</w:t>
            </w:r>
          </w:p>
        </w:tc>
        <w:tc>
          <w:tcPr>
            <w:tcW w:w="5610" w:type="dxa"/>
            <w:vAlign w:val="center"/>
          </w:tcPr>
          <w:p w14:paraId="4A86FA43">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1.按照防爆等级在符合区域划分图内运行；严禁防爆区域使用防爆等级不符的车辆；</w:t>
            </w:r>
          </w:p>
          <w:p w14:paraId="3840DD40">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2.车辆配备灭火器，车体两侧、车后部喷涂“严禁烟火”或“注意危险”等警示字样；</w:t>
            </w:r>
          </w:p>
          <w:p w14:paraId="00DA450E">
            <w:pPr>
              <w:widowControl/>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3.定期检查相关设施，灭火器等是否在有效期内</w:t>
            </w:r>
          </w:p>
        </w:tc>
        <w:tc>
          <w:tcPr>
            <w:tcW w:w="1470" w:type="dxa"/>
            <w:vAlign w:val="center"/>
          </w:tcPr>
          <w:p w14:paraId="0AAAA51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155" w:type="dxa"/>
            <w:vAlign w:val="center"/>
          </w:tcPr>
          <w:p w14:paraId="27ADE57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877" w:type="dxa"/>
            <w:vAlign w:val="center"/>
          </w:tcPr>
          <w:p w14:paraId="771AE61B">
            <w:pPr>
              <w:widowControl/>
              <w:spacing w:line="240" w:lineRule="auto"/>
              <w:ind w:left="0" w:leftChars="0" w:firstLine="0" w:firstLineChars="0"/>
              <w:jc w:val="center"/>
              <w:rPr>
                <w:rFonts w:ascii="宋体" w:hAnsi="宋体" w:eastAsia="宋体" w:cs="Times New Roman"/>
                <w:b w:val="0"/>
                <w:kern w:val="0"/>
                <w:sz w:val="24"/>
                <w:szCs w:val="22"/>
              </w:rPr>
            </w:pPr>
          </w:p>
        </w:tc>
      </w:tr>
      <w:tr w14:paraId="1B9A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vAlign w:val="center"/>
          </w:tcPr>
          <w:p w14:paraId="190488FC">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20</w:t>
            </w:r>
          </w:p>
        </w:tc>
        <w:tc>
          <w:tcPr>
            <w:tcW w:w="1381" w:type="dxa"/>
            <w:vAlign w:val="center"/>
          </w:tcPr>
          <w:p w14:paraId="623CA89E">
            <w:pPr>
              <w:spacing w:line="240" w:lineRule="auto"/>
              <w:ind w:left="0" w:leftChars="0" w:firstLine="0" w:firstLineChars="0"/>
              <w:jc w:val="both"/>
              <w:rPr>
                <w:rFonts w:ascii="宋体" w:hAnsi="宋体" w:eastAsia="宋体" w:cs="Times New Roman"/>
                <w:b w:val="0"/>
                <w:kern w:val="0"/>
                <w:sz w:val="24"/>
                <w:szCs w:val="22"/>
              </w:rPr>
            </w:pPr>
            <w:r>
              <w:rPr>
                <w:rFonts w:hint="eastAsia" w:ascii="宋体" w:hAnsi="宋体" w:eastAsia="宋体" w:cs="Times New Roman"/>
                <w:b w:val="0"/>
                <w:kern w:val="0"/>
                <w:sz w:val="24"/>
                <w:szCs w:val="22"/>
              </w:rPr>
              <w:t>政府监督、通报、预警</w:t>
            </w:r>
          </w:p>
        </w:tc>
        <w:tc>
          <w:tcPr>
            <w:tcW w:w="2880" w:type="dxa"/>
            <w:vAlign w:val="center"/>
          </w:tcPr>
          <w:p w14:paraId="3345E3A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610" w:type="dxa"/>
            <w:vAlign w:val="center"/>
          </w:tcPr>
          <w:p w14:paraId="77C1BC58">
            <w:pPr>
              <w:spacing w:line="300" w:lineRule="exact"/>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w:t>
            </w:r>
          </w:p>
        </w:tc>
        <w:tc>
          <w:tcPr>
            <w:tcW w:w="1470" w:type="dxa"/>
            <w:vAlign w:val="center"/>
          </w:tcPr>
          <w:p w14:paraId="6487E6E1">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周排查</w:t>
            </w:r>
          </w:p>
        </w:tc>
        <w:tc>
          <w:tcPr>
            <w:tcW w:w="1155" w:type="dxa"/>
            <w:vAlign w:val="center"/>
          </w:tcPr>
          <w:p w14:paraId="444B28D3">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安全总监</w:t>
            </w:r>
          </w:p>
        </w:tc>
        <w:tc>
          <w:tcPr>
            <w:tcW w:w="877" w:type="dxa"/>
            <w:vAlign w:val="center"/>
          </w:tcPr>
          <w:p w14:paraId="12FADE3B">
            <w:pPr>
              <w:widowControl/>
              <w:spacing w:line="240" w:lineRule="auto"/>
              <w:ind w:left="0" w:leftChars="0" w:firstLine="0" w:firstLineChars="0"/>
              <w:jc w:val="center"/>
              <w:rPr>
                <w:rFonts w:ascii="宋体" w:hAnsi="宋体" w:eastAsia="宋体" w:cs="Times New Roman"/>
                <w:b w:val="0"/>
                <w:kern w:val="0"/>
                <w:sz w:val="24"/>
                <w:szCs w:val="22"/>
              </w:rPr>
            </w:pPr>
          </w:p>
        </w:tc>
      </w:tr>
      <w:tr w14:paraId="589F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01" w:type="dxa"/>
            <w:vAlign w:val="center"/>
          </w:tcPr>
          <w:p w14:paraId="48BC2C19">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21</w:t>
            </w:r>
          </w:p>
        </w:tc>
        <w:tc>
          <w:tcPr>
            <w:tcW w:w="1381" w:type="dxa"/>
            <w:vAlign w:val="center"/>
          </w:tcPr>
          <w:p w14:paraId="47093AD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投诉举报</w:t>
            </w:r>
          </w:p>
        </w:tc>
        <w:tc>
          <w:tcPr>
            <w:tcW w:w="2880" w:type="dxa"/>
            <w:vAlign w:val="center"/>
          </w:tcPr>
          <w:p w14:paraId="489EEB9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610" w:type="dxa"/>
            <w:vAlign w:val="center"/>
          </w:tcPr>
          <w:p w14:paraId="0B484D1C">
            <w:pPr>
              <w:spacing w:line="300" w:lineRule="exact"/>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记录，整改，消除安全隐患</w:t>
            </w:r>
          </w:p>
        </w:tc>
        <w:tc>
          <w:tcPr>
            <w:tcW w:w="1470" w:type="dxa"/>
            <w:vAlign w:val="center"/>
          </w:tcPr>
          <w:p w14:paraId="16226F1E">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日管控</w:t>
            </w:r>
          </w:p>
        </w:tc>
        <w:tc>
          <w:tcPr>
            <w:tcW w:w="1155" w:type="dxa"/>
            <w:vAlign w:val="center"/>
          </w:tcPr>
          <w:p w14:paraId="5554AFD2">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安全员</w:t>
            </w:r>
          </w:p>
        </w:tc>
        <w:tc>
          <w:tcPr>
            <w:tcW w:w="877" w:type="dxa"/>
            <w:vAlign w:val="center"/>
          </w:tcPr>
          <w:p w14:paraId="49B7EB4C">
            <w:pPr>
              <w:widowControl/>
              <w:spacing w:line="240" w:lineRule="auto"/>
              <w:ind w:left="0" w:leftChars="0" w:firstLine="0" w:firstLineChars="0"/>
              <w:jc w:val="center"/>
              <w:rPr>
                <w:rFonts w:ascii="宋体" w:hAnsi="宋体" w:eastAsia="宋体" w:cs="Times New Roman"/>
                <w:b w:val="0"/>
                <w:kern w:val="0"/>
                <w:sz w:val="24"/>
                <w:szCs w:val="22"/>
              </w:rPr>
            </w:pPr>
          </w:p>
        </w:tc>
      </w:tr>
      <w:tr w14:paraId="4361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01" w:type="dxa"/>
            <w:vAlign w:val="center"/>
          </w:tcPr>
          <w:p w14:paraId="7AA8FF35">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22</w:t>
            </w:r>
          </w:p>
        </w:tc>
        <w:tc>
          <w:tcPr>
            <w:tcW w:w="1381" w:type="dxa"/>
            <w:vAlign w:val="center"/>
          </w:tcPr>
          <w:p w14:paraId="1AF0B61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舆情信息</w:t>
            </w:r>
          </w:p>
        </w:tc>
        <w:tc>
          <w:tcPr>
            <w:tcW w:w="2880" w:type="dxa"/>
            <w:vAlign w:val="center"/>
          </w:tcPr>
          <w:p w14:paraId="328CA5B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610" w:type="dxa"/>
            <w:vAlign w:val="center"/>
          </w:tcPr>
          <w:p w14:paraId="76CC7D02">
            <w:pPr>
              <w:spacing w:line="300" w:lineRule="exact"/>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w:t>
            </w:r>
          </w:p>
        </w:tc>
        <w:tc>
          <w:tcPr>
            <w:tcW w:w="1470" w:type="dxa"/>
            <w:vAlign w:val="center"/>
          </w:tcPr>
          <w:p w14:paraId="718A9A7C">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日管控</w:t>
            </w:r>
          </w:p>
        </w:tc>
        <w:tc>
          <w:tcPr>
            <w:tcW w:w="1155" w:type="dxa"/>
            <w:vAlign w:val="center"/>
          </w:tcPr>
          <w:p w14:paraId="7808DA17">
            <w:pPr>
              <w:spacing w:line="320" w:lineRule="exact"/>
              <w:ind w:left="0" w:leftChars="0" w:firstLine="0" w:firstLineChars="0"/>
              <w:jc w:val="center"/>
              <w:rPr>
                <w:rFonts w:ascii="宋体" w:hAnsi="宋体" w:eastAsia="宋体" w:cs="Times New Roman"/>
                <w:b w:val="0"/>
                <w:spacing w:val="6"/>
                <w:sz w:val="24"/>
                <w:szCs w:val="24"/>
              </w:rPr>
            </w:pPr>
            <w:r>
              <w:rPr>
                <w:rFonts w:hint="eastAsia" w:ascii="宋体" w:hAnsi="宋体" w:eastAsia="宋体" w:cs="Times New Roman"/>
                <w:b w:val="0"/>
                <w:spacing w:val="6"/>
                <w:sz w:val="24"/>
                <w:szCs w:val="24"/>
              </w:rPr>
              <w:t>安全员</w:t>
            </w:r>
          </w:p>
        </w:tc>
        <w:tc>
          <w:tcPr>
            <w:tcW w:w="877" w:type="dxa"/>
            <w:vAlign w:val="center"/>
          </w:tcPr>
          <w:p w14:paraId="7185CD18">
            <w:pPr>
              <w:widowControl/>
              <w:spacing w:line="240" w:lineRule="auto"/>
              <w:ind w:left="0" w:leftChars="0" w:firstLine="0" w:firstLineChars="0"/>
              <w:jc w:val="center"/>
              <w:rPr>
                <w:rFonts w:ascii="宋体" w:hAnsi="宋体" w:eastAsia="宋体" w:cs="Times New Roman"/>
                <w:b w:val="0"/>
                <w:kern w:val="0"/>
                <w:sz w:val="24"/>
                <w:szCs w:val="22"/>
              </w:rPr>
            </w:pPr>
          </w:p>
        </w:tc>
      </w:tr>
    </w:tbl>
    <w:p w14:paraId="36A7F87F">
      <w:pPr>
        <w:widowControl/>
        <w:spacing w:line="240" w:lineRule="auto"/>
        <w:ind w:left="0" w:leftChars="0" w:firstLine="0" w:firstLineChars="0"/>
        <w:jc w:val="left"/>
        <w:rPr>
          <w:rFonts w:ascii="宋体" w:hAnsi="宋体" w:eastAsia="宋体" w:cs="宋体"/>
          <w:b/>
          <w:kern w:val="2"/>
          <w:sz w:val="24"/>
          <w:szCs w:val="32"/>
          <w:lang w:val="zh-CN" w:eastAsia="zh-CN" w:bidi="zh-CN"/>
        </w:rPr>
      </w:pPr>
      <w:r>
        <w:rPr>
          <w:rFonts w:ascii="宋体" w:hAnsi="宋体" w:eastAsia="宋体" w:cs="宋体"/>
          <w:b/>
          <w:kern w:val="2"/>
          <w:sz w:val="24"/>
          <w:szCs w:val="32"/>
          <w:lang w:val="zh-CN" w:eastAsia="zh-CN" w:bidi="zh-CN"/>
        </w:rPr>
        <w:t>备注</w:t>
      </w:r>
      <w:r>
        <w:rPr>
          <w:rFonts w:hint="eastAsia" w:ascii="宋体" w:hAnsi="宋体" w:eastAsia="宋体" w:cs="宋体"/>
          <w:b/>
          <w:kern w:val="2"/>
          <w:sz w:val="24"/>
          <w:szCs w:val="32"/>
          <w:lang w:val="zh-CN" w:eastAsia="zh-CN" w:bidi="zh-CN"/>
        </w:rPr>
        <w:t>：</w:t>
      </w:r>
      <w:r>
        <w:rPr>
          <w:rFonts w:ascii="宋体" w:hAnsi="宋体" w:eastAsia="宋体" w:cs="宋体"/>
          <w:b/>
          <w:kern w:val="2"/>
          <w:sz w:val="24"/>
          <w:szCs w:val="32"/>
          <w:lang w:val="zh-CN" w:eastAsia="zh-CN" w:bidi="zh-CN"/>
        </w:rPr>
        <w:t>本清单为推荐性格式，仅规定了应当进行日管控、周排查、月调度的基本项目，</w:t>
      </w:r>
      <w:r>
        <w:rPr>
          <w:rFonts w:hint="eastAsia" w:ascii="宋体" w:hAnsi="宋体" w:eastAsia="宋体" w:cs="宋体"/>
          <w:b/>
          <w:kern w:val="2"/>
          <w:sz w:val="24"/>
          <w:szCs w:val="32"/>
          <w:lang w:val="zh-CN" w:eastAsia="zh-CN" w:bidi="zh-CN"/>
        </w:rPr>
        <w:t>场车使用</w:t>
      </w:r>
      <w:r>
        <w:rPr>
          <w:rFonts w:ascii="宋体" w:hAnsi="宋体" w:eastAsia="宋体" w:cs="宋体"/>
          <w:b/>
          <w:kern w:val="2"/>
          <w:sz w:val="24"/>
          <w:szCs w:val="32"/>
          <w:lang w:val="zh-CN" w:eastAsia="zh-CN" w:bidi="zh-CN"/>
        </w:rPr>
        <w:t>单位应当结合本单位实际情况和具体要求，细化风险管控清单</w:t>
      </w:r>
      <w:r>
        <w:rPr>
          <w:rFonts w:hint="eastAsia" w:ascii="宋体" w:hAnsi="宋体" w:eastAsia="宋体" w:cs="宋体"/>
          <w:b/>
          <w:kern w:val="2"/>
          <w:sz w:val="24"/>
          <w:szCs w:val="32"/>
          <w:lang w:val="zh-CN" w:eastAsia="zh-CN" w:bidi="zh-CN"/>
        </w:rPr>
        <w:t>，</w:t>
      </w:r>
      <w:r>
        <w:rPr>
          <w:rFonts w:ascii="宋体" w:hAnsi="宋体" w:eastAsia="宋体" w:cs="宋体"/>
          <w:b/>
          <w:kern w:val="2"/>
          <w:sz w:val="24"/>
          <w:szCs w:val="32"/>
          <w:lang w:val="zh-CN" w:eastAsia="zh-CN" w:bidi="zh-CN"/>
        </w:rPr>
        <w:t>合理调整管控形式。</w:t>
      </w:r>
    </w:p>
    <w:p w14:paraId="1D5E0BBD">
      <w:pPr>
        <w:rPr>
          <w:rFonts w:ascii="宋体" w:hAnsi="宋体" w:eastAsia="宋体" w:cs="宋体"/>
          <w:b/>
          <w:kern w:val="2"/>
          <w:sz w:val="24"/>
          <w:szCs w:val="32"/>
          <w:lang w:val="zh-CN" w:eastAsia="zh-CN" w:bidi="zh-CN"/>
        </w:rPr>
      </w:pPr>
      <w:r>
        <w:rPr>
          <w:rFonts w:ascii="宋体" w:hAnsi="宋体" w:eastAsia="宋体" w:cs="宋体"/>
          <w:b/>
          <w:kern w:val="2"/>
          <w:sz w:val="24"/>
          <w:szCs w:val="32"/>
          <w:lang w:val="zh-CN" w:eastAsia="zh-CN" w:bidi="zh-CN"/>
        </w:rPr>
        <w:br w:type="page"/>
      </w:r>
    </w:p>
    <w:p w14:paraId="01E833CA">
      <w:pPr>
        <w:widowControl/>
        <w:spacing w:line="240" w:lineRule="auto"/>
        <w:ind w:left="0" w:leftChars="0" w:firstLine="0" w:firstLineChars="0"/>
        <w:jc w:val="center"/>
        <w:rPr>
          <w:rFonts w:ascii="Calibri" w:hAnsi="Calibri" w:eastAsia="宋体" w:cs="Times New Roman"/>
          <w:b/>
          <w:sz w:val="36"/>
          <w:szCs w:val="36"/>
        </w:rPr>
      </w:pPr>
      <w:r>
        <w:rPr>
          <w:rFonts w:hint="eastAsia" w:ascii="Calibri" w:hAnsi="Calibri" w:eastAsia="宋体" w:cs="Times New Roman"/>
          <w:b/>
          <w:sz w:val="36"/>
          <w:szCs w:val="36"/>
        </w:rPr>
        <w:t>大型游乐设施安全风险管控清单</w:t>
      </w:r>
      <w:r>
        <w:rPr>
          <w:rFonts w:hint="eastAsia" w:ascii="Calibri" w:hAnsi="Calibri" w:eastAsia="宋体" w:cs="Times New Roman"/>
          <w:b/>
          <w:sz w:val="36"/>
          <w:szCs w:val="36"/>
          <w:lang w:eastAsia="zh-CN"/>
        </w:rPr>
        <w:t>（供参考）</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8"/>
        <w:gridCol w:w="1404"/>
        <w:gridCol w:w="2673"/>
        <w:gridCol w:w="5100"/>
        <w:gridCol w:w="1437"/>
        <w:gridCol w:w="1372"/>
        <w:gridCol w:w="999"/>
      </w:tblGrid>
      <w:tr w14:paraId="3E236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838" w:type="dxa"/>
            <w:shd w:val="clear" w:color="auto" w:fill="BEBEBE"/>
            <w:vAlign w:val="center"/>
          </w:tcPr>
          <w:p w14:paraId="2569071E">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序号</w:t>
            </w:r>
          </w:p>
        </w:tc>
        <w:tc>
          <w:tcPr>
            <w:tcW w:w="1404" w:type="dxa"/>
            <w:shd w:val="clear" w:color="auto" w:fill="BEBEBE"/>
            <w:vAlign w:val="center"/>
          </w:tcPr>
          <w:p w14:paraId="56515635">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风险类别</w:t>
            </w:r>
          </w:p>
        </w:tc>
        <w:tc>
          <w:tcPr>
            <w:tcW w:w="2673" w:type="dxa"/>
            <w:shd w:val="clear" w:color="auto" w:fill="BEBEBE"/>
            <w:vAlign w:val="center"/>
          </w:tcPr>
          <w:p w14:paraId="73644969">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风险指标</w:t>
            </w:r>
          </w:p>
        </w:tc>
        <w:tc>
          <w:tcPr>
            <w:tcW w:w="5100" w:type="dxa"/>
            <w:shd w:val="clear" w:color="auto" w:fill="BEBEBE"/>
            <w:vAlign w:val="center"/>
          </w:tcPr>
          <w:p w14:paraId="57D35787">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风险管控</w:t>
            </w:r>
            <w:r>
              <w:rPr>
                <w:rFonts w:ascii="宋体" w:hAnsi="宋体" w:eastAsia="宋体" w:cs="Times New Roman"/>
                <w:b/>
                <w:sz w:val="28"/>
                <w:szCs w:val="28"/>
              </w:rPr>
              <w:t>措施</w:t>
            </w:r>
          </w:p>
        </w:tc>
        <w:tc>
          <w:tcPr>
            <w:tcW w:w="1437" w:type="dxa"/>
            <w:shd w:val="clear" w:color="auto" w:fill="BEBEBE"/>
            <w:vAlign w:val="center"/>
          </w:tcPr>
          <w:p w14:paraId="6A3710E2">
            <w:pPr>
              <w:spacing w:line="240" w:lineRule="auto"/>
              <w:ind w:left="0" w:leftChars="0" w:firstLine="0" w:firstLineChars="0"/>
              <w:jc w:val="center"/>
              <w:rPr>
                <w:rFonts w:ascii="宋体" w:hAnsi="宋体" w:eastAsia="宋体" w:cs="Times New Roman"/>
                <w:b/>
                <w:sz w:val="24"/>
                <w:szCs w:val="24"/>
              </w:rPr>
            </w:pPr>
            <w:r>
              <w:rPr>
                <w:rFonts w:hint="eastAsia" w:ascii="宋体" w:hAnsi="宋体" w:eastAsia="宋体" w:cs="Times New Roman"/>
                <w:b/>
                <w:sz w:val="24"/>
                <w:szCs w:val="24"/>
              </w:rPr>
              <w:t>管控形式</w:t>
            </w:r>
          </w:p>
        </w:tc>
        <w:tc>
          <w:tcPr>
            <w:tcW w:w="1372" w:type="dxa"/>
            <w:shd w:val="clear" w:color="auto" w:fill="BEBEBE"/>
            <w:vAlign w:val="center"/>
          </w:tcPr>
          <w:p w14:paraId="6EE3EAAE">
            <w:pPr>
              <w:spacing w:line="240" w:lineRule="auto"/>
              <w:ind w:left="0" w:leftChars="0" w:firstLine="0" w:firstLineChars="0"/>
              <w:jc w:val="center"/>
              <w:rPr>
                <w:rFonts w:ascii="宋体" w:hAnsi="宋体" w:eastAsia="宋体" w:cs="Times New Roman"/>
                <w:b/>
                <w:sz w:val="24"/>
                <w:szCs w:val="24"/>
              </w:rPr>
            </w:pPr>
            <w:r>
              <w:rPr>
                <w:rFonts w:hint="eastAsia" w:ascii="宋体" w:hAnsi="宋体" w:eastAsia="宋体" w:cs="Times New Roman"/>
                <w:b/>
                <w:sz w:val="24"/>
                <w:szCs w:val="24"/>
              </w:rPr>
              <w:t>责任人</w:t>
            </w:r>
          </w:p>
        </w:tc>
        <w:tc>
          <w:tcPr>
            <w:tcW w:w="999" w:type="dxa"/>
            <w:shd w:val="clear" w:color="auto" w:fill="BEBEBE"/>
          </w:tcPr>
          <w:p w14:paraId="37D16725">
            <w:pPr>
              <w:spacing w:line="240" w:lineRule="auto"/>
              <w:ind w:left="0" w:leftChars="0" w:firstLine="0" w:firstLineChars="0"/>
              <w:jc w:val="center"/>
              <w:rPr>
                <w:rFonts w:ascii="宋体" w:hAnsi="宋体" w:eastAsia="宋体" w:cs="Times New Roman"/>
                <w:b/>
                <w:sz w:val="28"/>
                <w:szCs w:val="28"/>
              </w:rPr>
            </w:pPr>
            <w:r>
              <w:rPr>
                <w:rFonts w:hint="eastAsia" w:ascii="宋体" w:hAnsi="宋体" w:eastAsia="宋体" w:cs="Times New Roman"/>
                <w:b/>
                <w:sz w:val="28"/>
                <w:szCs w:val="28"/>
              </w:rPr>
              <w:t>备注</w:t>
            </w:r>
          </w:p>
        </w:tc>
      </w:tr>
      <w:tr w14:paraId="47E5D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838" w:type="dxa"/>
            <w:vAlign w:val="center"/>
          </w:tcPr>
          <w:p w14:paraId="1D857FF8">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w:t>
            </w:r>
          </w:p>
        </w:tc>
        <w:tc>
          <w:tcPr>
            <w:tcW w:w="1404" w:type="dxa"/>
            <w:vMerge w:val="restart"/>
            <w:vAlign w:val="center"/>
          </w:tcPr>
          <w:p w14:paraId="48D2446C">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人员</w:t>
            </w:r>
          </w:p>
        </w:tc>
        <w:tc>
          <w:tcPr>
            <w:tcW w:w="2673" w:type="dxa"/>
            <w:vAlign w:val="center"/>
          </w:tcPr>
          <w:p w14:paraId="7DAD646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未按规定配备安全管理人员和作业人员</w:t>
            </w:r>
          </w:p>
        </w:tc>
        <w:tc>
          <w:tcPr>
            <w:tcW w:w="5100" w:type="dxa"/>
            <w:vAlign w:val="center"/>
          </w:tcPr>
          <w:p w14:paraId="5B62B603">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1.建立特种设备安全管理人员与作业人员管理制度；</w:t>
            </w:r>
          </w:p>
          <w:p w14:paraId="39331686">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2.按规定配备相关人员。</w:t>
            </w:r>
          </w:p>
        </w:tc>
        <w:tc>
          <w:tcPr>
            <w:tcW w:w="1437" w:type="dxa"/>
            <w:vAlign w:val="center"/>
          </w:tcPr>
          <w:p w14:paraId="4BD896A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372" w:type="dxa"/>
            <w:vAlign w:val="center"/>
          </w:tcPr>
          <w:p w14:paraId="7EFFEDE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999" w:type="dxa"/>
          </w:tcPr>
          <w:p w14:paraId="5E28C746">
            <w:pPr>
              <w:spacing w:line="240" w:lineRule="auto"/>
              <w:ind w:left="0" w:leftChars="0" w:firstLine="0" w:firstLineChars="0"/>
              <w:jc w:val="both"/>
              <w:rPr>
                <w:rFonts w:ascii="宋体" w:hAnsi="宋体" w:eastAsia="宋体" w:cs="Times New Roman"/>
                <w:b w:val="0"/>
                <w:sz w:val="21"/>
                <w:szCs w:val="21"/>
              </w:rPr>
            </w:pPr>
          </w:p>
        </w:tc>
      </w:tr>
      <w:tr w14:paraId="0ED2B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38" w:type="dxa"/>
            <w:vAlign w:val="center"/>
          </w:tcPr>
          <w:p w14:paraId="7CCF141A">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2</w:t>
            </w:r>
          </w:p>
        </w:tc>
        <w:tc>
          <w:tcPr>
            <w:tcW w:w="1404" w:type="dxa"/>
            <w:vMerge w:val="continue"/>
            <w:vAlign w:val="center"/>
          </w:tcPr>
          <w:p w14:paraId="094A3133">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0ADC8A3B">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作业人员未持有相应资格证件</w:t>
            </w:r>
          </w:p>
        </w:tc>
        <w:tc>
          <w:tcPr>
            <w:tcW w:w="5100" w:type="dxa"/>
            <w:vAlign w:val="center"/>
          </w:tcPr>
          <w:p w14:paraId="60C9D1B5">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配备具有相应职责资质的作业人员，加强资格证的换证管理</w:t>
            </w:r>
          </w:p>
        </w:tc>
        <w:tc>
          <w:tcPr>
            <w:tcW w:w="1437" w:type="dxa"/>
            <w:vAlign w:val="center"/>
          </w:tcPr>
          <w:p w14:paraId="31D4985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372" w:type="dxa"/>
            <w:vAlign w:val="center"/>
          </w:tcPr>
          <w:p w14:paraId="390EB8D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999" w:type="dxa"/>
          </w:tcPr>
          <w:p w14:paraId="6AC7882D">
            <w:pPr>
              <w:spacing w:line="240" w:lineRule="auto"/>
              <w:ind w:left="0" w:leftChars="0" w:firstLine="0" w:firstLineChars="0"/>
              <w:jc w:val="both"/>
              <w:rPr>
                <w:rFonts w:ascii="宋体" w:hAnsi="宋体" w:eastAsia="宋体" w:cs="Times New Roman"/>
                <w:b w:val="0"/>
                <w:sz w:val="21"/>
                <w:szCs w:val="21"/>
              </w:rPr>
            </w:pPr>
          </w:p>
        </w:tc>
      </w:tr>
      <w:tr w14:paraId="08B72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838" w:type="dxa"/>
            <w:vAlign w:val="center"/>
          </w:tcPr>
          <w:p w14:paraId="4E488146">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3</w:t>
            </w:r>
          </w:p>
        </w:tc>
        <w:tc>
          <w:tcPr>
            <w:tcW w:w="1404" w:type="dxa"/>
            <w:vMerge w:val="continue"/>
            <w:vAlign w:val="center"/>
          </w:tcPr>
          <w:p w14:paraId="6209F2D2">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4FC7602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未按规定对安全管理人员和作业人员开展安全教育培训</w:t>
            </w:r>
          </w:p>
        </w:tc>
        <w:tc>
          <w:tcPr>
            <w:tcW w:w="5100" w:type="dxa"/>
            <w:vAlign w:val="center"/>
          </w:tcPr>
          <w:p w14:paraId="6AD61FB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按规定开展安全培训教育</w:t>
            </w:r>
          </w:p>
        </w:tc>
        <w:tc>
          <w:tcPr>
            <w:tcW w:w="1437" w:type="dxa"/>
            <w:vAlign w:val="center"/>
          </w:tcPr>
          <w:p w14:paraId="2BC20B6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372" w:type="dxa"/>
            <w:vAlign w:val="center"/>
          </w:tcPr>
          <w:p w14:paraId="0736992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999" w:type="dxa"/>
          </w:tcPr>
          <w:p w14:paraId="17B54785">
            <w:pPr>
              <w:spacing w:line="240" w:lineRule="auto"/>
              <w:ind w:left="0" w:leftChars="0" w:firstLine="0" w:firstLineChars="0"/>
              <w:jc w:val="both"/>
              <w:rPr>
                <w:rFonts w:ascii="宋体" w:hAnsi="宋体" w:eastAsia="宋体" w:cs="Times New Roman"/>
                <w:b w:val="0"/>
                <w:sz w:val="21"/>
                <w:szCs w:val="21"/>
              </w:rPr>
            </w:pPr>
          </w:p>
        </w:tc>
      </w:tr>
      <w:tr w14:paraId="7074E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838" w:type="dxa"/>
            <w:vAlign w:val="center"/>
          </w:tcPr>
          <w:p w14:paraId="5F488D43">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4</w:t>
            </w:r>
          </w:p>
        </w:tc>
        <w:tc>
          <w:tcPr>
            <w:tcW w:w="1404" w:type="dxa"/>
            <w:vMerge w:val="continue"/>
            <w:vAlign w:val="center"/>
          </w:tcPr>
          <w:p w14:paraId="0EA14FE7">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142A535B">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作业内容与证书项目不相符</w:t>
            </w:r>
          </w:p>
        </w:tc>
        <w:tc>
          <w:tcPr>
            <w:tcW w:w="5100" w:type="dxa"/>
            <w:vAlign w:val="center"/>
          </w:tcPr>
          <w:p w14:paraId="3621FFDA">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建立岗位责任制度</w:t>
            </w:r>
          </w:p>
        </w:tc>
        <w:tc>
          <w:tcPr>
            <w:tcW w:w="1437" w:type="dxa"/>
            <w:vAlign w:val="center"/>
          </w:tcPr>
          <w:p w14:paraId="3644FA3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372" w:type="dxa"/>
            <w:vAlign w:val="center"/>
          </w:tcPr>
          <w:p w14:paraId="47574FA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999" w:type="dxa"/>
          </w:tcPr>
          <w:p w14:paraId="3A029C46">
            <w:pPr>
              <w:spacing w:line="240" w:lineRule="auto"/>
              <w:ind w:left="0" w:leftChars="0" w:firstLine="0" w:firstLineChars="0"/>
              <w:jc w:val="both"/>
              <w:rPr>
                <w:rFonts w:ascii="宋体" w:hAnsi="宋体" w:eastAsia="宋体" w:cs="Times New Roman"/>
                <w:b w:val="0"/>
                <w:sz w:val="21"/>
                <w:szCs w:val="21"/>
              </w:rPr>
            </w:pPr>
          </w:p>
        </w:tc>
      </w:tr>
      <w:tr w14:paraId="2F82F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838" w:type="dxa"/>
            <w:vAlign w:val="center"/>
          </w:tcPr>
          <w:p w14:paraId="5A7F779A">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5</w:t>
            </w:r>
          </w:p>
        </w:tc>
        <w:tc>
          <w:tcPr>
            <w:tcW w:w="1404" w:type="dxa"/>
            <w:vMerge w:val="restart"/>
            <w:vAlign w:val="center"/>
          </w:tcPr>
          <w:p w14:paraId="77C21DD0">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kern w:val="0"/>
                <w:sz w:val="24"/>
                <w:szCs w:val="22"/>
              </w:rPr>
              <w:t>管理</w:t>
            </w:r>
          </w:p>
        </w:tc>
        <w:tc>
          <w:tcPr>
            <w:tcW w:w="2673" w:type="dxa"/>
            <w:vAlign w:val="center"/>
          </w:tcPr>
          <w:p w14:paraId="6EFFC9B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未按规定设置安全管理机构</w:t>
            </w:r>
          </w:p>
        </w:tc>
        <w:tc>
          <w:tcPr>
            <w:tcW w:w="5100" w:type="dxa"/>
            <w:vAlign w:val="center"/>
          </w:tcPr>
          <w:p w14:paraId="761E3852">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根据使用的特种设备种类和数量，设置专门的安全管理机构。</w:t>
            </w:r>
          </w:p>
        </w:tc>
        <w:tc>
          <w:tcPr>
            <w:tcW w:w="1437" w:type="dxa"/>
            <w:vAlign w:val="center"/>
          </w:tcPr>
          <w:p w14:paraId="4799863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372" w:type="dxa"/>
            <w:vAlign w:val="center"/>
          </w:tcPr>
          <w:p w14:paraId="2D9E4D5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999" w:type="dxa"/>
          </w:tcPr>
          <w:p w14:paraId="1F140D77">
            <w:pPr>
              <w:spacing w:line="240" w:lineRule="auto"/>
              <w:ind w:left="0" w:leftChars="0" w:firstLine="0" w:firstLineChars="0"/>
              <w:jc w:val="both"/>
              <w:rPr>
                <w:rFonts w:ascii="宋体" w:hAnsi="宋体" w:eastAsia="宋体" w:cs="Times New Roman"/>
                <w:b w:val="0"/>
                <w:sz w:val="21"/>
                <w:szCs w:val="21"/>
              </w:rPr>
            </w:pPr>
          </w:p>
        </w:tc>
      </w:tr>
      <w:tr w14:paraId="49248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838" w:type="dxa"/>
            <w:vAlign w:val="center"/>
          </w:tcPr>
          <w:p w14:paraId="42FC3DD7">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6</w:t>
            </w:r>
          </w:p>
        </w:tc>
        <w:tc>
          <w:tcPr>
            <w:tcW w:w="1404" w:type="dxa"/>
            <w:vMerge w:val="continue"/>
            <w:vAlign w:val="center"/>
          </w:tcPr>
          <w:p w14:paraId="0DB9F681">
            <w:pPr>
              <w:spacing w:line="240" w:lineRule="auto"/>
              <w:ind w:left="0" w:leftChars="0" w:firstLine="0" w:firstLineChars="0"/>
              <w:jc w:val="center"/>
              <w:rPr>
                <w:rFonts w:ascii="宋体" w:hAnsi="宋体" w:eastAsia="宋体" w:cs="Times New Roman"/>
                <w:b w:val="0"/>
                <w:kern w:val="0"/>
                <w:sz w:val="24"/>
                <w:szCs w:val="22"/>
              </w:rPr>
            </w:pPr>
          </w:p>
        </w:tc>
        <w:tc>
          <w:tcPr>
            <w:tcW w:w="2673" w:type="dxa"/>
            <w:vAlign w:val="center"/>
          </w:tcPr>
          <w:p w14:paraId="4EEC53F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未按有关规定制定操作规程或者未按规定执行操作规程</w:t>
            </w:r>
          </w:p>
        </w:tc>
        <w:tc>
          <w:tcPr>
            <w:tcW w:w="5100" w:type="dxa"/>
            <w:vAlign w:val="center"/>
          </w:tcPr>
          <w:p w14:paraId="2184C3E2">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制定大型游乐设施安全管理机构和相关人员岗位职责；</w:t>
            </w:r>
          </w:p>
          <w:p w14:paraId="76DDD8D9">
            <w:pPr>
              <w:spacing w:line="240" w:lineRule="auto"/>
              <w:ind w:left="0" w:leftChars="0" w:firstLine="0" w:firstLineChars="0"/>
              <w:jc w:val="both"/>
              <w:rPr>
                <w:rFonts w:hint="eastAsia" w:ascii="宋体" w:hAnsi="宋体" w:eastAsia="宋体" w:cs="Times New Roman"/>
                <w:b w:val="0"/>
                <w:sz w:val="24"/>
                <w:szCs w:val="22"/>
              </w:rPr>
            </w:pPr>
            <w:r>
              <w:rPr>
                <w:rFonts w:hint="eastAsia" w:ascii="宋体" w:hAnsi="宋体" w:eastAsia="宋体" w:cs="Times New Roman"/>
                <w:b w:val="0"/>
                <w:sz w:val="24"/>
                <w:szCs w:val="22"/>
              </w:rPr>
              <w:t>制定《大型游乐设施安全总监职责》《大型游乐设施安全员守则》《大型游乐设施安全日管控、周排查、月调度管理制度》。</w:t>
            </w:r>
          </w:p>
        </w:tc>
        <w:tc>
          <w:tcPr>
            <w:tcW w:w="1437" w:type="dxa"/>
            <w:vAlign w:val="center"/>
          </w:tcPr>
          <w:p w14:paraId="473E255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372" w:type="dxa"/>
            <w:vAlign w:val="center"/>
          </w:tcPr>
          <w:p w14:paraId="639DC10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999" w:type="dxa"/>
          </w:tcPr>
          <w:p w14:paraId="399B2080">
            <w:pPr>
              <w:spacing w:line="240" w:lineRule="auto"/>
              <w:ind w:left="0" w:leftChars="0" w:firstLine="0" w:firstLineChars="0"/>
              <w:jc w:val="both"/>
              <w:rPr>
                <w:rFonts w:ascii="宋体" w:hAnsi="宋体" w:eastAsia="宋体" w:cs="Times New Roman"/>
                <w:b w:val="0"/>
                <w:sz w:val="21"/>
                <w:szCs w:val="21"/>
              </w:rPr>
            </w:pPr>
          </w:p>
        </w:tc>
      </w:tr>
      <w:tr w14:paraId="56F5A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838" w:type="dxa"/>
            <w:vAlign w:val="center"/>
          </w:tcPr>
          <w:p w14:paraId="60D5FC5F">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7</w:t>
            </w:r>
          </w:p>
        </w:tc>
        <w:tc>
          <w:tcPr>
            <w:tcW w:w="1404" w:type="dxa"/>
            <w:vMerge w:val="continue"/>
            <w:vAlign w:val="center"/>
          </w:tcPr>
          <w:p w14:paraId="048C83D0">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090C4FE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未建立安全技术档案</w:t>
            </w:r>
          </w:p>
        </w:tc>
        <w:tc>
          <w:tcPr>
            <w:tcW w:w="5100" w:type="dxa"/>
            <w:vAlign w:val="center"/>
          </w:tcPr>
          <w:p w14:paraId="3D33310A">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1.建立大型游乐设施安全技术档案管理制度，明确档案内容及管理要求；</w:t>
            </w:r>
          </w:p>
          <w:p w14:paraId="4B5A264D">
            <w:pPr>
              <w:spacing w:line="240" w:lineRule="auto"/>
              <w:ind w:left="0" w:leftChars="0" w:firstLine="0" w:firstLineChars="0"/>
              <w:jc w:val="both"/>
              <w:rPr>
                <w:rFonts w:hint="eastAsia" w:ascii="宋体" w:hAnsi="宋体" w:eastAsia="宋体" w:cs="Times New Roman"/>
                <w:b w:val="0"/>
                <w:sz w:val="24"/>
                <w:szCs w:val="22"/>
                <w:lang w:val="en-US" w:eastAsia="zh-CN"/>
              </w:rPr>
            </w:pPr>
            <w:r>
              <w:rPr>
                <w:rFonts w:hint="eastAsia" w:ascii="宋体" w:hAnsi="宋体" w:eastAsia="宋体" w:cs="Times New Roman"/>
                <w:b w:val="0"/>
                <w:sz w:val="24"/>
                <w:szCs w:val="22"/>
                <w:lang w:val="en-US" w:eastAsia="zh-CN"/>
              </w:rPr>
              <w:t xml:space="preserve">2.按规定逐台建立安全技术档案并及时更新安全技术档案。 </w:t>
            </w:r>
          </w:p>
        </w:tc>
        <w:tc>
          <w:tcPr>
            <w:tcW w:w="1437" w:type="dxa"/>
            <w:vAlign w:val="center"/>
          </w:tcPr>
          <w:p w14:paraId="2C94A92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372" w:type="dxa"/>
            <w:vAlign w:val="center"/>
          </w:tcPr>
          <w:p w14:paraId="72E2E333">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999" w:type="dxa"/>
          </w:tcPr>
          <w:p w14:paraId="7ED2D311">
            <w:pPr>
              <w:spacing w:line="240" w:lineRule="auto"/>
              <w:ind w:left="0" w:leftChars="0" w:firstLine="0" w:firstLineChars="0"/>
              <w:jc w:val="both"/>
              <w:rPr>
                <w:rFonts w:ascii="宋体" w:hAnsi="宋体" w:eastAsia="宋体" w:cs="Times New Roman"/>
                <w:b w:val="0"/>
                <w:sz w:val="21"/>
                <w:szCs w:val="21"/>
              </w:rPr>
            </w:pPr>
          </w:p>
        </w:tc>
      </w:tr>
      <w:tr w14:paraId="43E83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838" w:type="dxa"/>
            <w:vAlign w:val="center"/>
          </w:tcPr>
          <w:p w14:paraId="0AC526AD">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8</w:t>
            </w:r>
          </w:p>
        </w:tc>
        <w:tc>
          <w:tcPr>
            <w:tcW w:w="1404" w:type="dxa"/>
            <w:vMerge w:val="continue"/>
            <w:vAlign w:val="center"/>
          </w:tcPr>
          <w:p w14:paraId="494B3838">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62BDA40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未按规定办理使用登记、变更登记及停用、报废等手续</w:t>
            </w:r>
          </w:p>
        </w:tc>
        <w:tc>
          <w:tcPr>
            <w:tcW w:w="5100" w:type="dxa"/>
            <w:vAlign w:val="center"/>
          </w:tcPr>
          <w:p w14:paraId="7565A30E">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1.建立使用管理制度和规程，明确相关内容及安全管理要求；</w:t>
            </w:r>
          </w:p>
          <w:p w14:paraId="3001917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2. 按规定办理使用登记、变更登记及停用、报废手续。</w:t>
            </w:r>
          </w:p>
        </w:tc>
        <w:tc>
          <w:tcPr>
            <w:tcW w:w="1437" w:type="dxa"/>
            <w:vAlign w:val="center"/>
          </w:tcPr>
          <w:p w14:paraId="4F2DF35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372" w:type="dxa"/>
            <w:vAlign w:val="center"/>
          </w:tcPr>
          <w:p w14:paraId="2D171BDF">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999" w:type="dxa"/>
          </w:tcPr>
          <w:p w14:paraId="294AC96F">
            <w:pPr>
              <w:spacing w:line="240" w:lineRule="auto"/>
              <w:ind w:left="0" w:leftChars="0" w:firstLine="0" w:firstLineChars="0"/>
              <w:jc w:val="both"/>
              <w:rPr>
                <w:rFonts w:ascii="宋体" w:hAnsi="宋体" w:eastAsia="宋体" w:cs="Times New Roman"/>
                <w:b w:val="0"/>
                <w:sz w:val="21"/>
                <w:szCs w:val="21"/>
              </w:rPr>
            </w:pPr>
          </w:p>
        </w:tc>
      </w:tr>
      <w:tr w14:paraId="5FCDF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838" w:type="dxa"/>
            <w:vAlign w:val="center"/>
          </w:tcPr>
          <w:p w14:paraId="10B23ECC">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9</w:t>
            </w:r>
          </w:p>
        </w:tc>
        <w:tc>
          <w:tcPr>
            <w:tcW w:w="1404" w:type="dxa"/>
            <w:vMerge w:val="continue"/>
            <w:vAlign w:val="center"/>
          </w:tcPr>
          <w:p w14:paraId="377529BA">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433FDE3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未按规定制定大型游乐设施事故应急专项预案并定期演练</w:t>
            </w:r>
          </w:p>
        </w:tc>
        <w:tc>
          <w:tcPr>
            <w:tcW w:w="5100" w:type="dxa"/>
            <w:vAlign w:val="center"/>
          </w:tcPr>
          <w:p w14:paraId="0D469302">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制定大型游乐设施事故应急专项预案并每年至少开展1次演练</w:t>
            </w:r>
          </w:p>
        </w:tc>
        <w:tc>
          <w:tcPr>
            <w:tcW w:w="1437" w:type="dxa"/>
            <w:vAlign w:val="center"/>
          </w:tcPr>
          <w:p w14:paraId="5585A4E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372" w:type="dxa"/>
            <w:vAlign w:val="center"/>
          </w:tcPr>
          <w:p w14:paraId="2C6C58E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999" w:type="dxa"/>
          </w:tcPr>
          <w:p w14:paraId="2ADF1C20">
            <w:pPr>
              <w:spacing w:line="240" w:lineRule="auto"/>
              <w:ind w:left="0" w:leftChars="0" w:firstLine="0" w:firstLineChars="0"/>
              <w:jc w:val="both"/>
              <w:rPr>
                <w:rFonts w:ascii="宋体" w:hAnsi="宋体" w:eastAsia="宋体" w:cs="Times New Roman"/>
                <w:b w:val="0"/>
                <w:sz w:val="21"/>
                <w:szCs w:val="21"/>
              </w:rPr>
            </w:pPr>
          </w:p>
        </w:tc>
      </w:tr>
      <w:tr w14:paraId="6E90F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838" w:type="dxa"/>
            <w:vAlign w:val="center"/>
          </w:tcPr>
          <w:p w14:paraId="33572258">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10</w:t>
            </w:r>
          </w:p>
        </w:tc>
        <w:tc>
          <w:tcPr>
            <w:tcW w:w="1404" w:type="dxa"/>
            <w:vMerge w:val="restart"/>
            <w:vAlign w:val="center"/>
          </w:tcPr>
          <w:p w14:paraId="1B67697C">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设备</w:t>
            </w:r>
          </w:p>
        </w:tc>
        <w:tc>
          <w:tcPr>
            <w:tcW w:w="2673" w:type="dxa"/>
            <w:vAlign w:val="center"/>
          </w:tcPr>
          <w:p w14:paraId="0A7C1D7A">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未按要求使用符合要求的大型游乐设施或使用国家明令禁止的大型游乐设施</w:t>
            </w:r>
          </w:p>
        </w:tc>
        <w:tc>
          <w:tcPr>
            <w:tcW w:w="5100" w:type="dxa"/>
            <w:vAlign w:val="center"/>
          </w:tcPr>
          <w:p w14:paraId="600427D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建立采购管理制度，明确采购、验收要求</w:t>
            </w:r>
          </w:p>
        </w:tc>
        <w:tc>
          <w:tcPr>
            <w:tcW w:w="1437" w:type="dxa"/>
            <w:vAlign w:val="center"/>
          </w:tcPr>
          <w:p w14:paraId="25D50F4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372" w:type="dxa"/>
            <w:vAlign w:val="center"/>
          </w:tcPr>
          <w:p w14:paraId="029EF9C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999" w:type="dxa"/>
          </w:tcPr>
          <w:p w14:paraId="5EB154B4">
            <w:pPr>
              <w:spacing w:line="240" w:lineRule="auto"/>
              <w:ind w:left="0" w:leftChars="0" w:firstLine="0" w:firstLineChars="0"/>
              <w:jc w:val="both"/>
              <w:rPr>
                <w:rFonts w:ascii="宋体" w:hAnsi="宋体" w:eastAsia="宋体" w:cs="Times New Roman"/>
                <w:b w:val="0"/>
                <w:sz w:val="21"/>
                <w:szCs w:val="21"/>
              </w:rPr>
            </w:pPr>
          </w:p>
        </w:tc>
      </w:tr>
      <w:tr w14:paraId="0AAF6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jc w:val="center"/>
        </w:trPr>
        <w:tc>
          <w:tcPr>
            <w:tcW w:w="838" w:type="dxa"/>
            <w:vAlign w:val="center"/>
          </w:tcPr>
          <w:p w14:paraId="331453FA">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11</w:t>
            </w:r>
          </w:p>
        </w:tc>
        <w:tc>
          <w:tcPr>
            <w:tcW w:w="1404" w:type="dxa"/>
            <w:vMerge w:val="continue"/>
            <w:vAlign w:val="center"/>
          </w:tcPr>
          <w:p w14:paraId="14881E8E">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62D9D3E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未按规定进行维护保养和自行检查</w:t>
            </w:r>
          </w:p>
        </w:tc>
        <w:tc>
          <w:tcPr>
            <w:tcW w:w="5100" w:type="dxa"/>
            <w:vAlign w:val="center"/>
          </w:tcPr>
          <w:p w14:paraId="5866138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按规定制定维护保养制度和定期自行检查制度，组织开展维护保养和定期自行检查并做好相应记录</w:t>
            </w:r>
          </w:p>
        </w:tc>
        <w:tc>
          <w:tcPr>
            <w:tcW w:w="1437" w:type="dxa"/>
            <w:vAlign w:val="center"/>
          </w:tcPr>
          <w:p w14:paraId="5686201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372" w:type="dxa"/>
            <w:vAlign w:val="center"/>
          </w:tcPr>
          <w:p w14:paraId="1B383896">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999" w:type="dxa"/>
          </w:tcPr>
          <w:p w14:paraId="14B1C4DF">
            <w:pPr>
              <w:spacing w:line="240" w:lineRule="auto"/>
              <w:ind w:left="0" w:leftChars="0" w:firstLine="0" w:firstLineChars="0"/>
              <w:jc w:val="both"/>
              <w:rPr>
                <w:rFonts w:ascii="宋体" w:hAnsi="宋体" w:eastAsia="宋体" w:cs="Times New Roman"/>
                <w:b w:val="0"/>
                <w:sz w:val="21"/>
                <w:szCs w:val="21"/>
              </w:rPr>
            </w:pPr>
          </w:p>
        </w:tc>
      </w:tr>
      <w:tr w14:paraId="560FA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jc w:val="center"/>
        </w:trPr>
        <w:tc>
          <w:tcPr>
            <w:tcW w:w="838" w:type="dxa"/>
            <w:vAlign w:val="center"/>
          </w:tcPr>
          <w:p w14:paraId="56B317A0">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12</w:t>
            </w:r>
          </w:p>
        </w:tc>
        <w:tc>
          <w:tcPr>
            <w:tcW w:w="1404" w:type="dxa"/>
            <w:vMerge w:val="continue"/>
            <w:vAlign w:val="center"/>
          </w:tcPr>
          <w:p w14:paraId="58B267C2">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1D6A96B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 xml:space="preserve">未按规定进行定期检验、监督检验 </w:t>
            </w:r>
          </w:p>
        </w:tc>
        <w:tc>
          <w:tcPr>
            <w:tcW w:w="5100" w:type="dxa"/>
            <w:vAlign w:val="center"/>
          </w:tcPr>
          <w:p w14:paraId="7E1D54CA">
            <w:pPr>
              <w:numPr>
                <w:ilvl w:val="255"/>
                <w:numId w:val="0"/>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制定定期检验、自行检测计划并组织实施，落实定期检验、自行检测的后续整改工作</w:t>
            </w:r>
          </w:p>
        </w:tc>
        <w:tc>
          <w:tcPr>
            <w:tcW w:w="1437" w:type="dxa"/>
            <w:vAlign w:val="center"/>
          </w:tcPr>
          <w:p w14:paraId="46924AE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372" w:type="dxa"/>
            <w:vAlign w:val="center"/>
          </w:tcPr>
          <w:p w14:paraId="58173AC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999" w:type="dxa"/>
          </w:tcPr>
          <w:p w14:paraId="769165A4">
            <w:pPr>
              <w:spacing w:line="240" w:lineRule="auto"/>
              <w:ind w:left="0" w:leftChars="0" w:firstLine="0" w:firstLineChars="0"/>
              <w:jc w:val="both"/>
              <w:rPr>
                <w:rFonts w:ascii="宋体" w:hAnsi="宋体" w:eastAsia="宋体" w:cs="Times New Roman"/>
                <w:b w:val="0"/>
                <w:sz w:val="21"/>
                <w:szCs w:val="21"/>
              </w:rPr>
            </w:pPr>
          </w:p>
        </w:tc>
      </w:tr>
      <w:tr w14:paraId="2ED33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838" w:type="dxa"/>
            <w:vAlign w:val="center"/>
          </w:tcPr>
          <w:p w14:paraId="5579FD7A">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13</w:t>
            </w:r>
          </w:p>
        </w:tc>
        <w:tc>
          <w:tcPr>
            <w:tcW w:w="1404" w:type="dxa"/>
            <w:vMerge w:val="restart"/>
            <w:vAlign w:val="center"/>
          </w:tcPr>
          <w:p w14:paraId="5067CA25">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安全附件和</w:t>
            </w:r>
          </w:p>
          <w:p w14:paraId="4B0FE7A9">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安全保护装置</w:t>
            </w:r>
          </w:p>
        </w:tc>
        <w:tc>
          <w:tcPr>
            <w:tcW w:w="2673" w:type="dxa"/>
            <w:vAlign w:val="center"/>
          </w:tcPr>
          <w:p w14:paraId="7B6C7552">
            <w:pPr>
              <w:widowControl/>
              <w:spacing w:line="240" w:lineRule="auto"/>
              <w:ind w:left="0" w:leftChars="0" w:firstLine="0" w:firstLineChars="0"/>
              <w:jc w:val="left"/>
              <w:textAlignment w:val="center"/>
              <w:rPr>
                <w:rFonts w:ascii="宋体" w:hAnsi="宋体" w:eastAsia="宋体" w:cs="宋体"/>
                <w:b w:val="0"/>
                <w:kern w:val="0"/>
                <w:sz w:val="24"/>
                <w:szCs w:val="24"/>
              </w:rPr>
            </w:pPr>
            <w:r>
              <w:rPr>
                <w:rFonts w:hint="eastAsia" w:ascii="宋体" w:hAnsi="宋体" w:eastAsia="宋体" w:cs="宋体"/>
                <w:b w:val="0"/>
                <w:kern w:val="0"/>
                <w:sz w:val="24"/>
                <w:szCs w:val="24"/>
              </w:rPr>
              <w:t>安全带、安全压杆等安全束缚装置失效</w:t>
            </w:r>
          </w:p>
        </w:tc>
        <w:tc>
          <w:tcPr>
            <w:tcW w:w="5100" w:type="dxa"/>
            <w:vAlign w:val="center"/>
          </w:tcPr>
          <w:p w14:paraId="294A820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w:t>
            </w:r>
            <w:r>
              <w:rPr>
                <w:rFonts w:hint="eastAsia" w:ascii="宋体" w:hAnsi="宋体" w:eastAsia="宋体" w:cs="宋体"/>
                <w:b w:val="0"/>
                <w:kern w:val="0"/>
                <w:sz w:val="24"/>
                <w:szCs w:val="24"/>
              </w:rPr>
              <w:t>安全束缚装置</w:t>
            </w:r>
            <w:r>
              <w:rPr>
                <w:rFonts w:hint="eastAsia" w:ascii="宋体" w:hAnsi="宋体" w:eastAsia="宋体" w:cs="Times New Roman"/>
                <w:b w:val="0"/>
                <w:sz w:val="24"/>
                <w:szCs w:val="22"/>
              </w:rPr>
              <w:t>情况</w:t>
            </w:r>
          </w:p>
        </w:tc>
        <w:tc>
          <w:tcPr>
            <w:tcW w:w="1437" w:type="dxa"/>
            <w:vAlign w:val="center"/>
          </w:tcPr>
          <w:p w14:paraId="7EC5DB65">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372" w:type="dxa"/>
            <w:vAlign w:val="center"/>
          </w:tcPr>
          <w:p w14:paraId="49C117C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999" w:type="dxa"/>
          </w:tcPr>
          <w:p w14:paraId="3652804B">
            <w:pPr>
              <w:spacing w:line="240" w:lineRule="auto"/>
              <w:ind w:left="0" w:leftChars="0" w:firstLine="0" w:firstLineChars="0"/>
              <w:jc w:val="both"/>
              <w:rPr>
                <w:rFonts w:ascii="宋体" w:hAnsi="宋体" w:eastAsia="宋体" w:cs="Times New Roman"/>
                <w:b w:val="0"/>
                <w:sz w:val="21"/>
                <w:szCs w:val="21"/>
              </w:rPr>
            </w:pPr>
          </w:p>
        </w:tc>
      </w:tr>
      <w:tr w14:paraId="44260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838" w:type="dxa"/>
            <w:vAlign w:val="center"/>
          </w:tcPr>
          <w:p w14:paraId="7E45A1C8">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14</w:t>
            </w:r>
          </w:p>
        </w:tc>
        <w:tc>
          <w:tcPr>
            <w:tcW w:w="1404" w:type="dxa"/>
            <w:vMerge w:val="continue"/>
            <w:vAlign w:val="center"/>
          </w:tcPr>
          <w:p w14:paraId="64F1CFF8">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6AB063CC">
            <w:pPr>
              <w:widowControl/>
              <w:spacing w:line="240" w:lineRule="auto"/>
              <w:ind w:left="0" w:leftChars="0" w:firstLine="0" w:firstLineChars="0"/>
              <w:jc w:val="left"/>
              <w:textAlignment w:val="center"/>
              <w:rPr>
                <w:rFonts w:ascii="宋体" w:hAnsi="宋体" w:eastAsia="宋体" w:cs="Times New Roman"/>
                <w:b w:val="0"/>
                <w:sz w:val="24"/>
                <w:szCs w:val="22"/>
              </w:rPr>
            </w:pPr>
            <w:r>
              <w:rPr>
                <w:rFonts w:hint="eastAsia" w:ascii="宋体" w:hAnsi="宋体" w:eastAsia="宋体" w:cs="宋体"/>
                <w:b w:val="0"/>
                <w:kern w:val="0"/>
                <w:sz w:val="24"/>
                <w:szCs w:val="24"/>
              </w:rPr>
              <w:t>事故状态下座舱紧急降落装置故障或疏导乘客、救生措配备不足</w:t>
            </w:r>
          </w:p>
        </w:tc>
        <w:tc>
          <w:tcPr>
            <w:tcW w:w="5100" w:type="dxa"/>
            <w:vAlign w:val="center"/>
          </w:tcPr>
          <w:p w14:paraId="270771D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每日检查紧急降落装置等安全装置情况</w:t>
            </w:r>
          </w:p>
          <w:p w14:paraId="035B7E89">
            <w:pPr>
              <w:spacing w:line="240" w:lineRule="auto"/>
              <w:ind w:left="0" w:leftChars="0" w:firstLine="0" w:firstLineChars="0"/>
              <w:jc w:val="both"/>
              <w:rPr>
                <w:rFonts w:ascii="宋体" w:hAnsi="宋体" w:eastAsia="宋体" w:cs="Times New Roman"/>
                <w:b w:val="0"/>
                <w:sz w:val="24"/>
                <w:szCs w:val="22"/>
              </w:rPr>
            </w:pPr>
          </w:p>
        </w:tc>
        <w:tc>
          <w:tcPr>
            <w:tcW w:w="1437" w:type="dxa"/>
            <w:vAlign w:val="center"/>
          </w:tcPr>
          <w:p w14:paraId="20CC934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372" w:type="dxa"/>
            <w:vAlign w:val="center"/>
          </w:tcPr>
          <w:p w14:paraId="3DEA684A">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999" w:type="dxa"/>
          </w:tcPr>
          <w:p w14:paraId="30ACC315">
            <w:pPr>
              <w:spacing w:line="240" w:lineRule="auto"/>
              <w:ind w:left="0" w:leftChars="0" w:firstLine="0" w:firstLineChars="0"/>
              <w:jc w:val="both"/>
              <w:rPr>
                <w:rFonts w:ascii="宋体" w:hAnsi="宋体" w:eastAsia="宋体" w:cs="Times New Roman"/>
                <w:b w:val="0"/>
                <w:sz w:val="21"/>
                <w:szCs w:val="21"/>
              </w:rPr>
            </w:pPr>
          </w:p>
        </w:tc>
      </w:tr>
      <w:tr w14:paraId="24C15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838" w:type="dxa"/>
            <w:vAlign w:val="center"/>
          </w:tcPr>
          <w:p w14:paraId="7AA38CF8">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15</w:t>
            </w:r>
          </w:p>
        </w:tc>
        <w:tc>
          <w:tcPr>
            <w:tcW w:w="1404" w:type="dxa"/>
            <w:vMerge w:val="continue"/>
            <w:vAlign w:val="center"/>
          </w:tcPr>
          <w:p w14:paraId="1F227994">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0DAF5551">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宋体"/>
                <w:b w:val="0"/>
                <w:kern w:val="0"/>
                <w:sz w:val="24"/>
                <w:szCs w:val="24"/>
              </w:rPr>
              <w:t>风速计故障及缺损，避雷装置缺损或接地电阻不符合规定</w:t>
            </w:r>
          </w:p>
        </w:tc>
        <w:tc>
          <w:tcPr>
            <w:tcW w:w="5100" w:type="dxa"/>
            <w:vAlign w:val="center"/>
          </w:tcPr>
          <w:p w14:paraId="18FE70F7">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每日检查风速仪、避雷装置等安全装置情况</w:t>
            </w:r>
          </w:p>
        </w:tc>
        <w:tc>
          <w:tcPr>
            <w:tcW w:w="1437" w:type="dxa"/>
            <w:vAlign w:val="center"/>
          </w:tcPr>
          <w:p w14:paraId="636DE75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372" w:type="dxa"/>
            <w:vAlign w:val="center"/>
          </w:tcPr>
          <w:p w14:paraId="2EA0307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999" w:type="dxa"/>
          </w:tcPr>
          <w:p w14:paraId="3853AFE7">
            <w:pPr>
              <w:spacing w:line="240" w:lineRule="auto"/>
              <w:ind w:left="0" w:leftChars="0" w:firstLine="0" w:firstLineChars="0"/>
              <w:jc w:val="both"/>
              <w:rPr>
                <w:rFonts w:ascii="宋体" w:hAnsi="宋体" w:eastAsia="宋体" w:cs="Times New Roman"/>
                <w:b w:val="0"/>
                <w:sz w:val="24"/>
                <w:szCs w:val="22"/>
              </w:rPr>
            </w:pPr>
          </w:p>
        </w:tc>
      </w:tr>
      <w:tr w14:paraId="5B9A8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838" w:type="dxa"/>
            <w:vAlign w:val="center"/>
          </w:tcPr>
          <w:p w14:paraId="35BFEBED">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宋体"/>
                <w:b w:val="0"/>
                <w:sz w:val="24"/>
                <w:szCs w:val="22"/>
              </w:rPr>
              <w:t>16</w:t>
            </w:r>
          </w:p>
        </w:tc>
        <w:tc>
          <w:tcPr>
            <w:tcW w:w="1404" w:type="dxa"/>
            <w:vMerge w:val="continue"/>
            <w:vAlign w:val="center"/>
          </w:tcPr>
          <w:p w14:paraId="285CB7C6">
            <w:pPr>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002BF4D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宋体"/>
                <w:b w:val="0"/>
                <w:kern w:val="0"/>
                <w:sz w:val="24"/>
                <w:szCs w:val="24"/>
              </w:rPr>
              <w:t>安全标识缺损</w:t>
            </w:r>
          </w:p>
        </w:tc>
        <w:tc>
          <w:tcPr>
            <w:tcW w:w="5100" w:type="dxa"/>
            <w:vAlign w:val="center"/>
          </w:tcPr>
          <w:p w14:paraId="326D2B4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每日检查安全标示情况</w:t>
            </w:r>
          </w:p>
        </w:tc>
        <w:tc>
          <w:tcPr>
            <w:tcW w:w="1437" w:type="dxa"/>
            <w:vAlign w:val="center"/>
          </w:tcPr>
          <w:p w14:paraId="39D5D3F8">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372" w:type="dxa"/>
            <w:vAlign w:val="center"/>
          </w:tcPr>
          <w:p w14:paraId="54782F3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999" w:type="dxa"/>
          </w:tcPr>
          <w:p w14:paraId="5A7B6719">
            <w:pPr>
              <w:spacing w:line="240" w:lineRule="auto"/>
              <w:ind w:left="0" w:leftChars="0" w:firstLine="0" w:firstLineChars="0"/>
              <w:jc w:val="both"/>
              <w:rPr>
                <w:rFonts w:ascii="宋体" w:hAnsi="宋体" w:eastAsia="宋体" w:cs="Times New Roman"/>
                <w:b w:val="0"/>
                <w:sz w:val="24"/>
                <w:szCs w:val="22"/>
              </w:rPr>
            </w:pPr>
          </w:p>
        </w:tc>
      </w:tr>
      <w:tr w14:paraId="6AABB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838" w:type="dxa"/>
            <w:vAlign w:val="center"/>
          </w:tcPr>
          <w:p w14:paraId="22BB0AE6">
            <w:pPr>
              <w:spacing w:line="240" w:lineRule="exact"/>
              <w:ind w:left="0" w:leftChars="0" w:firstLine="0" w:firstLineChars="0"/>
              <w:jc w:val="center"/>
              <w:rPr>
                <w:rFonts w:ascii="宋体" w:hAnsi="宋体" w:eastAsia="宋体" w:cs="宋体"/>
                <w:b w:val="0"/>
                <w:sz w:val="24"/>
                <w:szCs w:val="22"/>
              </w:rPr>
            </w:pPr>
            <w:r>
              <w:rPr>
                <w:rFonts w:hint="eastAsia" w:ascii="宋体" w:hAnsi="宋体" w:eastAsia="宋体" w:cs="Times New Roman"/>
                <w:b w:val="0"/>
                <w:kern w:val="0"/>
                <w:sz w:val="24"/>
                <w:szCs w:val="22"/>
              </w:rPr>
              <w:t>17</w:t>
            </w:r>
          </w:p>
        </w:tc>
        <w:tc>
          <w:tcPr>
            <w:tcW w:w="1404" w:type="dxa"/>
            <w:vMerge w:val="restart"/>
            <w:vAlign w:val="center"/>
          </w:tcPr>
          <w:p w14:paraId="5696D36D">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环境因素</w:t>
            </w:r>
          </w:p>
        </w:tc>
        <w:tc>
          <w:tcPr>
            <w:tcW w:w="2673" w:type="dxa"/>
            <w:vAlign w:val="center"/>
          </w:tcPr>
          <w:p w14:paraId="0E043A98">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大型游乐设施使用场所为易发生滑坡、泥石流等自然灾害的区域；</w:t>
            </w:r>
          </w:p>
        </w:tc>
        <w:tc>
          <w:tcPr>
            <w:tcW w:w="5100" w:type="dxa"/>
            <w:vAlign w:val="center"/>
          </w:tcPr>
          <w:p w14:paraId="5F247B7A">
            <w:pPr>
              <w:numPr>
                <w:ilvl w:val="0"/>
                <w:numId w:val="34"/>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检查大型游乐设施的场地是否在易发生自然灾害的场所；</w:t>
            </w:r>
          </w:p>
          <w:p w14:paraId="25B06AD0">
            <w:pPr>
              <w:numPr>
                <w:ilvl w:val="0"/>
                <w:numId w:val="34"/>
              </w:num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关注气象预报，及时采取防范措施。</w:t>
            </w:r>
          </w:p>
        </w:tc>
        <w:tc>
          <w:tcPr>
            <w:tcW w:w="1437" w:type="dxa"/>
            <w:vAlign w:val="center"/>
          </w:tcPr>
          <w:p w14:paraId="5FF59F6E">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周排查</w:t>
            </w:r>
          </w:p>
        </w:tc>
        <w:tc>
          <w:tcPr>
            <w:tcW w:w="1372" w:type="dxa"/>
            <w:vAlign w:val="center"/>
          </w:tcPr>
          <w:p w14:paraId="0110F14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安全总监</w:t>
            </w:r>
          </w:p>
        </w:tc>
        <w:tc>
          <w:tcPr>
            <w:tcW w:w="999" w:type="dxa"/>
          </w:tcPr>
          <w:p w14:paraId="3F464025">
            <w:pPr>
              <w:spacing w:line="240" w:lineRule="auto"/>
              <w:ind w:left="0" w:leftChars="0" w:firstLine="0" w:firstLineChars="0"/>
              <w:jc w:val="both"/>
              <w:rPr>
                <w:rFonts w:ascii="宋体" w:hAnsi="宋体" w:eastAsia="宋体" w:cs="Times New Roman"/>
                <w:b w:val="0"/>
                <w:sz w:val="21"/>
                <w:szCs w:val="21"/>
              </w:rPr>
            </w:pPr>
          </w:p>
        </w:tc>
      </w:tr>
      <w:tr w14:paraId="4E8E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38" w:type="dxa"/>
            <w:vAlign w:val="center"/>
          </w:tcPr>
          <w:p w14:paraId="2FF52771">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18</w:t>
            </w:r>
          </w:p>
        </w:tc>
        <w:tc>
          <w:tcPr>
            <w:tcW w:w="1404" w:type="dxa"/>
            <w:vMerge w:val="continue"/>
            <w:vAlign w:val="center"/>
          </w:tcPr>
          <w:p w14:paraId="3D057778">
            <w:pPr>
              <w:widowControl/>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4364A24A">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大型游乐设施未按有关规定设置警示标志或说明</w:t>
            </w:r>
          </w:p>
        </w:tc>
        <w:tc>
          <w:tcPr>
            <w:tcW w:w="5100" w:type="dxa"/>
            <w:vAlign w:val="center"/>
          </w:tcPr>
          <w:p w14:paraId="1033949F">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每日检查安全警示标志的张贴情况</w:t>
            </w:r>
          </w:p>
        </w:tc>
        <w:tc>
          <w:tcPr>
            <w:tcW w:w="1437" w:type="dxa"/>
            <w:vAlign w:val="center"/>
          </w:tcPr>
          <w:p w14:paraId="638CA559">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372" w:type="dxa"/>
            <w:vAlign w:val="center"/>
          </w:tcPr>
          <w:p w14:paraId="47083FB0">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999" w:type="dxa"/>
          </w:tcPr>
          <w:p w14:paraId="62611C58">
            <w:pPr>
              <w:spacing w:line="240" w:lineRule="auto"/>
              <w:ind w:left="0" w:leftChars="0" w:firstLine="0" w:firstLineChars="0"/>
              <w:jc w:val="both"/>
              <w:rPr>
                <w:rFonts w:ascii="宋体" w:hAnsi="宋体" w:eastAsia="宋体" w:cs="Times New Roman"/>
                <w:b w:val="0"/>
                <w:sz w:val="21"/>
                <w:szCs w:val="21"/>
              </w:rPr>
            </w:pPr>
          </w:p>
        </w:tc>
      </w:tr>
      <w:tr w14:paraId="2D26C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38" w:type="dxa"/>
            <w:vAlign w:val="center"/>
          </w:tcPr>
          <w:p w14:paraId="0FBC4F1E">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19</w:t>
            </w:r>
          </w:p>
        </w:tc>
        <w:tc>
          <w:tcPr>
            <w:tcW w:w="1404" w:type="dxa"/>
            <w:vMerge w:val="continue"/>
            <w:vAlign w:val="center"/>
          </w:tcPr>
          <w:p w14:paraId="0016CBD4">
            <w:pPr>
              <w:widowControl/>
              <w:spacing w:line="240" w:lineRule="auto"/>
              <w:ind w:left="0" w:leftChars="0" w:firstLine="0" w:firstLineChars="0"/>
              <w:jc w:val="center"/>
              <w:rPr>
                <w:rFonts w:ascii="宋体" w:hAnsi="宋体" w:eastAsia="宋体" w:cs="Times New Roman"/>
                <w:b w:val="0"/>
                <w:sz w:val="24"/>
                <w:szCs w:val="22"/>
              </w:rPr>
            </w:pPr>
          </w:p>
        </w:tc>
        <w:tc>
          <w:tcPr>
            <w:tcW w:w="2673" w:type="dxa"/>
            <w:vAlign w:val="center"/>
          </w:tcPr>
          <w:p w14:paraId="425143D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大型游乐设施运行存在不符合安全距离等要求的情况。</w:t>
            </w:r>
          </w:p>
        </w:tc>
        <w:tc>
          <w:tcPr>
            <w:tcW w:w="5100" w:type="dxa"/>
            <w:vAlign w:val="center"/>
          </w:tcPr>
          <w:p w14:paraId="23A2EBB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检查大型游乐设施与周边建筑物等设施设备保持安全距离</w:t>
            </w:r>
          </w:p>
        </w:tc>
        <w:tc>
          <w:tcPr>
            <w:tcW w:w="1437" w:type="dxa"/>
            <w:vAlign w:val="center"/>
          </w:tcPr>
          <w:p w14:paraId="6C1A8997">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日管控</w:t>
            </w:r>
          </w:p>
        </w:tc>
        <w:tc>
          <w:tcPr>
            <w:tcW w:w="1372" w:type="dxa"/>
            <w:vAlign w:val="center"/>
          </w:tcPr>
          <w:p w14:paraId="4A2393AD">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安全员</w:t>
            </w:r>
          </w:p>
        </w:tc>
        <w:tc>
          <w:tcPr>
            <w:tcW w:w="999" w:type="dxa"/>
          </w:tcPr>
          <w:p w14:paraId="74B696DB">
            <w:pPr>
              <w:spacing w:line="240" w:lineRule="auto"/>
              <w:ind w:left="0" w:leftChars="0" w:firstLine="0" w:firstLineChars="0"/>
              <w:jc w:val="both"/>
              <w:rPr>
                <w:rFonts w:ascii="宋体" w:hAnsi="宋体" w:eastAsia="宋体" w:cs="Times New Roman"/>
                <w:b w:val="0"/>
                <w:sz w:val="21"/>
                <w:szCs w:val="21"/>
              </w:rPr>
            </w:pPr>
          </w:p>
        </w:tc>
      </w:tr>
      <w:tr w14:paraId="430F1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38" w:type="dxa"/>
            <w:vAlign w:val="center"/>
          </w:tcPr>
          <w:p w14:paraId="24DA7F4E">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20</w:t>
            </w:r>
          </w:p>
        </w:tc>
        <w:tc>
          <w:tcPr>
            <w:tcW w:w="1404" w:type="dxa"/>
            <w:vAlign w:val="center"/>
          </w:tcPr>
          <w:p w14:paraId="27E77D6A">
            <w:pPr>
              <w:widowControl/>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政府监督、通报、预警</w:t>
            </w:r>
          </w:p>
        </w:tc>
        <w:tc>
          <w:tcPr>
            <w:tcW w:w="2673" w:type="dxa"/>
            <w:vAlign w:val="center"/>
          </w:tcPr>
          <w:p w14:paraId="61E3147C">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100" w:type="dxa"/>
            <w:vAlign w:val="center"/>
          </w:tcPr>
          <w:p w14:paraId="294EDBE3">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w:t>
            </w:r>
            <w:r>
              <w:rPr>
                <w:rFonts w:hint="eastAsia" w:ascii="宋体" w:hAnsi="宋体" w:eastAsia="宋体" w:cs="Times New Roman"/>
                <w:b w:val="0"/>
                <w:sz w:val="24"/>
                <w:szCs w:val="22"/>
              </w:rPr>
              <w:t>。</w:t>
            </w:r>
          </w:p>
        </w:tc>
        <w:tc>
          <w:tcPr>
            <w:tcW w:w="1437" w:type="dxa"/>
            <w:vAlign w:val="center"/>
          </w:tcPr>
          <w:p w14:paraId="10D7332C">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372" w:type="dxa"/>
            <w:vAlign w:val="center"/>
          </w:tcPr>
          <w:p w14:paraId="039A49F4">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999" w:type="dxa"/>
          </w:tcPr>
          <w:p w14:paraId="0A84E8BF">
            <w:pPr>
              <w:spacing w:line="240" w:lineRule="auto"/>
              <w:ind w:left="0" w:leftChars="0" w:firstLine="0" w:firstLineChars="0"/>
              <w:jc w:val="both"/>
              <w:rPr>
                <w:rFonts w:ascii="宋体" w:hAnsi="宋体" w:eastAsia="宋体" w:cs="Times New Roman"/>
                <w:b w:val="0"/>
                <w:sz w:val="21"/>
                <w:szCs w:val="21"/>
              </w:rPr>
            </w:pPr>
          </w:p>
        </w:tc>
      </w:tr>
      <w:tr w14:paraId="2062C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38" w:type="dxa"/>
            <w:vAlign w:val="center"/>
          </w:tcPr>
          <w:p w14:paraId="627FBF49">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21</w:t>
            </w:r>
          </w:p>
        </w:tc>
        <w:tc>
          <w:tcPr>
            <w:tcW w:w="1404" w:type="dxa"/>
            <w:vAlign w:val="center"/>
          </w:tcPr>
          <w:p w14:paraId="0C43892E">
            <w:pPr>
              <w:widowControl/>
              <w:spacing w:line="240" w:lineRule="auto"/>
              <w:ind w:left="0" w:leftChars="0" w:firstLine="0" w:firstLineChars="0"/>
              <w:jc w:val="center"/>
              <w:rPr>
                <w:rFonts w:ascii="宋体" w:hAnsi="宋体" w:eastAsia="宋体" w:cs="Times New Roman"/>
                <w:b w:val="0"/>
                <w:kern w:val="0"/>
                <w:sz w:val="24"/>
                <w:szCs w:val="22"/>
              </w:rPr>
            </w:pPr>
            <w:r>
              <w:rPr>
                <w:rFonts w:hint="eastAsia" w:ascii="宋体" w:hAnsi="宋体" w:eastAsia="宋体" w:cs="Times New Roman"/>
                <w:b w:val="0"/>
                <w:sz w:val="24"/>
                <w:szCs w:val="22"/>
              </w:rPr>
              <w:t>投诉举报</w:t>
            </w:r>
          </w:p>
        </w:tc>
        <w:tc>
          <w:tcPr>
            <w:tcW w:w="2673" w:type="dxa"/>
            <w:vAlign w:val="center"/>
          </w:tcPr>
          <w:p w14:paraId="4B669C89">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100" w:type="dxa"/>
            <w:vAlign w:val="center"/>
          </w:tcPr>
          <w:p w14:paraId="4BEE3233">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记录，整改，消除安全隐患</w:t>
            </w:r>
            <w:r>
              <w:rPr>
                <w:rFonts w:hint="eastAsia" w:ascii="宋体" w:hAnsi="宋体" w:eastAsia="宋体" w:cs="Times New Roman"/>
                <w:b w:val="0"/>
                <w:sz w:val="24"/>
                <w:szCs w:val="22"/>
              </w:rPr>
              <w:t>。</w:t>
            </w:r>
          </w:p>
        </w:tc>
        <w:tc>
          <w:tcPr>
            <w:tcW w:w="1437" w:type="dxa"/>
            <w:vAlign w:val="center"/>
          </w:tcPr>
          <w:p w14:paraId="3299C672">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372" w:type="dxa"/>
            <w:vAlign w:val="center"/>
          </w:tcPr>
          <w:p w14:paraId="55F6EF8B">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999" w:type="dxa"/>
          </w:tcPr>
          <w:p w14:paraId="0ECA66E5">
            <w:pPr>
              <w:spacing w:line="240" w:lineRule="auto"/>
              <w:ind w:left="0" w:leftChars="0" w:firstLine="0" w:firstLineChars="0"/>
              <w:jc w:val="both"/>
              <w:rPr>
                <w:rFonts w:ascii="宋体" w:hAnsi="宋体" w:eastAsia="宋体" w:cs="Times New Roman"/>
                <w:b w:val="0"/>
                <w:sz w:val="21"/>
                <w:szCs w:val="21"/>
              </w:rPr>
            </w:pPr>
          </w:p>
        </w:tc>
      </w:tr>
      <w:tr w14:paraId="3B860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838" w:type="dxa"/>
            <w:vAlign w:val="center"/>
          </w:tcPr>
          <w:p w14:paraId="2B1FC936">
            <w:pPr>
              <w:widowControl/>
              <w:spacing w:line="240" w:lineRule="auto"/>
              <w:ind w:left="0" w:leftChars="0" w:firstLine="24" w:firstLineChars="10"/>
              <w:jc w:val="center"/>
              <w:rPr>
                <w:rFonts w:ascii="宋体" w:hAnsi="宋体" w:eastAsia="宋体" w:cs="Times New Roman"/>
                <w:b w:val="0"/>
                <w:kern w:val="0"/>
                <w:sz w:val="24"/>
                <w:szCs w:val="22"/>
              </w:rPr>
            </w:pPr>
            <w:r>
              <w:rPr>
                <w:rFonts w:hint="eastAsia" w:ascii="宋体" w:hAnsi="宋体" w:eastAsia="宋体" w:cs="Times New Roman"/>
                <w:b w:val="0"/>
                <w:kern w:val="0"/>
                <w:sz w:val="24"/>
                <w:szCs w:val="22"/>
              </w:rPr>
              <w:t>22</w:t>
            </w:r>
          </w:p>
        </w:tc>
        <w:tc>
          <w:tcPr>
            <w:tcW w:w="1404" w:type="dxa"/>
            <w:vAlign w:val="center"/>
          </w:tcPr>
          <w:p w14:paraId="00FEC8FC">
            <w:pPr>
              <w:spacing w:line="240" w:lineRule="auto"/>
              <w:ind w:left="0" w:leftChars="0" w:firstLine="0" w:firstLineChars="0"/>
              <w:jc w:val="center"/>
              <w:rPr>
                <w:rFonts w:ascii="宋体" w:hAnsi="宋体" w:eastAsia="宋体" w:cs="Times New Roman"/>
                <w:b w:val="0"/>
                <w:sz w:val="24"/>
                <w:szCs w:val="22"/>
              </w:rPr>
            </w:pPr>
            <w:r>
              <w:rPr>
                <w:rFonts w:hint="eastAsia" w:ascii="宋体" w:hAnsi="宋体" w:eastAsia="宋体" w:cs="Times New Roman"/>
                <w:b w:val="0"/>
                <w:sz w:val="24"/>
                <w:szCs w:val="22"/>
              </w:rPr>
              <w:t>舆情信息</w:t>
            </w:r>
          </w:p>
        </w:tc>
        <w:tc>
          <w:tcPr>
            <w:tcW w:w="2673" w:type="dxa"/>
            <w:vAlign w:val="center"/>
          </w:tcPr>
          <w:p w14:paraId="4042B8E4">
            <w:pPr>
              <w:spacing w:line="240" w:lineRule="auto"/>
              <w:ind w:left="0" w:leftChars="0" w:firstLine="0" w:firstLineChars="0"/>
              <w:jc w:val="both"/>
              <w:rPr>
                <w:rFonts w:ascii="宋体" w:hAnsi="宋体" w:eastAsia="宋体" w:cs="Times New Roman"/>
                <w:b w:val="0"/>
                <w:sz w:val="24"/>
                <w:szCs w:val="22"/>
              </w:rPr>
            </w:pPr>
            <w:r>
              <w:rPr>
                <w:rFonts w:hint="eastAsia" w:ascii="宋体" w:hAnsi="宋体" w:eastAsia="宋体" w:cs="Times New Roman"/>
                <w:b w:val="0"/>
                <w:sz w:val="24"/>
                <w:szCs w:val="22"/>
              </w:rPr>
              <w:t>发现不合格项</w:t>
            </w:r>
          </w:p>
        </w:tc>
        <w:tc>
          <w:tcPr>
            <w:tcW w:w="5100" w:type="dxa"/>
            <w:vAlign w:val="center"/>
          </w:tcPr>
          <w:p w14:paraId="0CFA5277">
            <w:pPr>
              <w:spacing w:line="240" w:lineRule="auto"/>
              <w:ind w:left="0" w:leftChars="0" w:firstLine="0" w:firstLineChars="0"/>
              <w:jc w:val="both"/>
              <w:rPr>
                <w:rFonts w:ascii="宋体" w:hAnsi="宋体" w:eastAsia="宋体" w:cs="Times New Roman"/>
                <w:b w:val="0"/>
                <w:sz w:val="24"/>
                <w:szCs w:val="22"/>
              </w:rPr>
            </w:pPr>
            <w:r>
              <w:rPr>
                <w:rFonts w:ascii="宋体" w:hAnsi="宋体" w:eastAsia="宋体" w:cs="Times New Roman"/>
                <w:b w:val="0"/>
                <w:sz w:val="24"/>
                <w:szCs w:val="22"/>
              </w:rPr>
              <w:t>记录，整改</w:t>
            </w:r>
          </w:p>
        </w:tc>
        <w:tc>
          <w:tcPr>
            <w:tcW w:w="1437" w:type="dxa"/>
            <w:vAlign w:val="center"/>
          </w:tcPr>
          <w:p w14:paraId="5993780A">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月调度</w:t>
            </w:r>
          </w:p>
        </w:tc>
        <w:tc>
          <w:tcPr>
            <w:tcW w:w="1372" w:type="dxa"/>
            <w:vAlign w:val="center"/>
          </w:tcPr>
          <w:p w14:paraId="320A92F1">
            <w:pPr>
              <w:spacing w:line="240" w:lineRule="auto"/>
              <w:ind w:left="0" w:leftChars="0" w:firstLine="0" w:firstLineChars="0"/>
              <w:jc w:val="center"/>
              <w:rPr>
                <w:rFonts w:ascii="宋体" w:hAnsi="宋体" w:eastAsia="宋体" w:cs="Times New Roman"/>
                <w:b w:val="0"/>
                <w:sz w:val="24"/>
                <w:szCs w:val="24"/>
              </w:rPr>
            </w:pPr>
            <w:r>
              <w:rPr>
                <w:rFonts w:ascii="宋体" w:hAnsi="宋体" w:eastAsia="宋体" w:cs="Times New Roman"/>
                <w:b w:val="0"/>
                <w:sz w:val="24"/>
                <w:szCs w:val="24"/>
              </w:rPr>
              <w:t>主要负责人</w:t>
            </w:r>
          </w:p>
        </w:tc>
        <w:tc>
          <w:tcPr>
            <w:tcW w:w="999" w:type="dxa"/>
          </w:tcPr>
          <w:p w14:paraId="728ED0E0">
            <w:pPr>
              <w:spacing w:line="240" w:lineRule="auto"/>
              <w:ind w:left="0" w:leftChars="0" w:firstLine="0" w:firstLineChars="0"/>
              <w:jc w:val="both"/>
              <w:rPr>
                <w:rFonts w:ascii="宋体" w:hAnsi="宋体" w:eastAsia="宋体" w:cs="Times New Roman"/>
                <w:b w:val="0"/>
                <w:sz w:val="21"/>
                <w:szCs w:val="21"/>
              </w:rPr>
            </w:pPr>
          </w:p>
        </w:tc>
      </w:tr>
    </w:tbl>
    <w:p w14:paraId="55FEB60C">
      <w:pPr>
        <w:widowControl/>
        <w:spacing w:line="240" w:lineRule="auto"/>
        <w:ind w:left="0" w:leftChars="0" w:firstLine="482" w:firstLineChars="200"/>
        <w:jc w:val="both"/>
        <w:rPr>
          <w:rFonts w:ascii="宋体" w:hAnsi="宋体" w:eastAsia="宋体" w:cs="宋体"/>
          <w:b/>
          <w:color w:val="000000"/>
          <w:sz w:val="24"/>
          <w:szCs w:val="24"/>
        </w:rPr>
      </w:pPr>
      <w:r>
        <w:rPr>
          <w:rFonts w:ascii="宋体" w:hAnsi="宋体" w:eastAsia="宋体" w:cs="宋体"/>
          <w:b/>
          <w:color w:val="000000"/>
          <w:sz w:val="24"/>
          <w:szCs w:val="24"/>
        </w:rPr>
        <w:t>备注</w:t>
      </w:r>
      <w:r>
        <w:rPr>
          <w:rFonts w:hint="eastAsia" w:ascii="宋体" w:hAnsi="宋体" w:eastAsia="宋体" w:cs="Times New Roman"/>
          <w:b/>
          <w:bCs/>
          <w:color w:val="000000"/>
          <w:kern w:val="0"/>
          <w:sz w:val="24"/>
          <w:szCs w:val="22"/>
        </w:rPr>
        <w:t>：</w:t>
      </w:r>
      <w:r>
        <w:rPr>
          <w:rFonts w:ascii="宋体" w:hAnsi="宋体" w:eastAsia="宋体" w:cs="宋体"/>
          <w:b/>
          <w:color w:val="000000"/>
          <w:sz w:val="24"/>
          <w:szCs w:val="24"/>
        </w:rPr>
        <w:t>本清单为推荐性格式，仅规定了应当进行日管控、周排查、月调度的基本项目，</w:t>
      </w:r>
      <w:r>
        <w:rPr>
          <w:rFonts w:hint="eastAsia" w:ascii="宋体" w:hAnsi="宋体" w:eastAsia="宋体" w:cs="宋体"/>
          <w:b/>
          <w:color w:val="000000"/>
          <w:sz w:val="24"/>
          <w:szCs w:val="24"/>
        </w:rPr>
        <w:t>大型游乐设施使用</w:t>
      </w:r>
      <w:r>
        <w:rPr>
          <w:rFonts w:ascii="宋体" w:hAnsi="宋体" w:eastAsia="宋体" w:cs="宋体"/>
          <w:b/>
          <w:color w:val="000000"/>
          <w:sz w:val="24"/>
          <w:szCs w:val="24"/>
        </w:rPr>
        <w:t>单位应当结合本单位实际情况和具体要求，细化风险管控清单</w:t>
      </w:r>
      <w:r>
        <w:rPr>
          <w:rFonts w:hint="eastAsia" w:ascii="宋体" w:hAnsi="宋体" w:eastAsia="宋体" w:cs="宋体"/>
          <w:b/>
          <w:color w:val="000000"/>
          <w:sz w:val="24"/>
          <w:szCs w:val="24"/>
        </w:rPr>
        <w:t>，合理调整管控形式。</w:t>
      </w:r>
    </w:p>
    <w:p w14:paraId="3F3AE66A">
      <w:pPr>
        <w:rPr>
          <w:rFonts w:hint="eastAsia" w:ascii="Calibri" w:hAnsi="Calibri" w:eastAsia="宋体" w:cs="Times New Roman"/>
          <w:b/>
          <w:sz w:val="36"/>
          <w:szCs w:val="36"/>
        </w:rPr>
      </w:pPr>
      <w:r>
        <w:rPr>
          <w:rFonts w:hint="eastAsia" w:ascii="Calibri" w:hAnsi="Calibri" w:eastAsia="宋体" w:cs="Times New Roman"/>
          <w:b/>
          <w:sz w:val="36"/>
          <w:szCs w:val="36"/>
        </w:rPr>
        <w:br w:type="page"/>
      </w:r>
    </w:p>
    <w:p w14:paraId="37AA25E3">
      <w:pPr>
        <w:spacing w:line="240" w:lineRule="auto"/>
        <w:ind w:left="0" w:leftChars="0" w:firstLine="0" w:firstLineChars="0"/>
        <w:jc w:val="center"/>
        <w:rPr>
          <w:rFonts w:ascii="Calibri" w:hAnsi="Calibri" w:eastAsia="宋体" w:cs="Times New Roman"/>
          <w:b/>
          <w:color w:val="000000"/>
          <w:sz w:val="36"/>
          <w:szCs w:val="36"/>
        </w:rPr>
      </w:pPr>
      <w:r>
        <w:rPr>
          <w:rFonts w:hint="eastAsia" w:ascii="Calibri" w:hAnsi="Calibri" w:eastAsia="宋体" w:cs="Times New Roman"/>
          <w:b/>
          <w:color w:val="000000"/>
          <w:sz w:val="36"/>
          <w:szCs w:val="36"/>
        </w:rPr>
        <w:t>客运索道安全风险管控清单</w:t>
      </w:r>
      <w:r>
        <w:rPr>
          <w:rFonts w:hint="eastAsia" w:ascii="Calibri" w:hAnsi="Calibri" w:eastAsia="宋体" w:cs="Times New Roman"/>
          <w:b/>
          <w:sz w:val="36"/>
          <w:szCs w:val="36"/>
          <w:lang w:eastAsia="zh-CN"/>
        </w:rPr>
        <w:t>（供参考）</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4"/>
        <w:gridCol w:w="1582"/>
        <w:gridCol w:w="3354"/>
        <w:gridCol w:w="4077"/>
        <w:gridCol w:w="1803"/>
        <w:gridCol w:w="1293"/>
        <w:gridCol w:w="890"/>
      </w:tblGrid>
      <w:tr w14:paraId="451F4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824" w:type="dxa"/>
            <w:shd w:val="clear" w:color="auto" w:fill="BEBEBE"/>
            <w:vAlign w:val="center"/>
          </w:tcPr>
          <w:p w14:paraId="37576C83">
            <w:pPr>
              <w:spacing w:line="240" w:lineRule="auto"/>
              <w:ind w:left="0" w:leftChars="0" w:firstLine="0" w:firstLineChars="0"/>
              <w:jc w:val="center"/>
              <w:rPr>
                <w:rFonts w:ascii="宋体" w:hAnsi="宋体" w:eastAsia="宋体" w:cs="Times New Roman"/>
                <w:b/>
                <w:color w:val="000000"/>
                <w:sz w:val="28"/>
                <w:szCs w:val="28"/>
              </w:rPr>
            </w:pPr>
            <w:r>
              <w:rPr>
                <w:rFonts w:hint="eastAsia" w:ascii="宋体" w:hAnsi="宋体" w:eastAsia="宋体" w:cs="Times New Roman"/>
                <w:b/>
                <w:color w:val="000000"/>
                <w:sz w:val="28"/>
                <w:szCs w:val="28"/>
              </w:rPr>
              <w:t>序号</w:t>
            </w:r>
          </w:p>
        </w:tc>
        <w:tc>
          <w:tcPr>
            <w:tcW w:w="1582" w:type="dxa"/>
            <w:shd w:val="clear" w:color="auto" w:fill="BEBEBE"/>
            <w:vAlign w:val="center"/>
          </w:tcPr>
          <w:p w14:paraId="2DEB2CB9">
            <w:pPr>
              <w:spacing w:line="240" w:lineRule="auto"/>
              <w:ind w:left="0" w:leftChars="0" w:firstLine="0" w:firstLineChars="0"/>
              <w:jc w:val="center"/>
              <w:rPr>
                <w:rFonts w:ascii="宋体" w:hAnsi="宋体" w:eastAsia="宋体" w:cs="Times New Roman"/>
                <w:b/>
                <w:color w:val="000000"/>
                <w:sz w:val="28"/>
                <w:szCs w:val="28"/>
              </w:rPr>
            </w:pPr>
            <w:r>
              <w:rPr>
                <w:rFonts w:hint="eastAsia" w:ascii="宋体" w:hAnsi="宋体" w:eastAsia="宋体" w:cs="Times New Roman"/>
                <w:b/>
                <w:color w:val="000000"/>
                <w:sz w:val="28"/>
                <w:szCs w:val="28"/>
              </w:rPr>
              <w:t>风险类别</w:t>
            </w:r>
          </w:p>
        </w:tc>
        <w:tc>
          <w:tcPr>
            <w:tcW w:w="3354" w:type="dxa"/>
            <w:shd w:val="clear" w:color="auto" w:fill="BEBEBE"/>
            <w:vAlign w:val="center"/>
          </w:tcPr>
          <w:p w14:paraId="15BC77B2">
            <w:pPr>
              <w:spacing w:line="240" w:lineRule="auto"/>
              <w:ind w:left="0" w:leftChars="0" w:firstLine="0" w:firstLineChars="0"/>
              <w:jc w:val="center"/>
              <w:rPr>
                <w:rFonts w:ascii="宋体" w:hAnsi="宋体" w:eastAsia="宋体" w:cs="Times New Roman"/>
                <w:b/>
                <w:color w:val="000000"/>
                <w:sz w:val="28"/>
                <w:szCs w:val="28"/>
              </w:rPr>
            </w:pPr>
            <w:r>
              <w:rPr>
                <w:rFonts w:hint="eastAsia" w:ascii="宋体" w:hAnsi="宋体" w:eastAsia="宋体" w:cs="Times New Roman"/>
                <w:b/>
                <w:color w:val="000000"/>
                <w:sz w:val="28"/>
                <w:szCs w:val="28"/>
              </w:rPr>
              <w:t>风险因素</w:t>
            </w:r>
          </w:p>
        </w:tc>
        <w:tc>
          <w:tcPr>
            <w:tcW w:w="4077" w:type="dxa"/>
            <w:shd w:val="clear" w:color="auto" w:fill="BEBEBE"/>
            <w:vAlign w:val="center"/>
          </w:tcPr>
          <w:p w14:paraId="37A5470B">
            <w:pPr>
              <w:spacing w:line="240" w:lineRule="auto"/>
              <w:ind w:left="0" w:leftChars="0" w:firstLine="0" w:firstLineChars="0"/>
              <w:jc w:val="center"/>
              <w:rPr>
                <w:rFonts w:ascii="宋体" w:hAnsi="宋体" w:eastAsia="宋体" w:cs="Times New Roman"/>
                <w:b/>
                <w:color w:val="000000"/>
                <w:sz w:val="28"/>
                <w:szCs w:val="28"/>
              </w:rPr>
            </w:pPr>
            <w:r>
              <w:rPr>
                <w:rFonts w:hint="eastAsia" w:ascii="宋体" w:hAnsi="宋体" w:eastAsia="宋体" w:cs="Times New Roman"/>
                <w:b/>
                <w:color w:val="000000"/>
                <w:sz w:val="28"/>
                <w:szCs w:val="28"/>
              </w:rPr>
              <w:t>风险管控</w:t>
            </w:r>
            <w:r>
              <w:rPr>
                <w:rFonts w:ascii="宋体" w:hAnsi="宋体" w:eastAsia="宋体" w:cs="Times New Roman"/>
                <w:b/>
                <w:color w:val="000000"/>
                <w:sz w:val="28"/>
                <w:szCs w:val="28"/>
              </w:rPr>
              <w:t>措施</w:t>
            </w:r>
          </w:p>
        </w:tc>
        <w:tc>
          <w:tcPr>
            <w:tcW w:w="1803" w:type="dxa"/>
            <w:shd w:val="clear" w:color="auto" w:fill="BEBEBE"/>
            <w:vAlign w:val="center"/>
          </w:tcPr>
          <w:p w14:paraId="760A413B">
            <w:pPr>
              <w:spacing w:line="240" w:lineRule="auto"/>
              <w:ind w:left="0" w:leftChars="0" w:firstLine="0" w:firstLineChars="0"/>
              <w:jc w:val="center"/>
              <w:rPr>
                <w:rFonts w:ascii="宋体" w:hAnsi="宋体" w:eastAsia="宋体" w:cs="Times New Roman"/>
                <w:b/>
                <w:color w:val="000000"/>
                <w:sz w:val="28"/>
                <w:szCs w:val="28"/>
              </w:rPr>
            </w:pPr>
            <w:r>
              <w:rPr>
                <w:rFonts w:hint="eastAsia" w:ascii="宋体" w:hAnsi="宋体" w:eastAsia="宋体" w:cs="Times New Roman"/>
                <w:b/>
                <w:color w:val="000000"/>
                <w:sz w:val="28"/>
                <w:szCs w:val="28"/>
              </w:rPr>
              <w:t>管控形式</w:t>
            </w:r>
          </w:p>
        </w:tc>
        <w:tc>
          <w:tcPr>
            <w:tcW w:w="1293" w:type="dxa"/>
            <w:shd w:val="clear" w:color="auto" w:fill="BEBEBE"/>
            <w:vAlign w:val="center"/>
          </w:tcPr>
          <w:p w14:paraId="6FE9DC63">
            <w:pPr>
              <w:spacing w:line="240" w:lineRule="auto"/>
              <w:ind w:left="0" w:leftChars="0" w:firstLine="0" w:firstLineChars="0"/>
              <w:jc w:val="center"/>
              <w:rPr>
                <w:rFonts w:ascii="宋体" w:hAnsi="宋体" w:eastAsia="宋体" w:cs="Times New Roman"/>
                <w:b/>
                <w:color w:val="000000"/>
                <w:sz w:val="28"/>
                <w:szCs w:val="28"/>
              </w:rPr>
            </w:pPr>
            <w:r>
              <w:rPr>
                <w:rFonts w:hint="eastAsia" w:ascii="宋体" w:hAnsi="宋体" w:eastAsia="宋体" w:cs="Times New Roman"/>
                <w:b/>
                <w:color w:val="000000"/>
                <w:sz w:val="28"/>
                <w:szCs w:val="28"/>
              </w:rPr>
              <w:t>责任人</w:t>
            </w:r>
          </w:p>
        </w:tc>
        <w:tc>
          <w:tcPr>
            <w:tcW w:w="890" w:type="dxa"/>
            <w:shd w:val="clear" w:color="auto" w:fill="BEBEBE"/>
          </w:tcPr>
          <w:p w14:paraId="0C98308F">
            <w:pPr>
              <w:spacing w:line="240" w:lineRule="auto"/>
              <w:ind w:left="0" w:leftChars="0" w:firstLine="0" w:firstLineChars="0"/>
              <w:jc w:val="center"/>
              <w:rPr>
                <w:rFonts w:ascii="宋体" w:hAnsi="宋体" w:eastAsia="宋体" w:cs="Times New Roman"/>
                <w:b/>
                <w:color w:val="000000"/>
                <w:sz w:val="28"/>
                <w:szCs w:val="28"/>
              </w:rPr>
            </w:pPr>
            <w:r>
              <w:rPr>
                <w:rFonts w:hint="eastAsia" w:ascii="宋体" w:hAnsi="宋体" w:eastAsia="宋体" w:cs="Times New Roman"/>
                <w:b/>
                <w:color w:val="000000"/>
                <w:sz w:val="28"/>
                <w:szCs w:val="28"/>
              </w:rPr>
              <w:t>备注</w:t>
            </w:r>
          </w:p>
        </w:tc>
      </w:tr>
      <w:tr w14:paraId="5F0F0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824" w:type="dxa"/>
            <w:vAlign w:val="center"/>
          </w:tcPr>
          <w:p w14:paraId="6ADE36FD">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1</w:t>
            </w:r>
          </w:p>
        </w:tc>
        <w:tc>
          <w:tcPr>
            <w:tcW w:w="1582" w:type="dxa"/>
            <w:vMerge w:val="restart"/>
            <w:vAlign w:val="center"/>
          </w:tcPr>
          <w:p w14:paraId="77C57245">
            <w:pPr>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人员</w:t>
            </w:r>
          </w:p>
        </w:tc>
        <w:tc>
          <w:tcPr>
            <w:tcW w:w="3354" w:type="dxa"/>
            <w:vAlign w:val="center"/>
          </w:tcPr>
          <w:p w14:paraId="03274D46">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未按规定配备安全管理人员和作业人员</w:t>
            </w:r>
          </w:p>
        </w:tc>
        <w:tc>
          <w:tcPr>
            <w:tcW w:w="4077" w:type="dxa"/>
            <w:vAlign w:val="center"/>
          </w:tcPr>
          <w:p w14:paraId="0EA4799F">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1.建立特种设备安全管理人员与作业人员管理制度；</w:t>
            </w:r>
          </w:p>
          <w:p w14:paraId="1D591679">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2.按规定配备相关人员。</w:t>
            </w:r>
          </w:p>
        </w:tc>
        <w:tc>
          <w:tcPr>
            <w:tcW w:w="1803" w:type="dxa"/>
            <w:vAlign w:val="center"/>
          </w:tcPr>
          <w:p w14:paraId="68C01A1A">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月调度</w:t>
            </w:r>
          </w:p>
        </w:tc>
        <w:tc>
          <w:tcPr>
            <w:tcW w:w="1293" w:type="dxa"/>
            <w:vAlign w:val="center"/>
          </w:tcPr>
          <w:p w14:paraId="427F6DFC">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主要负责人</w:t>
            </w:r>
          </w:p>
        </w:tc>
        <w:tc>
          <w:tcPr>
            <w:tcW w:w="890" w:type="dxa"/>
          </w:tcPr>
          <w:p w14:paraId="70CD431D">
            <w:pPr>
              <w:spacing w:line="240" w:lineRule="auto"/>
              <w:ind w:left="0" w:leftChars="0" w:firstLine="0" w:firstLineChars="0"/>
              <w:jc w:val="both"/>
              <w:rPr>
                <w:rFonts w:ascii="宋体" w:hAnsi="宋体" w:eastAsia="宋体" w:cs="Times New Roman"/>
                <w:b w:val="0"/>
                <w:color w:val="000000"/>
                <w:sz w:val="21"/>
                <w:szCs w:val="21"/>
              </w:rPr>
            </w:pPr>
          </w:p>
        </w:tc>
      </w:tr>
      <w:tr w14:paraId="484A2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24" w:type="dxa"/>
            <w:vAlign w:val="center"/>
          </w:tcPr>
          <w:p w14:paraId="2F9EEC4C">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2</w:t>
            </w:r>
          </w:p>
        </w:tc>
        <w:tc>
          <w:tcPr>
            <w:tcW w:w="1582" w:type="dxa"/>
            <w:vMerge w:val="continue"/>
            <w:vAlign w:val="center"/>
          </w:tcPr>
          <w:p w14:paraId="4318D5E8">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1353A836">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作业人员未持有相应资格证件</w:t>
            </w:r>
          </w:p>
        </w:tc>
        <w:tc>
          <w:tcPr>
            <w:tcW w:w="4077" w:type="dxa"/>
            <w:vAlign w:val="center"/>
          </w:tcPr>
          <w:p w14:paraId="7DD2CECA">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配备具有相应资质的作业人员，加强资格证的换证管理</w:t>
            </w:r>
          </w:p>
        </w:tc>
        <w:tc>
          <w:tcPr>
            <w:tcW w:w="1803" w:type="dxa"/>
            <w:vAlign w:val="center"/>
          </w:tcPr>
          <w:p w14:paraId="65FA87A8">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400AC926">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597EE573">
            <w:pPr>
              <w:spacing w:line="240" w:lineRule="auto"/>
              <w:ind w:left="0" w:leftChars="0" w:firstLine="0" w:firstLineChars="0"/>
              <w:jc w:val="both"/>
              <w:rPr>
                <w:rFonts w:ascii="宋体" w:hAnsi="宋体" w:eastAsia="宋体" w:cs="Times New Roman"/>
                <w:b w:val="0"/>
                <w:color w:val="000000"/>
                <w:sz w:val="21"/>
                <w:szCs w:val="21"/>
              </w:rPr>
            </w:pPr>
          </w:p>
        </w:tc>
      </w:tr>
      <w:tr w14:paraId="28803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824" w:type="dxa"/>
            <w:vAlign w:val="center"/>
          </w:tcPr>
          <w:p w14:paraId="0EE60BBC">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3</w:t>
            </w:r>
          </w:p>
        </w:tc>
        <w:tc>
          <w:tcPr>
            <w:tcW w:w="1582" w:type="dxa"/>
            <w:vMerge w:val="continue"/>
            <w:vAlign w:val="center"/>
          </w:tcPr>
          <w:p w14:paraId="2D8263A1">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2FF1348D">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未按规定对安全管理人员和作业人员开展安全教育培训</w:t>
            </w:r>
          </w:p>
        </w:tc>
        <w:tc>
          <w:tcPr>
            <w:tcW w:w="4077" w:type="dxa"/>
            <w:vAlign w:val="center"/>
          </w:tcPr>
          <w:p w14:paraId="5827BFB9">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按规定开展安全教育培训</w:t>
            </w:r>
          </w:p>
        </w:tc>
        <w:tc>
          <w:tcPr>
            <w:tcW w:w="1803" w:type="dxa"/>
            <w:vAlign w:val="center"/>
          </w:tcPr>
          <w:p w14:paraId="7595EC99">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1AC96CA3">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5FB6608D">
            <w:pPr>
              <w:spacing w:line="240" w:lineRule="auto"/>
              <w:ind w:left="0" w:leftChars="0" w:firstLine="0" w:firstLineChars="0"/>
              <w:jc w:val="both"/>
              <w:rPr>
                <w:rFonts w:ascii="宋体" w:hAnsi="宋体" w:eastAsia="宋体" w:cs="Times New Roman"/>
                <w:b w:val="0"/>
                <w:color w:val="000000"/>
                <w:sz w:val="21"/>
                <w:szCs w:val="21"/>
              </w:rPr>
            </w:pPr>
          </w:p>
        </w:tc>
      </w:tr>
      <w:tr w14:paraId="4BE35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824" w:type="dxa"/>
            <w:vAlign w:val="center"/>
          </w:tcPr>
          <w:p w14:paraId="60F65578">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4</w:t>
            </w:r>
          </w:p>
        </w:tc>
        <w:tc>
          <w:tcPr>
            <w:tcW w:w="1582" w:type="dxa"/>
            <w:vMerge w:val="continue"/>
            <w:vAlign w:val="center"/>
          </w:tcPr>
          <w:p w14:paraId="69A669B4">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38FB3A66">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作业人员违章作业或到岗值守情况不符合要求</w:t>
            </w:r>
          </w:p>
        </w:tc>
        <w:tc>
          <w:tcPr>
            <w:tcW w:w="4077" w:type="dxa"/>
            <w:vAlign w:val="center"/>
          </w:tcPr>
          <w:p w14:paraId="6768FE2E">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检查客运索道作业人员到岗值守情况，纠正和制止违章作业行为</w:t>
            </w:r>
          </w:p>
        </w:tc>
        <w:tc>
          <w:tcPr>
            <w:tcW w:w="1803" w:type="dxa"/>
            <w:vAlign w:val="center"/>
          </w:tcPr>
          <w:p w14:paraId="6274982A">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日管控</w:t>
            </w:r>
          </w:p>
        </w:tc>
        <w:tc>
          <w:tcPr>
            <w:tcW w:w="1293" w:type="dxa"/>
            <w:vAlign w:val="center"/>
          </w:tcPr>
          <w:p w14:paraId="177F01EB">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安全员</w:t>
            </w:r>
          </w:p>
        </w:tc>
        <w:tc>
          <w:tcPr>
            <w:tcW w:w="890" w:type="dxa"/>
          </w:tcPr>
          <w:p w14:paraId="6DE3C25D">
            <w:pPr>
              <w:spacing w:line="240" w:lineRule="auto"/>
              <w:ind w:left="0" w:leftChars="0" w:firstLine="0" w:firstLineChars="0"/>
              <w:jc w:val="both"/>
              <w:rPr>
                <w:rFonts w:ascii="宋体" w:hAnsi="宋体" w:eastAsia="宋体" w:cs="Times New Roman"/>
                <w:b w:val="0"/>
                <w:color w:val="000000"/>
                <w:sz w:val="21"/>
                <w:szCs w:val="21"/>
              </w:rPr>
            </w:pPr>
          </w:p>
        </w:tc>
      </w:tr>
      <w:tr w14:paraId="3752B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824" w:type="dxa"/>
            <w:vAlign w:val="center"/>
          </w:tcPr>
          <w:p w14:paraId="60705559">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5</w:t>
            </w:r>
          </w:p>
        </w:tc>
        <w:tc>
          <w:tcPr>
            <w:tcW w:w="1582" w:type="dxa"/>
            <w:vMerge w:val="restart"/>
            <w:vAlign w:val="center"/>
          </w:tcPr>
          <w:p w14:paraId="698A036E">
            <w:pPr>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kern w:val="0"/>
                <w:sz w:val="24"/>
                <w:szCs w:val="22"/>
              </w:rPr>
              <w:t>管理</w:t>
            </w:r>
          </w:p>
        </w:tc>
        <w:tc>
          <w:tcPr>
            <w:tcW w:w="3354" w:type="dxa"/>
            <w:vAlign w:val="center"/>
          </w:tcPr>
          <w:p w14:paraId="26243A08">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未按规定设置安全管理机构</w:t>
            </w:r>
          </w:p>
        </w:tc>
        <w:tc>
          <w:tcPr>
            <w:tcW w:w="4077" w:type="dxa"/>
            <w:vAlign w:val="center"/>
          </w:tcPr>
          <w:p w14:paraId="5315487E">
            <w:pPr>
              <w:widowControl w:val="0"/>
              <w:ind w:firstLine="0" w:firstLineChars="0"/>
              <w:jc w:val="both"/>
              <w:rPr>
                <w:rFonts w:ascii="宋体" w:hAnsi="宋体" w:eastAsia="宋体" w:cs="Times New Roman"/>
                <w:b w:val="0"/>
                <w:bCs/>
                <w:color w:val="000000"/>
                <w:kern w:val="2"/>
                <w:sz w:val="24"/>
                <w:szCs w:val="22"/>
                <w:lang w:val="en-US" w:eastAsia="zh-CN" w:bidi="ar-SA"/>
              </w:rPr>
            </w:pPr>
            <w:r>
              <w:rPr>
                <w:rFonts w:hint="eastAsia" w:ascii="宋体" w:hAnsi="宋体" w:eastAsia="宋体" w:cs="Times New Roman"/>
                <w:b w:val="0"/>
                <w:bCs/>
                <w:color w:val="000000"/>
                <w:kern w:val="2"/>
                <w:sz w:val="24"/>
                <w:szCs w:val="22"/>
                <w:lang w:val="en-US" w:eastAsia="zh-CN" w:bidi="ar-SA"/>
              </w:rPr>
              <w:t>按规定设置客运索道安全管理机构。</w:t>
            </w:r>
          </w:p>
        </w:tc>
        <w:tc>
          <w:tcPr>
            <w:tcW w:w="1803" w:type="dxa"/>
            <w:vAlign w:val="center"/>
          </w:tcPr>
          <w:p w14:paraId="587B9162">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月调度</w:t>
            </w:r>
          </w:p>
        </w:tc>
        <w:tc>
          <w:tcPr>
            <w:tcW w:w="1293" w:type="dxa"/>
            <w:vAlign w:val="center"/>
          </w:tcPr>
          <w:p w14:paraId="2B29B767">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主要负责人</w:t>
            </w:r>
          </w:p>
        </w:tc>
        <w:tc>
          <w:tcPr>
            <w:tcW w:w="890" w:type="dxa"/>
          </w:tcPr>
          <w:p w14:paraId="16E97980">
            <w:pPr>
              <w:spacing w:line="240" w:lineRule="auto"/>
              <w:ind w:left="0" w:leftChars="0" w:firstLine="0" w:firstLineChars="0"/>
              <w:jc w:val="both"/>
              <w:rPr>
                <w:rFonts w:ascii="宋体" w:hAnsi="宋体" w:eastAsia="宋体" w:cs="Times New Roman"/>
                <w:b w:val="0"/>
                <w:color w:val="000000"/>
                <w:sz w:val="21"/>
                <w:szCs w:val="21"/>
              </w:rPr>
            </w:pPr>
          </w:p>
        </w:tc>
      </w:tr>
      <w:tr w14:paraId="23D43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824" w:type="dxa"/>
            <w:vAlign w:val="center"/>
          </w:tcPr>
          <w:p w14:paraId="54FA194D">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6</w:t>
            </w:r>
          </w:p>
        </w:tc>
        <w:tc>
          <w:tcPr>
            <w:tcW w:w="1582" w:type="dxa"/>
            <w:vMerge w:val="continue"/>
            <w:vAlign w:val="center"/>
          </w:tcPr>
          <w:p w14:paraId="4D0E5560">
            <w:pPr>
              <w:spacing w:line="240" w:lineRule="auto"/>
              <w:ind w:left="0" w:leftChars="0" w:firstLine="0" w:firstLineChars="0"/>
              <w:jc w:val="center"/>
              <w:rPr>
                <w:rFonts w:ascii="宋体" w:hAnsi="宋体" w:eastAsia="宋体" w:cs="Times New Roman"/>
                <w:b w:val="0"/>
                <w:color w:val="000000"/>
                <w:kern w:val="0"/>
                <w:sz w:val="24"/>
                <w:szCs w:val="22"/>
              </w:rPr>
            </w:pPr>
          </w:p>
        </w:tc>
        <w:tc>
          <w:tcPr>
            <w:tcW w:w="3354" w:type="dxa"/>
            <w:vAlign w:val="center"/>
          </w:tcPr>
          <w:p w14:paraId="3A1F419E">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kern w:val="0"/>
                <w:sz w:val="24"/>
                <w:szCs w:val="22"/>
              </w:rPr>
              <w:t>未</w:t>
            </w:r>
            <w:r>
              <w:rPr>
                <w:rFonts w:hint="eastAsia" w:ascii="宋体" w:hAnsi="宋体" w:eastAsia="宋体" w:cs="Times New Roman"/>
                <w:b w:val="0"/>
                <w:color w:val="000000"/>
                <w:sz w:val="24"/>
                <w:szCs w:val="22"/>
              </w:rPr>
              <w:t>按规定制定管理制度、操作规程</w:t>
            </w:r>
          </w:p>
        </w:tc>
        <w:tc>
          <w:tcPr>
            <w:tcW w:w="4077" w:type="dxa"/>
            <w:vAlign w:val="center"/>
          </w:tcPr>
          <w:p w14:paraId="509687F2">
            <w:pPr>
              <w:spacing w:line="240" w:lineRule="auto"/>
              <w:ind w:left="0" w:leftChars="0" w:firstLine="0" w:firstLineChars="0"/>
              <w:jc w:val="both"/>
              <w:rPr>
                <w:rFonts w:hint="eastAsia" w:ascii="宋体" w:hAnsi="宋体" w:eastAsia="宋体" w:cs="Times New Roman"/>
                <w:b w:val="0"/>
                <w:color w:val="000000"/>
                <w:sz w:val="24"/>
                <w:szCs w:val="22"/>
              </w:rPr>
            </w:pPr>
            <w:r>
              <w:rPr>
                <w:rFonts w:hint="eastAsia" w:ascii="宋体" w:hAnsi="宋体" w:eastAsia="宋体" w:cs="Times New Roman"/>
                <w:b w:val="0"/>
                <w:color w:val="000000"/>
                <w:sz w:val="24"/>
                <w:szCs w:val="22"/>
              </w:rPr>
              <w:t>制定客运索道安全管理机构和相关人员岗位职责；</w:t>
            </w:r>
          </w:p>
          <w:p w14:paraId="100DCCF7">
            <w:pPr>
              <w:spacing w:line="240" w:lineRule="auto"/>
              <w:ind w:left="0" w:leftChars="0" w:firstLine="0" w:firstLineChars="0"/>
              <w:jc w:val="both"/>
              <w:rPr>
                <w:rFonts w:hint="eastAsia" w:ascii="宋体" w:hAnsi="宋体" w:eastAsia="宋体" w:cs="Times New Roman"/>
                <w:b w:val="0"/>
                <w:color w:val="000000"/>
                <w:sz w:val="24"/>
                <w:szCs w:val="22"/>
              </w:rPr>
            </w:pPr>
            <w:r>
              <w:rPr>
                <w:rFonts w:hint="eastAsia" w:ascii="宋体" w:hAnsi="宋体" w:eastAsia="宋体" w:cs="Times New Roman"/>
                <w:b w:val="0"/>
                <w:color w:val="000000"/>
                <w:sz w:val="24"/>
                <w:szCs w:val="22"/>
              </w:rPr>
              <w:t>制定《客运索道安全总监职责》《客运索道安全员守则》《客运索道安全日管控、周排查、月调度管理制度》；</w:t>
            </w:r>
          </w:p>
          <w:p w14:paraId="7453C2D6">
            <w:pPr>
              <w:spacing w:line="240" w:lineRule="auto"/>
              <w:ind w:left="0" w:leftChars="0" w:firstLine="0" w:firstLineChars="0"/>
              <w:jc w:val="both"/>
              <w:rPr>
                <w:rFonts w:hint="eastAsia" w:ascii="宋体" w:hAnsi="宋体" w:eastAsia="宋体" w:cs="Times New Roman"/>
                <w:b w:val="0"/>
                <w:color w:val="000000"/>
                <w:sz w:val="24"/>
                <w:szCs w:val="22"/>
              </w:rPr>
            </w:pPr>
            <w:r>
              <w:rPr>
                <w:rFonts w:hint="eastAsia" w:ascii="宋体" w:hAnsi="宋体" w:eastAsia="宋体" w:cs="Times New Roman"/>
                <w:b w:val="0"/>
                <w:color w:val="000000"/>
                <w:sz w:val="24"/>
                <w:szCs w:val="22"/>
              </w:rPr>
              <w:t>按规定建立客运索道操作规程。</w:t>
            </w:r>
          </w:p>
        </w:tc>
        <w:tc>
          <w:tcPr>
            <w:tcW w:w="1803" w:type="dxa"/>
            <w:vAlign w:val="center"/>
          </w:tcPr>
          <w:p w14:paraId="5D3E4443">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7B169200">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00C5FDCD">
            <w:pPr>
              <w:spacing w:line="240" w:lineRule="auto"/>
              <w:ind w:left="0" w:leftChars="0" w:firstLine="0" w:firstLineChars="0"/>
              <w:jc w:val="both"/>
              <w:rPr>
                <w:rFonts w:ascii="宋体" w:hAnsi="宋体" w:eastAsia="宋体" w:cs="Times New Roman"/>
                <w:b w:val="0"/>
                <w:color w:val="000000"/>
                <w:sz w:val="21"/>
                <w:szCs w:val="21"/>
              </w:rPr>
            </w:pPr>
          </w:p>
        </w:tc>
      </w:tr>
      <w:tr w14:paraId="73D49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824" w:type="dxa"/>
            <w:vAlign w:val="center"/>
          </w:tcPr>
          <w:p w14:paraId="7EA9A5F6">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7</w:t>
            </w:r>
          </w:p>
        </w:tc>
        <w:tc>
          <w:tcPr>
            <w:tcW w:w="1582" w:type="dxa"/>
            <w:vMerge w:val="continue"/>
            <w:vAlign w:val="center"/>
          </w:tcPr>
          <w:p w14:paraId="5A6D1667">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3E61FBAA">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未建立安全技术档案</w:t>
            </w:r>
          </w:p>
        </w:tc>
        <w:tc>
          <w:tcPr>
            <w:tcW w:w="4077" w:type="dxa"/>
            <w:vAlign w:val="center"/>
          </w:tcPr>
          <w:p w14:paraId="4EC01EF1">
            <w:pPr>
              <w:spacing w:line="240" w:lineRule="auto"/>
              <w:ind w:left="0" w:leftChars="0" w:firstLine="0" w:firstLineChars="0"/>
              <w:jc w:val="both"/>
              <w:rPr>
                <w:rFonts w:hint="eastAsia" w:ascii="宋体" w:hAnsi="宋体" w:eastAsia="宋体" w:cs="Times New Roman"/>
                <w:b w:val="0"/>
                <w:color w:val="000000"/>
                <w:sz w:val="24"/>
                <w:szCs w:val="22"/>
                <w:lang w:val="en-US" w:eastAsia="zh-CN"/>
              </w:rPr>
            </w:pPr>
            <w:r>
              <w:rPr>
                <w:rFonts w:hint="eastAsia" w:ascii="宋体" w:hAnsi="宋体" w:eastAsia="宋体" w:cs="Times New Roman"/>
                <w:b w:val="0"/>
                <w:color w:val="000000"/>
                <w:sz w:val="24"/>
                <w:szCs w:val="22"/>
                <w:lang w:val="en-US" w:eastAsia="zh-CN"/>
              </w:rPr>
              <w:t>1.建立客运索道安全技术档案管理制度，明确档案内容及管理要求；</w:t>
            </w:r>
          </w:p>
          <w:p w14:paraId="403CC657">
            <w:pPr>
              <w:spacing w:line="240" w:lineRule="auto"/>
              <w:ind w:left="0" w:leftChars="0" w:firstLine="0" w:firstLineChars="0"/>
              <w:jc w:val="both"/>
              <w:rPr>
                <w:rFonts w:hint="eastAsia" w:ascii="宋体" w:hAnsi="宋体" w:eastAsia="宋体" w:cs="Times New Roman"/>
                <w:b w:val="0"/>
                <w:color w:val="000000"/>
                <w:sz w:val="24"/>
                <w:szCs w:val="22"/>
                <w:lang w:val="en-US" w:eastAsia="zh-CN"/>
              </w:rPr>
            </w:pPr>
            <w:r>
              <w:rPr>
                <w:rFonts w:hint="eastAsia" w:ascii="宋体" w:hAnsi="宋体" w:eastAsia="宋体" w:cs="Times New Roman"/>
                <w:b w:val="0"/>
                <w:color w:val="000000"/>
                <w:sz w:val="24"/>
                <w:szCs w:val="22"/>
                <w:lang w:val="en-US" w:eastAsia="zh-CN"/>
              </w:rPr>
              <w:t xml:space="preserve">2.按规定逐台建立安全技术档案并及时更新安全技术档案。 </w:t>
            </w:r>
          </w:p>
        </w:tc>
        <w:tc>
          <w:tcPr>
            <w:tcW w:w="1803" w:type="dxa"/>
            <w:vAlign w:val="center"/>
          </w:tcPr>
          <w:p w14:paraId="5583E6A7">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097218DB">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3DDE3125">
            <w:pPr>
              <w:spacing w:line="240" w:lineRule="auto"/>
              <w:ind w:left="0" w:leftChars="0" w:firstLine="0" w:firstLineChars="0"/>
              <w:jc w:val="both"/>
              <w:rPr>
                <w:rFonts w:ascii="宋体" w:hAnsi="宋体" w:eastAsia="宋体" w:cs="Times New Roman"/>
                <w:b w:val="0"/>
                <w:color w:val="000000"/>
                <w:sz w:val="21"/>
                <w:szCs w:val="21"/>
              </w:rPr>
            </w:pPr>
          </w:p>
        </w:tc>
      </w:tr>
      <w:tr w14:paraId="10C8F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824" w:type="dxa"/>
            <w:vAlign w:val="center"/>
          </w:tcPr>
          <w:p w14:paraId="30DA4A41">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8</w:t>
            </w:r>
          </w:p>
        </w:tc>
        <w:tc>
          <w:tcPr>
            <w:tcW w:w="1582" w:type="dxa"/>
            <w:vMerge w:val="continue"/>
            <w:vAlign w:val="center"/>
          </w:tcPr>
          <w:p w14:paraId="41C63353">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4EC8723E">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未按规定办理使用登记、变更登记及停用、报废等手续</w:t>
            </w:r>
          </w:p>
        </w:tc>
        <w:tc>
          <w:tcPr>
            <w:tcW w:w="4077" w:type="dxa"/>
            <w:vAlign w:val="center"/>
          </w:tcPr>
          <w:p w14:paraId="02B61798">
            <w:pPr>
              <w:spacing w:line="240" w:lineRule="auto"/>
              <w:ind w:left="0" w:leftChars="0" w:firstLine="0" w:firstLineChars="0"/>
              <w:jc w:val="both"/>
              <w:rPr>
                <w:rFonts w:hint="eastAsia" w:ascii="宋体" w:hAnsi="宋体" w:eastAsia="宋体" w:cs="Times New Roman"/>
                <w:b w:val="0"/>
                <w:color w:val="000000"/>
                <w:sz w:val="24"/>
                <w:szCs w:val="22"/>
              </w:rPr>
            </w:pPr>
            <w:r>
              <w:rPr>
                <w:rFonts w:hint="eastAsia" w:ascii="宋体" w:hAnsi="宋体" w:eastAsia="宋体" w:cs="Times New Roman"/>
                <w:b w:val="0"/>
                <w:color w:val="000000"/>
                <w:sz w:val="24"/>
                <w:szCs w:val="22"/>
              </w:rPr>
              <w:t>1.建立使用管理制度和规程，明确相关内容及安全管理要求；</w:t>
            </w:r>
          </w:p>
          <w:p w14:paraId="23AB27FE">
            <w:pPr>
              <w:spacing w:line="240" w:lineRule="auto"/>
              <w:ind w:left="0" w:leftChars="0" w:firstLine="0" w:firstLineChars="0"/>
              <w:jc w:val="both"/>
              <w:rPr>
                <w:rFonts w:hint="eastAsia" w:ascii="宋体" w:hAnsi="宋体" w:eastAsia="宋体" w:cs="Times New Roman"/>
                <w:b w:val="0"/>
                <w:color w:val="000000"/>
                <w:sz w:val="24"/>
                <w:szCs w:val="22"/>
              </w:rPr>
            </w:pPr>
            <w:r>
              <w:rPr>
                <w:rFonts w:hint="eastAsia" w:ascii="宋体" w:hAnsi="宋体" w:eastAsia="宋体" w:cs="Times New Roman"/>
                <w:b w:val="0"/>
                <w:color w:val="000000"/>
                <w:sz w:val="24"/>
                <w:szCs w:val="22"/>
              </w:rPr>
              <w:t>2. 按规定办理使用登记、变更登记及停用、报废手续。</w:t>
            </w:r>
          </w:p>
        </w:tc>
        <w:tc>
          <w:tcPr>
            <w:tcW w:w="1803" w:type="dxa"/>
            <w:vAlign w:val="center"/>
          </w:tcPr>
          <w:p w14:paraId="40D5CC2D">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477E5329">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17B9FE0D">
            <w:pPr>
              <w:spacing w:line="240" w:lineRule="auto"/>
              <w:ind w:left="0" w:leftChars="0" w:firstLine="0" w:firstLineChars="0"/>
              <w:jc w:val="both"/>
              <w:rPr>
                <w:rFonts w:ascii="宋体" w:hAnsi="宋体" w:eastAsia="宋体" w:cs="Times New Roman"/>
                <w:b w:val="0"/>
                <w:color w:val="000000"/>
                <w:sz w:val="21"/>
                <w:szCs w:val="21"/>
              </w:rPr>
            </w:pPr>
          </w:p>
        </w:tc>
      </w:tr>
      <w:tr w14:paraId="25379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824" w:type="dxa"/>
            <w:vAlign w:val="center"/>
          </w:tcPr>
          <w:p w14:paraId="1BC92D42">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9</w:t>
            </w:r>
          </w:p>
        </w:tc>
        <w:tc>
          <w:tcPr>
            <w:tcW w:w="1582" w:type="dxa"/>
            <w:vMerge w:val="continue"/>
            <w:vAlign w:val="center"/>
          </w:tcPr>
          <w:p w14:paraId="1DBD6142">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65E23AA3">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未按规定制定客运索道事故应急专项预案并定期演练</w:t>
            </w:r>
          </w:p>
        </w:tc>
        <w:tc>
          <w:tcPr>
            <w:tcW w:w="4077" w:type="dxa"/>
            <w:vAlign w:val="center"/>
          </w:tcPr>
          <w:p w14:paraId="68343C4F">
            <w:pPr>
              <w:spacing w:line="240" w:lineRule="auto"/>
              <w:ind w:left="0" w:leftChars="0" w:firstLine="0" w:firstLineChars="0"/>
              <w:jc w:val="both"/>
              <w:rPr>
                <w:rFonts w:hint="eastAsia" w:ascii="宋体" w:hAnsi="宋体" w:eastAsia="宋体" w:cs="Times New Roman"/>
                <w:b w:val="0"/>
                <w:color w:val="000000"/>
                <w:sz w:val="24"/>
                <w:szCs w:val="22"/>
              </w:rPr>
            </w:pPr>
            <w:r>
              <w:rPr>
                <w:rFonts w:hint="eastAsia" w:ascii="宋体" w:hAnsi="宋体" w:eastAsia="宋体" w:cs="Times New Roman"/>
                <w:b w:val="0"/>
                <w:color w:val="000000"/>
                <w:sz w:val="24"/>
                <w:szCs w:val="22"/>
              </w:rPr>
              <w:t>制定客运索道事故应急专项预案并每年至少开展1次演练</w:t>
            </w:r>
          </w:p>
        </w:tc>
        <w:tc>
          <w:tcPr>
            <w:tcW w:w="1803" w:type="dxa"/>
            <w:vAlign w:val="center"/>
          </w:tcPr>
          <w:p w14:paraId="0648C307">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月调度</w:t>
            </w:r>
          </w:p>
        </w:tc>
        <w:tc>
          <w:tcPr>
            <w:tcW w:w="1293" w:type="dxa"/>
            <w:vAlign w:val="center"/>
          </w:tcPr>
          <w:p w14:paraId="67708A1A">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主要负责人</w:t>
            </w:r>
          </w:p>
        </w:tc>
        <w:tc>
          <w:tcPr>
            <w:tcW w:w="890" w:type="dxa"/>
          </w:tcPr>
          <w:p w14:paraId="3B334396">
            <w:pPr>
              <w:spacing w:line="240" w:lineRule="auto"/>
              <w:ind w:left="0" w:leftChars="0" w:firstLine="0" w:firstLineChars="0"/>
              <w:jc w:val="both"/>
              <w:rPr>
                <w:rFonts w:ascii="宋体" w:hAnsi="宋体" w:eastAsia="宋体" w:cs="Times New Roman"/>
                <w:b w:val="0"/>
                <w:color w:val="000000"/>
                <w:sz w:val="21"/>
                <w:szCs w:val="21"/>
              </w:rPr>
            </w:pPr>
          </w:p>
        </w:tc>
      </w:tr>
      <w:tr w14:paraId="2185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824" w:type="dxa"/>
            <w:vAlign w:val="center"/>
          </w:tcPr>
          <w:p w14:paraId="4C04FD73">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10</w:t>
            </w:r>
          </w:p>
        </w:tc>
        <w:tc>
          <w:tcPr>
            <w:tcW w:w="1582" w:type="dxa"/>
            <w:vMerge w:val="restart"/>
            <w:vAlign w:val="center"/>
          </w:tcPr>
          <w:p w14:paraId="7C71A79A">
            <w:pPr>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客运索道</w:t>
            </w:r>
          </w:p>
          <w:p w14:paraId="666B59C4">
            <w:pPr>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本体</w:t>
            </w:r>
          </w:p>
        </w:tc>
        <w:tc>
          <w:tcPr>
            <w:tcW w:w="3354" w:type="dxa"/>
            <w:vAlign w:val="center"/>
          </w:tcPr>
          <w:p w14:paraId="1D2F509E">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选用国家明令禁止或淘汰的客运索道产品</w:t>
            </w:r>
          </w:p>
        </w:tc>
        <w:tc>
          <w:tcPr>
            <w:tcW w:w="4077" w:type="dxa"/>
            <w:vAlign w:val="center"/>
          </w:tcPr>
          <w:p w14:paraId="1A70DBF6">
            <w:pPr>
              <w:spacing w:line="240" w:lineRule="auto"/>
              <w:ind w:left="0" w:leftChars="0" w:firstLine="0" w:firstLineChars="0"/>
              <w:jc w:val="both"/>
              <w:rPr>
                <w:rFonts w:hint="eastAsia" w:ascii="宋体" w:hAnsi="宋体" w:eastAsia="宋体" w:cs="Times New Roman"/>
                <w:b w:val="0"/>
                <w:color w:val="000000"/>
                <w:sz w:val="24"/>
                <w:szCs w:val="22"/>
                <w:lang w:val="en-US" w:eastAsia="zh-CN"/>
              </w:rPr>
            </w:pPr>
            <w:r>
              <w:rPr>
                <w:rFonts w:hint="eastAsia" w:ascii="宋体" w:hAnsi="宋体" w:eastAsia="宋体" w:cs="Times New Roman"/>
                <w:b w:val="0"/>
                <w:color w:val="000000"/>
                <w:sz w:val="24"/>
                <w:szCs w:val="22"/>
                <w:lang w:val="en-US" w:eastAsia="zh-CN"/>
              </w:rPr>
              <w:t>建立采购管理制度，明确采购、验收要求</w:t>
            </w:r>
          </w:p>
        </w:tc>
        <w:tc>
          <w:tcPr>
            <w:tcW w:w="1803" w:type="dxa"/>
            <w:vAlign w:val="center"/>
          </w:tcPr>
          <w:p w14:paraId="6E156707">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月调度</w:t>
            </w:r>
          </w:p>
        </w:tc>
        <w:tc>
          <w:tcPr>
            <w:tcW w:w="1293" w:type="dxa"/>
            <w:vAlign w:val="center"/>
          </w:tcPr>
          <w:p w14:paraId="7FC79D4D">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主要负责人</w:t>
            </w:r>
          </w:p>
        </w:tc>
        <w:tc>
          <w:tcPr>
            <w:tcW w:w="890" w:type="dxa"/>
          </w:tcPr>
          <w:p w14:paraId="5A584993">
            <w:pPr>
              <w:spacing w:line="240" w:lineRule="auto"/>
              <w:ind w:left="0" w:leftChars="0" w:firstLine="0" w:firstLineChars="0"/>
              <w:jc w:val="both"/>
              <w:rPr>
                <w:rFonts w:ascii="宋体" w:hAnsi="宋体" w:eastAsia="宋体" w:cs="Times New Roman"/>
                <w:b w:val="0"/>
                <w:color w:val="000000"/>
                <w:sz w:val="21"/>
                <w:szCs w:val="21"/>
              </w:rPr>
            </w:pPr>
          </w:p>
        </w:tc>
      </w:tr>
      <w:tr w14:paraId="2A5D0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jc w:val="center"/>
        </w:trPr>
        <w:tc>
          <w:tcPr>
            <w:tcW w:w="824" w:type="dxa"/>
            <w:vAlign w:val="center"/>
          </w:tcPr>
          <w:p w14:paraId="421EC1C1">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11</w:t>
            </w:r>
          </w:p>
        </w:tc>
        <w:tc>
          <w:tcPr>
            <w:tcW w:w="1582" w:type="dxa"/>
            <w:vMerge w:val="continue"/>
            <w:vAlign w:val="center"/>
          </w:tcPr>
          <w:p w14:paraId="77276D98">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7C9D4BAA">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未按规定进行试运行和例行安全检查</w:t>
            </w:r>
          </w:p>
        </w:tc>
        <w:tc>
          <w:tcPr>
            <w:tcW w:w="4077" w:type="dxa"/>
            <w:vAlign w:val="center"/>
          </w:tcPr>
          <w:p w14:paraId="676EC2AF">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1.制定试运行方案，试运行过程中的技术、安全保障措施，在每日投入使用前，按规定进行试运行并做好相应记录；</w:t>
            </w:r>
          </w:p>
          <w:p w14:paraId="5EFDF415">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2.在每日投入使用前，按操作规程进行例行安全检查。</w:t>
            </w:r>
          </w:p>
        </w:tc>
        <w:tc>
          <w:tcPr>
            <w:tcW w:w="1803" w:type="dxa"/>
            <w:vAlign w:val="center"/>
          </w:tcPr>
          <w:p w14:paraId="164662A3">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3F8E0B61">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59AFA04C">
            <w:pPr>
              <w:spacing w:line="240" w:lineRule="auto"/>
              <w:ind w:left="0" w:leftChars="0" w:firstLine="0" w:firstLineChars="0"/>
              <w:jc w:val="both"/>
              <w:rPr>
                <w:rFonts w:ascii="宋体" w:hAnsi="宋体" w:eastAsia="宋体" w:cs="Times New Roman"/>
                <w:b w:val="0"/>
                <w:color w:val="000000"/>
                <w:sz w:val="21"/>
                <w:szCs w:val="21"/>
              </w:rPr>
            </w:pPr>
          </w:p>
        </w:tc>
      </w:tr>
      <w:tr w14:paraId="06AFD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824" w:type="dxa"/>
            <w:vAlign w:val="center"/>
          </w:tcPr>
          <w:p w14:paraId="573C85D9">
            <w:pPr>
              <w:spacing w:line="240" w:lineRule="exact"/>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12</w:t>
            </w:r>
          </w:p>
        </w:tc>
        <w:tc>
          <w:tcPr>
            <w:tcW w:w="1582" w:type="dxa"/>
            <w:vMerge w:val="continue"/>
            <w:vAlign w:val="center"/>
          </w:tcPr>
          <w:p w14:paraId="717E8442">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4DB34EAF">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未按规定进行维护保养和自行检查</w:t>
            </w:r>
          </w:p>
        </w:tc>
        <w:tc>
          <w:tcPr>
            <w:tcW w:w="4077" w:type="dxa"/>
            <w:vAlign w:val="center"/>
          </w:tcPr>
          <w:p w14:paraId="7D007EC0">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按规定制定维护保养制度和定期自行检查制度，组织开展维护保养和定期自行检查并做好相应记录</w:t>
            </w:r>
          </w:p>
        </w:tc>
        <w:tc>
          <w:tcPr>
            <w:tcW w:w="1803" w:type="dxa"/>
            <w:vAlign w:val="center"/>
          </w:tcPr>
          <w:p w14:paraId="1199AD6B">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日管控</w:t>
            </w:r>
          </w:p>
        </w:tc>
        <w:tc>
          <w:tcPr>
            <w:tcW w:w="1293" w:type="dxa"/>
            <w:vAlign w:val="center"/>
          </w:tcPr>
          <w:p w14:paraId="4C6C358B">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安全员</w:t>
            </w:r>
          </w:p>
        </w:tc>
        <w:tc>
          <w:tcPr>
            <w:tcW w:w="890" w:type="dxa"/>
          </w:tcPr>
          <w:p w14:paraId="630AE092">
            <w:pPr>
              <w:spacing w:line="240" w:lineRule="auto"/>
              <w:ind w:left="0" w:leftChars="0" w:firstLine="0" w:firstLineChars="0"/>
              <w:jc w:val="both"/>
              <w:rPr>
                <w:rFonts w:ascii="宋体" w:hAnsi="宋体" w:eastAsia="宋体" w:cs="Times New Roman"/>
                <w:b w:val="0"/>
                <w:color w:val="000000"/>
                <w:sz w:val="21"/>
                <w:szCs w:val="21"/>
              </w:rPr>
            </w:pPr>
          </w:p>
        </w:tc>
      </w:tr>
      <w:tr w14:paraId="6D121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824" w:type="dxa"/>
            <w:vAlign w:val="center"/>
          </w:tcPr>
          <w:p w14:paraId="2AD7C52B">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13</w:t>
            </w:r>
          </w:p>
        </w:tc>
        <w:tc>
          <w:tcPr>
            <w:tcW w:w="1582" w:type="dxa"/>
            <w:vMerge w:val="continue"/>
            <w:vAlign w:val="center"/>
          </w:tcPr>
          <w:p w14:paraId="5D2FA653">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04F37905">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 xml:space="preserve">未按规定进行定期检验、监督检验 </w:t>
            </w:r>
          </w:p>
        </w:tc>
        <w:tc>
          <w:tcPr>
            <w:tcW w:w="4077" w:type="dxa"/>
            <w:vAlign w:val="center"/>
          </w:tcPr>
          <w:p w14:paraId="73B5A138">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制定定期检验、监督检验计划并组织实施，落实定期检验、监督检验的后续整改工作</w:t>
            </w:r>
          </w:p>
        </w:tc>
        <w:tc>
          <w:tcPr>
            <w:tcW w:w="1803" w:type="dxa"/>
            <w:vAlign w:val="center"/>
          </w:tcPr>
          <w:p w14:paraId="64012E50">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0E7DF302">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7E8F1F1E">
            <w:pPr>
              <w:spacing w:line="240" w:lineRule="auto"/>
              <w:ind w:left="0" w:leftChars="0" w:firstLine="0" w:firstLineChars="0"/>
              <w:jc w:val="both"/>
              <w:rPr>
                <w:rFonts w:ascii="宋体" w:hAnsi="宋体" w:eastAsia="宋体" w:cs="Times New Roman"/>
                <w:b w:val="0"/>
                <w:color w:val="000000"/>
                <w:sz w:val="21"/>
                <w:szCs w:val="21"/>
              </w:rPr>
            </w:pPr>
          </w:p>
        </w:tc>
      </w:tr>
      <w:tr w14:paraId="1C5B4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824" w:type="dxa"/>
            <w:vAlign w:val="center"/>
          </w:tcPr>
          <w:p w14:paraId="1A711944">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14</w:t>
            </w:r>
          </w:p>
        </w:tc>
        <w:tc>
          <w:tcPr>
            <w:tcW w:w="1582" w:type="dxa"/>
            <w:vMerge w:val="restart"/>
            <w:vAlign w:val="center"/>
          </w:tcPr>
          <w:p w14:paraId="35C610AB">
            <w:pPr>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安全附件、</w:t>
            </w:r>
          </w:p>
          <w:p w14:paraId="20C904F5">
            <w:pPr>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安全保护装置和相关附属设施</w:t>
            </w:r>
          </w:p>
        </w:tc>
        <w:tc>
          <w:tcPr>
            <w:tcW w:w="3354" w:type="dxa"/>
            <w:vAlign w:val="center"/>
          </w:tcPr>
          <w:p w14:paraId="7947F6CE">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未将安全使用说明、安全注意事项、警示标志和乘客须知置于易于为乘客注意的显著位置</w:t>
            </w:r>
          </w:p>
        </w:tc>
        <w:tc>
          <w:tcPr>
            <w:tcW w:w="4077" w:type="dxa"/>
            <w:vAlign w:val="center"/>
          </w:tcPr>
          <w:p w14:paraId="0C204F15">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1.将客运索道安全使用标志悬挂或者固定在易于乘客注意的显著位置；在上下站醒目位置设置索道乘坐须知；通过广播电视宣传乘坐索道安全注意事项；人工提醒乘客；</w:t>
            </w:r>
          </w:p>
          <w:p w14:paraId="72343234">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2.在上下站台行车区设置禁止入内安全标识；提醒乘客每车乘人数；上车区、下车区域划线标识；人工提醒乘客安全注意事项；每天检查标识完整性。</w:t>
            </w:r>
          </w:p>
        </w:tc>
        <w:tc>
          <w:tcPr>
            <w:tcW w:w="1803" w:type="dxa"/>
            <w:vAlign w:val="center"/>
          </w:tcPr>
          <w:p w14:paraId="6F338BE3">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日管控</w:t>
            </w:r>
          </w:p>
        </w:tc>
        <w:tc>
          <w:tcPr>
            <w:tcW w:w="1293" w:type="dxa"/>
            <w:vAlign w:val="center"/>
          </w:tcPr>
          <w:p w14:paraId="39D4327C">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安全员</w:t>
            </w:r>
          </w:p>
        </w:tc>
        <w:tc>
          <w:tcPr>
            <w:tcW w:w="890" w:type="dxa"/>
          </w:tcPr>
          <w:p w14:paraId="6CE80E98">
            <w:pPr>
              <w:spacing w:line="240" w:lineRule="auto"/>
              <w:ind w:left="0" w:leftChars="0" w:firstLine="0" w:firstLineChars="0"/>
              <w:jc w:val="both"/>
              <w:rPr>
                <w:rFonts w:ascii="宋体" w:hAnsi="宋体" w:eastAsia="宋体" w:cs="Times New Roman"/>
                <w:b w:val="0"/>
                <w:color w:val="000000"/>
                <w:sz w:val="21"/>
                <w:szCs w:val="21"/>
              </w:rPr>
            </w:pPr>
          </w:p>
        </w:tc>
      </w:tr>
      <w:tr w14:paraId="32FBB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824" w:type="dxa"/>
            <w:vAlign w:val="center"/>
          </w:tcPr>
          <w:p w14:paraId="2E775136">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15</w:t>
            </w:r>
          </w:p>
        </w:tc>
        <w:tc>
          <w:tcPr>
            <w:tcW w:w="1582" w:type="dxa"/>
            <w:vMerge w:val="continue"/>
            <w:vAlign w:val="center"/>
          </w:tcPr>
          <w:p w14:paraId="10103D8B">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68D49674">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安全保护装置不齐全或失效</w:t>
            </w:r>
          </w:p>
        </w:tc>
        <w:tc>
          <w:tcPr>
            <w:tcW w:w="4077" w:type="dxa"/>
            <w:vAlign w:val="center"/>
          </w:tcPr>
          <w:p w14:paraId="50257FD5">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1.制定安全保护装置定期试验、校验、维护保养管理制度，并严格执行；</w:t>
            </w:r>
          </w:p>
          <w:p w14:paraId="22C74982">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2.落实专人每日检查安全保护装置的完好性；及时修理或恢复。</w:t>
            </w:r>
          </w:p>
        </w:tc>
        <w:tc>
          <w:tcPr>
            <w:tcW w:w="1803" w:type="dxa"/>
            <w:vAlign w:val="center"/>
          </w:tcPr>
          <w:p w14:paraId="1133B069">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日管控</w:t>
            </w:r>
          </w:p>
        </w:tc>
        <w:tc>
          <w:tcPr>
            <w:tcW w:w="1293" w:type="dxa"/>
            <w:vAlign w:val="center"/>
          </w:tcPr>
          <w:p w14:paraId="5A3C655B">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安全员</w:t>
            </w:r>
          </w:p>
        </w:tc>
        <w:tc>
          <w:tcPr>
            <w:tcW w:w="890" w:type="dxa"/>
          </w:tcPr>
          <w:p w14:paraId="6F9ABD65">
            <w:pPr>
              <w:spacing w:line="240" w:lineRule="auto"/>
              <w:ind w:left="0" w:leftChars="0" w:firstLine="0" w:firstLineChars="0"/>
              <w:jc w:val="both"/>
              <w:rPr>
                <w:rFonts w:ascii="宋体" w:hAnsi="宋体" w:eastAsia="宋体" w:cs="Times New Roman"/>
                <w:b w:val="0"/>
                <w:color w:val="000000"/>
                <w:sz w:val="24"/>
                <w:szCs w:val="22"/>
              </w:rPr>
            </w:pPr>
          </w:p>
        </w:tc>
      </w:tr>
      <w:tr w14:paraId="675F1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824" w:type="dxa"/>
            <w:vAlign w:val="center"/>
          </w:tcPr>
          <w:p w14:paraId="7D2CD951">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宋体"/>
                <w:b w:val="0"/>
                <w:color w:val="000000"/>
                <w:sz w:val="24"/>
                <w:szCs w:val="22"/>
              </w:rPr>
              <w:t>16</w:t>
            </w:r>
          </w:p>
        </w:tc>
        <w:tc>
          <w:tcPr>
            <w:tcW w:w="1582" w:type="dxa"/>
            <w:vMerge w:val="continue"/>
            <w:vAlign w:val="center"/>
          </w:tcPr>
          <w:p w14:paraId="5985165B">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1AC1D847">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紧急驱动装置、避雷设施、风速风向仪、通讯设施、救护设备及救援通道、消防设施、隔离栏杆和活动门栏、站台防滑设施等相关附属设施未配备或不能正常使用</w:t>
            </w:r>
          </w:p>
        </w:tc>
        <w:tc>
          <w:tcPr>
            <w:tcW w:w="4077" w:type="dxa"/>
            <w:vAlign w:val="center"/>
          </w:tcPr>
          <w:p w14:paraId="6B3702FC">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落实专人定期开展巡回检查，发现异常，按规定进行报告和处理</w:t>
            </w:r>
          </w:p>
        </w:tc>
        <w:tc>
          <w:tcPr>
            <w:tcW w:w="1803" w:type="dxa"/>
            <w:vAlign w:val="center"/>
          </w:tcPr>
          <w:p w14:paraId="20FB9255">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23A721EB">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72C5FFB2">
            <w:pPr>
              <w:spacing w:line="240" w:lineRule="auto"/>
              <w:ind w:left="0" w:leftChars="0" w:firstLine="0" w:firstLineChars="0"/>
              <w:jc w:val="both"/>
              <w:rPr>
                <w:rFonts w:ascii="宋体" w:hAnsi="宋体" w:eastAsia="宋体" w:cs="Times New Roman"/>
                <w:b w:val="0"/>
                <w:color w:val="000000"/>
                <w:sz w:val="24"/>
                <w:szCs w:val="22"/>
              </w:rPr>
            </w:pPr>
          </w:p>
        </w:tc>
      </w:tr>
      <w:tr w14:paraId="2EB0B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824" w:type="dxa"/>
            <w:vMerge w:val="restart"/>
            <w:vAlign w:val="center"/>
          </w:tcPr>
          <w:p w14:paraId="6122D8F9">
            <w:pPr>
              <w:spacing w:line="240" w:lineRule="exact"/>
              <w:ind w:left="0" w:leftChars="0" w:firstLine="0" w:firstLineChars="0"/>
              <w:jc w:val="center"/>
              <w:rPr>
                <w:rFonts w:ascii="宋体" w:hAnsi="宋体" w:eastAsia="宋体" w:cs="宋体"/>
                <w:b w:val="0"/>
                <w:color w:val="000000"/>
                <w:sz w:val="24"/>
                <w:szCs w:val="22"/>
              </w:rPr>
            </w:pPr>
            <w:r>
              <w:rPr>
                <w:rFonts w:hint="eastAsia" w:ascii="宋体" w:hAnsi="宋体" w:eastAsia="宋体" w:cs="Times New Roman"/>
                <w:b w:val="0"/>
                <w:color w:val="000000"/>
                <w:kern w:val="0"/>
                <w:sz w:val="24"/>
                <w:szCs w:val="22"/>
              </w:rPr>
              <w:t>17</w:t>
            </w:r>
          </w:p>
        </w:tc>
        <w:tc>
          <w:tcPr>
            <w:tcW w:w="1582" w:type="dxa"/>
            <w:vMerge w:val="restart"/>
            <w:vAlign w:val="center"/>
          </w:tcPr>
          <w:p w14:paraId="43B2364B">
            <w:pPr>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环境因素</w:t>
            </w:r>
          </w:p>
        </w:tc>
        <w:tc>
          <w:tcPr>
            <w:tcW w:w="3354" w:type="dxa"/>
            <w:vAlign w:val="center"/>
          </w:tcPr>
          <w:p w14:paraId="5FEEC9C4">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客运索道线路和站址建在下列地区：山地风口，并与主导风向正交的地段上；</w:t>
            </w:r>
            <w:r>
              <w:rPr>
                <w:rFonts w:hint="eastAsia" w:ascii="宋体" w:hAnsi="宋体" w:eastAsia="宋体" w:cs="Times New Roman"/>
                <w:b w:val="0"/>
                <w:color w:val="000000"/>
                <w:sz w:val="24"/>
                <w:szCs w:val="24"/>
              </w:rPr>
              <w:t>客运索道线路与平行和交叉设施位置关系不符合相关规定要求</w:t>
            </w:r>
          </w:p>
        </w:tc>
        <w:tc>
          <w:tcPr>
            <w:tcW w:w="4077" w:type="dxa"/>
            <w:vAlign w:val="center"/>
          </w:tcPr>
          <w:p w14:paraId="66E54521">
            <w:pPr>
              <w:spacing w:line="240" w:lineRule="auto"/>
              <w:ind w:left="0" w:leftChars="0" w:firstLine="0" w:firstLineChars="0"/>
              <w:jc w:val="both"/>
              <w:rPr>
                <w:rFonts w:ascii="宋体" w:hAnsi="宋体" w:eastAsia="宋体" w:cs="Times New Roman"/>
                <w:b w:val="0"/>
                <w:color w:val="000000"/>
                <w:sz w:val="24"/>
                <w:szCs w:val="22"/>
              </w:rPr>
            </w:pPr>
            <w:r>
              <w:rPr>
                <w:rFonts w:ascii="宋体" w:hAnsi="宋体" w:eastAsia="宋体" w:cs="Times New Roman"/>
                <w:b w:val="0"/>
                <w:color w:val="000000"/>
                <w:sz w:val="24"/>
                <w:szCs w:val="22"/>
              </w:rPr>
              <w:t>设计索道时按照</w:t>
            </w:r>
            <w:r>
              <w:rPr>
                <w:rFonts w:hint="eastAsia" w:ascii="宋体" w:hAnsi="宋体" w:eastAsia="宋体" w:cs="Times New Roman"/>
                <w:b w:val="0"/>
                <w:color w:val="000000"/>
                <w:sz w:val="24"/>
                <w:szCs w:val="22"/>
              </w:rPr>
              <w:t>安全技术规范</w:t>
            </w:r>
            <w:r>
              <w:rPr>
                <w:rFonts w:ascii="宋体" w:hAnsi="宋体" w:eastAsia="宋体" w:cs="Times New Roman"/>
                <w:b w:val="0"/>
                <w:color w:val="000000"/>
                <w:sz w:val="24"/>
                <w:szCs w:val="22"/>
              </w:rPr>
              <w:t>进行选址，避开风险区域</w:t>
            </w:r>
          </w:p>
        </w:tc>
        <w:tc>
          <w:tcPr>
            <w:tcW w:w="1803" w:type="dxa"/>
            <w:vAlign w:val="center"/>
          </w:tcPr>
          <w:p w14:paraId="4F7FE446">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631A9774">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48F51EBA">
            <w:pPr>
              <w:spacing w:line="240" w:lineRule="auto"/>
              <w:ind w:left="0" w:leftChars="0" w:firstLine="0" w:firstLineChars="0"/>
              <w:jc w:val="both"/>
              <w:rPr>
                <w:rFonts w:ascii="宋体" w:hAnsi="宋体" w:eastAsia="宋体" w:cs="Times New Roman"/>
                <w:b w:val="0"/>
                <w:color w:val="000000"/>
                <w:sz w:val="21"/>
                <w:szCs w:val="21"/>
              </w:rPr>
            </w:pPr>
          </w:p>
        </w:tc>
      </w:tr>
      <w:tr w14:paraId="1714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824" w:type="dxa"/>
            <w:vMerge w:val="continue"/>
            <w:vAlign w:val="center"/>
          </w:tcPr>
          <w:p w14:paraId="148226EC">
            <w:pPr>
              <w:spacing w:line="240" w:lineRule="exact"/>
              <w:ind w:left="0" w:leftChars="0" w:firstLine="0" w:firstLineChars="0"/>
              <w:jc w:val="center"/>
              <w:rPr>
                <w:rFonts w:ascii="宋体" w:hAnsi="宋体" w:eastAsia="宋体" w:cs="Times New Roman"/>
                <w:b w:val="0"/>
                <w:color w:val="000000"/>
                <w:kern w:val="0"/>
                <w:sz w:val="24"/>
                <w:szCs w:val="22"/>
              </w:rPr>
            </w:pPr>
          </w:p>
        </w:tc>
        <w:tc>
          <w:tcPr>
            <w:tcW w:w="1582" w:type="dxa"/>
            <w:vMerge w:val="continue"/>
            <w:vAlign w:val="center"/>
          </w:tcPr>
          <w:p w14:paraId="17BD7C3A">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427183B0">
            <w:pPr>
              <w:spacing w:line="240" w:lineRule="auto"/>
              <w:ind w:left="0" w:leftChars="0" w:firstLine="0" w:firstLineChars="0"/>
              <w:jc w:val="both"/>
              <w:rPr>
                <w:rFonts w:ascii="宋体" w:hAnsi="宋体" w:eastAsia="宋体" w:cs="Times New Roman"/>
                <w:b w:val="0"/>
                <w:color w:val="000000"/>
                <w:sz w:val="24"/>
                <w:szCs w:val="24"/>
              </w:rPr>
            </w:pPr>
            <w:r>
              <w:rPr>
                <w:rFonts w:hint="eastAsia" w:ascii="宋体" w:hAnsi="宋体" w:eastAsia="宋体" w:cs="Times New Roman"/>
                <w:b w:val="0"/>
                <w:color w:val="000000"/>
                <w:sz w:val="24"/>
                <w:szCs w:val="22"/>
              </w:rPr>
              <w:t>有雪崩、滑坡、塌方、溶洞、风暴、海啸、洪水、火灾等危及索道安全的地区，未经过主管部门批准并采取预防措施的</w:t>
            </w:r>
          </w:p>
        </w:tc>
        <w:tc>
          <w:tcPr>
            <w:tcW w:w="4077" w:type="dxa"/>
            <w:vAlign w:val="center"/>
          </w:tcPr>
          <w:p w14:paraId="0DCFF052">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定期</w:t>
            </w:r>
            <w:r>
              <w:rPr>
                <w:rFonts w:ascii="宋体" w:hAnsi="宋体" w:eastAsia="宋体" w:cs="Times New Roman"/>
                <w:b w:val="0"/>
                <w:color w:val="000000"/>
                <w:sz w:val="24"/>
                <w:szCs w:val="22"/>
              </w:rPr>
              <w:t>对索道周边环境进行排查，发现危及索道安全的情况及时停运处置</w:t>
            </w:r>
          </w:p>
        </w:tc>
        <w:tc>
          <w:tcPr>
            <w:tcW w:w="1803" w:type="dxa"/>
            <w:vAlign w:val="center"/>
          </w:tcPr>
          <w:p w14:paraId="7048DABF">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周排查</w:t>
            </w:r>
          </w:p>
        </w:tc>
        <w:tc>
          <w:tcPr>
            <w:tcW w:w="1293" w:type="dxa"/>
            <w:vAlign w:val="center"/>
          </w:tcPr>
          <w:p w14:paraId="727BE556">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安全总监</w:t>
            </w:r>
          </w:p>
        </w:tc>
        <w:tc>
          <w:tcPr>
            <w:tcW w:w="890" w:type="dxa"/>
          </w:tcPr>
          <w:p w14:paraId="3599F82E">
            <w:pPr>
              <w:spacing w:line="240" w:lineRule="auto"/>
              <w:ind w:left="0" w:leftChars="0" w:firstLine="0" w:firstLineChars="0"/>
              <w:jc w:val="both"/>
              <w:rPr>
                <w:rFonts w:ascii="宋体" w:hAnsi="宋体" w:eastAsia="宋体" w:cs="Times New Roman"/>
                <w:b w:val="0"/>
                <w:color w:val="000000"/>
                <w:sz w:val="21"/>
                <w:szCs w:val="21"/>
              </w:rPr>
            </w:pPr>
          </w:p>
        </w:tc>
      </w:tr>
      <w:tr w14:paraId="3FF1A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824" w:type="dxa"/>
            <w:vMerge w:val="continue"/>
            <w:vAlign w:val="center"/>
          </w:tcPr>
          <w:p w14:paraId="5D391D47">
            <w:pPr>
              <w:spacing w:line="240" w:lineRule="exact"/>
              <w:ind w:left="0" w:leftChars="0" w:firstLine="0" w:firstLineChars="0"/>
              <w:jc w:val="center"/>
              <w:rPr>
                <w:rFonts w:ascii="宋体" w:hAnsi="宋体" w:eastAsia="宋体" w:cs="Times New Roman"/>
                <w:b w:val="0"/>
                <w:color w:val="000000"/>
                <w:kern w:val="0"/>
                <w:sz w:val="24"/>
                <w:szCs w:val="22"/>
              </w:rPr>
            </w:pPr>
          </w:p>
        </w:tc>
        <w:tc>
          <w:tcPr>
            <w:tcW w:w="1582" w:type="dxa"/>
            <w:vMerge w:val="continue"/>
            <w:vAlign w:val="center"/>
          </w:tcPr>
          <w:p w14:paraId="6F7EF95A">
            <w:pPr>
              <w:spacing w:line="240" w:lineRule="auto"/>
              <w:ind w:left="0" w:leftChars="0" w:firstLine="0" w:firstLineChars="0"/>
              <w:jc w:val="center"/>
              <w:rPr>
                <w:rFonts w:ascii="宋体" w:hAnsi="宋体" w:eastAsia="宋体" w:cs="Times New Roman"/>
                <w:b w:val="0"/>
                <w:color w:val="000000"/>
                <w:sz w:val="24"/>
                <w:szCs w:val="22"/>
              </w:rPr>
            </w:pPr>
          </w:p>
        </w:tc>
        <w:tc>
          <w:tcPr>
            <w:tcW w:w="3354" w:type="dxa"/>
            <w:vAlign w:val="center"/>
          </w:tcPr>
          <w:p w14:paraId="6F7FE664">
            <w:pPr>
              <w:spacing w:line="240" w:lineRule="auto"/>
              <w:ind w:left="0" w:leftChars="0" w:firstLine="0" w:firstLineChars="0"/>
              <w:jc w:val="both"/>
              <w:rPr>
                <w:rFonts w:ascii="宋体" w:hAnsi="宋体" w:eastAsia="宋体" w:cs="Times New Roman"/>
                <w:b w:val="0"/>
                <w:color w:val="000000"/>
                <w:sz w:val="24"/>
                <w:szCs w:val="24"/>
              </w:rPr>
            </w:pPr>
            <w:r>
              <w:rPr>
                <w:rFonts w:hint="eastAsia" w:ascii="宋体" w:hAnsi="宋体" w:eastAsia="宋体" w:cs="Times New Roman"/>
                <w:b w:val="0"/>
                <w:color w:val="000000"/>
                <w:sz w:val="24"/>
                <w:szCs w:val="24"/>
              </w:rPr>
              <w:t>存在运行过程中，设备与岩石、树木碰撞的风险</w:t>
            </w:r>
          </w:p>
        </w:tc>
        <w:tc>
          <w:tcPr>
            <w:tcW w:w="4077" w:type="dxa"/>
            <w:vAlign w:val="center"/>
          </w:tcPr>
          <w:p w14:paraId="61A4BE59">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日常排查、专项排查、及时清理沿线树木及杂物，大风天气及时调整运行速度或停运</w:t>
            </w:r>
          </w:p>
        </w:tc>
        <w:tc>
          <w:tcPr>
            <w:tcW w:w="1803" w:type="dxa"/>
            <w:vAlign w:val="center"/>
          </w:tcPr>
          <w:p w14:paraId="39D00BAD">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日管控</w:t>
            </w:r>
          </w:p>
        </w:tc>
        <w:tc>
          <w:tcPr>
            <w:tcW w:w="1293" w:type="dxa"/>
            <w:vAlign w:val="center"/>
          </w:tcPr>
          <w:p w14:paraId="597ED28D">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安全员</w:t>
            </w:r>
          </w:p>
        </w:tc>
        <w:tc>
          <w:tcPr>
            <w:tcW w:w="890" w:type="dxa"/>
          </w:tcPr>
          <w:p w14:paraId="3B042893">
            <w:pPr>
              <w:spacing w:line="240" w:lineRule="auto"/>
              <w:ind w:left="0" w:leftChars="0" w:firstLine="0" w:firstLineChars="0"/>
              <w:jc w:val="both"/>
              <w:rPr>
                <w:rFonts w:ascii="宋体" w:hAnsi="宋体" w:eastAsia="宋体" w:cs="Times New Roman"/>
                <w:b w:val="0"/>
                <w:color w:val="000000"/>
                <w:sz w:val="21"/>
                <w:szCs w:val="21"/>
              </w:rPr>
            </w:pPr>
          </w:p>
        </w:tc>
      </w:tr>
      <w:tr w14:paraId="57B30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24" w:type="dxa"/>
            <w:vAlign w:val="center"/>
          </w:tcPr>
          <w:p w14:paraId="7EA8F306">
            <w:pPr>
              <w:widowControl/>
              <w:spacing w:line="240" w:lineRule="auto"/>
              <w:ind w:left="0" w:leftChars="0" w:firstLine="24" w:firstLineChars="10"/>
              <w:jc w:val="center"/>
              <w:rPr>
                <w:rFonts w:ascii="宋体" w:hAnsi="宋体" w:eastAsia="宋体" w:cs="Times New Roman"/>
                <w:b w:val="0"/>
                <w:color w:val="000000"/>
                <w:kern w:val="0"/>
                <w:sz w:val="24"/>
                <w:szCs w:val="22"/>
              </w:rPr>
            </w:pPr>
            <w:r>
              <w:rPr>
                <w:rFonts w:hint="eastAsia" w:ascii="宋体" w:hAnsi="宋体" w:eastAsia="宋体" w:cs="Times New Roman"/>
                <w:b w:val="0"/>
                <w:color w:val="000000"/>
                <w:kern w:val="0"/>
                <w:sz w:val="24"/>
                <w:szCs w:val="22"/>
              </w:rPr>
              <w:t>18</w:t>
            </w:r>
          </w:p>
        </w:tc>
        <w:tc>
          <w:tcPr>
            <w:tcW w:w="1582" w:type="dxa"/>
            <w:vAlign w:val="center"/>
          </w:tcPr>
          <w:p w14:paraId="7A288BC6">
            <w:pPr>
              <w:widowControl/>
              <w:spacing w:line="240" w:lineRule="auto"/>
              <w:ind w:left="0" w:leftChars="0" w:firstLine="0" w:firstLineChars="0"/>
              <w:jc w:val="center"/>
              <w:rPr>
                <w:rFonts w:ascii="宋体" w:hAnsi="宋体" w:eastAsia="宋体" w:cs="Times New Roman"/>
                <w:b w:val="0"/>
                <w:color w:val="000000"/>
                <w:kern w:val="0"/>
                <w:sz w:val="24"/>
                <w:szCs w:val="22"/>
              </w:rPr>
            </w:pPr>
            <w:r>
              <w:rPr>
                <w:rFonts w:hint="eastAsia" w:ascii="宋体" w:hAnsi="宋体" w:eastAsia="宋体" w:cs="Times New Roman"/>
                <w:b w:val="0"/>
                <w:color w:val="000000"/>
                <w:sz w:val="24"/>
                <w:szCs w:val="22"/>
              </w:rPr>
              <w:t>政府监督、通报、预警</w:t>
            </w:r>
          </w:p>
        </w:tc>
        <w:tc>
          <w:tcPr>
            <w:tcW w:w="3354" w:type="dxa"/>
            <w:vAlign w:val="center"/>
          </w:tcPr>
          <w:p w14:paraId="53ADFBFC">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发现不合格项</w:t>
            </w:r>
          </w:p>
        </w:tc>
        <w:tc>
          <w:tcPr>
            <w:tcW w:w="4077" w:type="dxa"/>
            <w:vAlign w:val="center"/>
          </w:tcPr>
          <w:p w14:paraId="78D81339">
            <w:pPr>
              <w:spacing w:line="240" w:lineRule="auto"/>
              <w:ind w:left="0" w:leftChars="0" w:firstLine="0" w:firstLineChars="0"/>
              <w:jc w:val="both"/>
              <w:rPr>
                <w:rFonts w:ascii="宋体" w:hAnsi="宋体" w:eastAsia="宋体" w:cs="Times New Roman"/>
                <w:b w:val="0"/>
                <w:color w:val="000000"/>
                <w:sz w:val="24"/>
                <w:szCs w:val="22"/>
              </w:rPr>
            </w:pPr>
            <w:r>
              <w:rPr>
                <w:rFonts w:ascii="宋体" w:hAnsi="宋体" w:eastAsia="宋体" w:cs="Times New Roman"/>
                <w:b w:val="0"/>
                <w:color w:val="000000"/>
                <w:sz w:val="24"/>
                <w:szCs w:val="22"/>
              </w:rPr>
              <w:t>记录，整改</w:t>
            </w:r>
            <w:r>
              <w:rPr>
                <w:rFonts w:hint="eastAsia" w:ascii="宋体" w:hAnsi="宋体" w:eastAsia="宋体" w:cs="Times New Roman"/>
                <w:b w:val="0"/>
                <w:color w:val="000000"/>
                <w:sz w:val="24"/>
                <w:szCs w:val="22"/>
              </w:rPr>
              <w:t>。</w:t>
            </w:r>
          </w:p>
        </w:tc>
        <w:tc>
          <w:tcPr>
            <w:tcW w:w="1803" w:type="dxa"/>
            <w:vAlign w:val="center"/>
          </w:tcPr>
          <w:p w14:paraId="266CF7E4">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月调度</w:t>
            </w:r>
          </w:p>
        </w:tc>
        <w:tc>
          <w:tcPr>
            <w:tcW w:w="1293" w:type="dxa"/>
            <w:vAlign w:val="center"/>
          </w:tcPr>
          <w:p w14:paraId="4F4EC114">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主要负责人</w:t>
            </w:r>
          </w:p>
        </w:tc>
        <w:tc>
          <w:tcPr>
            <w:tcW w:w="890" w:type="dxa"/>
          </w:tcPr>
          <w:p w14:paraId="665DA20C">
            <w:pPr>
              <w:spacing w:line="240" w:lineRule="auto"/>
              <w:ind w:left="0" w:leftChars="0" w:firstLine="0" w:firstLineChars="0"/>
              <w:jc w:val="both"/>
              <w:rPr>
                <w:rFonts w:ascii="宋体" w:hAnsi="宋体" w:eastAsia="宋体" w:cs="Times New Roman"/>
                <w:b w:val="0"/>
                <w:color w:val="000000"/>
                <w:sz w:val="21"/>
                <w:szCs w:val="21"/>
              </w:rPr>
            </w:pPr>
          </w:p>
        </w:tc>
      </w:tr>
      <w:tr w14:paraId="34542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824" w:type="dxa"/>
            <w:vAlign w:val="center"/>
          </w:tcPr>
          <w:p w14:paraId="1616DD99">
            <w:pPr>
              <w:widowControl/>
              <w:spacing w:line="240" w:lineRule="auto"/>
              <w:ind w:left="0" w:leftChars="0" w:firstLine="24" w:firstLineChars="10"/>
              <w:jc w:val="center"/>
              <w:rPr>
                <w:rFonts w:ascii="宋体" w:hAnsi="宋体" w:eastAsia="宋体" w:cs="Times New Roman"/>
                <w:b w:val="0"/>
                <w:color w:val="000000"/>
                <w:kern w:val="0"/>
                <w:sz w:val="24"/>
                <w:szCs w:val="22"/>
              </w:rPr>
            </w:pPr>
            <w:r>
              <w:rPr>
                <w:rFonts w:hint="eastAsia" w:ascii="宋体" w:hAnsi="宋体" w:eastAsia="宋体" w:cs="Times New Roman"/>
                <w:b w:val="0"/>
                <w:color w:val="000000"/>
                <w:kern w:val="0"/>
                <w:sz w:val="24"/>
                <w:szCs w:val="22"/>
              </w:rPr>
              <w:t>19</w:t>
            </w:r>
          </w:p>
        </w:tc>
        <w:tc>
          <w:tcPr>
            <w:tcW w:w="1582" w:type="dxa"/>
            <w:vAlign w:val="center"/>
          </w:tcPr>
          <w:p w14:paraId="25862948">
            <w:pPr>
              <w:widowControl/>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投诉举报</w:t>
            </w:r>
          </w:p>
        </w:tc>
        <w:tc>
          <w:tcPr>
            <w:tcW w:w="3354" w:type="dxa"/>
            <w:vAlign w:val="center"/>
          </w:tcPr>
          <w:p w14:paraId="1E4E82B0">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发现不合格项</w:t>
            </w:r>
          </w:p>
        </w:tc>
        <w:tc>
          <w:tcPr>
            <w:tcW w:w="4077" w:type="dxa"/>
            <w:vAlign w:val="center"/>
          </w:tcPr>
          <w:p w14:paraId="2F6373BB">
            <w:pPr>
              <w:spacing w:line="240" w:lineRule="auto"/>
              <w:ind w:left="0" w:leftChars="0" w:firstLine="0" w:firstLineChars="0"/>
              <w:jc w:val="both"/>
              <w:rPr>
                <w:rFonts w:ascii="宋体" w:hAnsi="宋体" w:eastAsia="宋体" w:cs="Times New Roman"/>
                <w:b w:val="0"/>
                <w:color w:val="000000"/>
                <w:sz w:val="24"/>
                <w:szCs w:val="22"/>
              </w:rPr>
            </w:pPr>
            <w:r>
              <w:rPr>
                <w:rFonts w:ascii="宋体" w:hAnsi="宋体" w:eastAsia="宋体" w:cs="Times New Roman"/>
                <w:b w:val="0"/>
                <w:color w:val="000000"/>
                <w:sz w:val="24"/>
                <w:szCs w:val="22"/>
              </w:rPr>
              <w:t>记录，整改，消除安全隐患</w:t>
            </w:r>
            <w:r>
              <w:rPr>
                <w:rFonts w:hint="eastAsia" w:ascii="宋体" w:hAnsi="宋体" w:eastAsia="宋体" w:cs="Times New Roman"/>
                <w:b w:val="0"/>
                <w:color w:val="000000"/>
                <w:sz w:val="24"/>
                <w:szCs w:val="22"/>
              </w:rPr>
              <w:t>。</w:t>
            </w:r>
          </w:p>
        </w:tc>
        <w:tc>
          <w:tcPr>
            <w:tcW w:w="1803" w:type="dxa"/>
            <w:vAlign w:val="center"/>
          </w:tcPr>
          <w:p w14:paraId="45FCD767">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月调度</w:t>
            </w:r>
          </w:p>
        </w:tc>
        <w:tc>
          <w:tcPr>
            <w:tcW w:w="1293" w:type="dxa"/>
            <w:vAlign w:val="center"/>
          </w:tcPr>
          <w:p w14:paraId="06838105">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主要负责人</w:t>
            </w:r>
          </w:p>
        </w:tc>
        <w:tc>
          <w:tcPr>
            <w:tcW w:w="890" w:type="dxa"/>
          </w:tcPr>
          <w:p w14:paraId="2A77585F">
            <w:pPr>
              <w:spacing w:line="240" w:lineRule="auto"/>
              <w:ind w:left="0" w:leftChars="0" w:firstLine="0" w:firstLineChars="0"/>
              <w:jc w:val="both"/>
              <w:rPr>
                <w:rFonts w:ascii="宋体" w:hAnsi="宋体" w:eastAsia="宋体" w:cs="Times New Roman"/>
                <w:b w:val="0"/>
                <w:color w:val="000000"/>
                <w:sz w:val="21"/>
                <w:szCs w:val="21"/>
              </w:rPr>
            </w:pPr>
          </w:p>
        </w:tc>
      </w:tr>
      <w:tr w14:paraId="415A4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824" w:type="dxa"/>
            <w:vAlign w:val="center"/>
          </w:tcPr>
          <w:p w14:paraId="65ADBE17">
            <w:pPr>
              <w:widowControl/>
              <w:spacing w:line="240" w:lineRule="auto"/>
              <w:ind w:left="0" w:leftChars="0" w:firstLine="24" w:firstLineChars="10"/>
              <w:jc w:val="center"/>
              <w:rPr>
                <w:rFonts w:ascii="宋体" w:hAnsi="宋体" w:eastAsia="宋体" w:cs="Times New Roman"/>
                <w:b w:val="0"/>
                <w:color w:val="000000"/>
                <w:kern w:val="0"/>
                <w:sz w:val="24"/>
                <w:szCs w:val="22"/>
              </w:rPr>
            </w:pPr>
            <w:r>
              <w:rPr>
                <w:rFonts w:hint="eastAsia" w:ascii="宋体" w:hAnsi="宋体" w:eastAsia="宋体" w:cs="Times New Roman"/>
                <w:b w:val="0"/>
                <w:color w:val="000000"/>
                <w:kern w:val="0"/>
                <w:sz w:val="24"/>
                <w:szCs w:val="22"/>
              </w:rPr>
              <w:t>20</w:t>
            </w:r>
          </w:p>
        </w:tc>
        <w:tc>
          <w:tcPr>
            <w:tcW w:w="1582" w:type="dxa"/>
            <w:vAlign w:val="center"/>
          </w:tcPr>
          <w:p w14:paraId="119873F5">
            <w:pPr>
              <w:spacing w:line="240" w:lineRule="auto"/>
              <w:ind w:left="0" w:leftChars="0" w:firstLine="0" w:firstLineChars="0"/>
              <w:jc w:val="center"/>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舆情信息</w:t>
            </w:r>
          </w:p>
        </w:tc>
        <w:tc>
          <w:tcPr>
            <w:tcW w:w="3354" w:type="dxa"/>
            <w:vAlign w:val="center"/>
          </w:tcPr>
          <w:p w14:paraId="094C94FB">
            <w:pPr>
              <w:spacing w:line="240" w:lineRule="auto"/>
              <w:ind w:left="0" w:leftChars="0" w:firstLine="0" w:firstLineChars="0"/>
              <w:jc w:val="both"/>
              <w:rPr>
                <w:rFonts w:ascii="宋体" w:hAnsi="宋体" w:eastAsia="宋体" w:cs="Times New Roman"/>
                <w:b w:val="0"/>
                <w:color w:val="000000"/>
                <w:sz w:val="24"/>
                <w:szCs w:val="22"/>
              </w:rPr>
            </w:pPr>
            <w:r>
              <w:rPr>
                <w:rFonts w:hint="eastAsia" w:ascii="宋体" w:hAnsi="宋体" w:eastAsia="宋体" w:cs="Times New Roman"/>
                <w:b w:val="0"/>
                <w:color w:val="000000"/>
                <w:sz w:val="24"/>
                <w:szCs w:val="22"/>
              </w:rPr>
              <w:t>发现不合格项</w:t>
            </w:r>
          </w:p>
        </w:tc>
        <w:tc>
          <w:tcPr>
            <w:tcW w:w="4077" w:type="dxa"/>
            <w:vAlign w:val="center"/>
          </w:tcPr>
          <w:p w14:paraId="7858BD2F">
            <w:pPr>
              <w:spacing w:line="240" w:lineRule="auto"/>
              <w:ind w:left="0" w:leftChars="0" w:firstLine="0" w:firstLineChars="0"/>
              <w:jc w:val="both"/>
              <w:rPr>
                <w:rFonts w:ascii="宋体" w:hAnsi="宋体" w:eastAsia="宋体" w:cs="Times New Roman"/>
                <w:b w:val="0"/>
                <w:color w:val="000000"/>
                <w:sz w:val="24"/>
                <w:szCs w:val="22"/>
              </w:rPr>
            </w:pPr>
            <w:r>
              <w:rPr>
                <w:rFonts w:ascii="宋体" w:hAnsi="宋体" w:eastAsia="宋体" w:cs="Times New Roman"/>
                <w:b w:val="0"/>
                <w:color w:val="000000"/>
                <w:sz w:val="24"/>
                <w:szCs w:val="22"/>
              </w:rPr>
              <w:t>记录，整改</w:t>
            </w:r>
          </w:p>
        </w:tc>
        <w:tc>
          <w:tcPr>
            <w:tcW w:w="1803" w:type="dxa"/>
            <w:vAlign w:val="center"/>
          </w:tcPr>
          <w:p w14:paraId="057B8625">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月调度</w:t>
            </w:r>
          </w:p>
        </w:tc>
        <w:tc>
          <w:tcPr>
            <w:tcW w:w="1293" w:type="dxa"/>
            <w:vAlign w:val="center"/>
          </w:tcPr>
          <w:p w14:paraId="22BEB473">
            <w:pPr>
              <w:spacing w:line="240" w:lineRule="auto"/>
              <w:ind w:left="0" w:leftChars="0" w:firstLine="0" w:firstLineChars="0"/>
              <w:jc w:val="center"/>
              <w:rPr>
                <w:rFonts w:ascii="宋体" w:hAnsi="宋体" w:eastAsia="宋体" w:cs="Times New Roman"/>
                <w:b w:val="0"/>
                <w:color w:val="000000"/>
                <w:sz w:val="24"/>
                <w:szCs w:val="24"/>
              </w:rPr>
            </w:pPr>
            <w:r>
              <w:rPr>
                <w:rFonts w:ascii="宋体" w:hAnsi="宋体" w:eastAsia="宋体" w:cs="Times New Roman"/>
                <w:b w:val="0"/>
                <w:color w:val="000000"/>
                <w:sz w:val="24"/>
                <w:szCs w:val="24"/>
              </w:rPr>
              <w:t>主要负责人</w:t>
            </w:r>
          </w:p>
        </w:tc>
        <w:tc>
          <w:tcPr>
            <w:tcW w:w="890" w:type="dxa"/>
          </w:tcPr>
          <w:p w14:paraId="018A7AEA">
            <w:pPr>
              <w:spacing w:line="240" w:lineRule="auto"/>
              <w:ind w:left="0" w:leftChars="0" w:firstLine="0" w:firstLineChars="0"/>
              <w:jc w:val="both"/>
              <w:rPr>
                <w:rFonts w:ascii="宋体" w:hAnsi="宋体" w:eastAsia="宋体" w:cs="Times New Roman"/>
                <w:b w:val="0"/>
                <w:color w:val="000000"/>
                <w:sz w:val="21"/>
                <w:szCs w:val="21"/>
              </w:rPr>
            </w:pPr>
          </w:p>
        </w:tc>
      </w:tr>
    </w:tbl>
    <w:p w14:paraId="4F57AE13">
      <w:pPr>
        <w:widowControl/>
        <w:spacing w:line="240" w:lineRule="auto"/>
        <w:ind w:left="0" w:leftChars="0" w:firstLine="482" w:firstLineChars="200"/>
        <w:jc w:val="both"/>
        <w:rPr>
          <w:rFonts w:hint="default" w:ascii="Times New Roman" w:hAnsi="Times New Roman" w:cs="Times New Roman"/>
        </w:rPr>
      </w:pPr>
      <w:r>
        <w:rPr>
          <w:rFonts w:ascii="宋体" w:hAnsi="宋体" w:eastAsia="宋体" w:cs="宋体"/>
          <w:b/>
          <w:color w:val="000000"/>
          <w:sz w:val="24"/>
          <w:szCs w:val="24"/>
        </w:rPr>
        <w:t>备注</w:t>
      </w:r>
      <w:r>
        <w:rPr>
          <w:rFonts w:hint="eastAsia" w:ascii="宋体" w:hAnsi="宋体" w:eastAsia="宋体" w:cs="Times New Roman"/>
          <w:b/>
          <w:bCs/>
          <w:color w:val="000000"/>
          <w:kern w:val="0"/>
          <w:sz w:val="24"/>
          <w:szCs w:val="24"/>
        </w:rPr>
        <w:t>：</w:t>
      </w:r>
      <w:r>
        <w:rPr>
          <w:rFonts w:ascii="宋体" w:hAnsi="宋体" w:eastAsia="宋体" w:cs="宋体"/>
          <w:b/>
          <w:color w:val="000000"/>
          <w:sz w:val="24"/>
          <w:szCs w:val="24"/>
        </w:rPr>
        <w:t>本清单为推荐性格式，仅规定了应当进行日管控、周排查、月调度的基本项目，</w:t>
      </w:r>
      <w:r>
        <w:rPr>
          <w:rFonts w:hint="eastAsia" w:ascii="宋体" w:hAnsi="宋体" w:eastAsia="宋体" w:cs="宋体"/>
          <w:b/>
          <w:color w:val="000000"/>
          <w:sz w:val="24"/>
          <w:szCs w:val="24"/>
        </w:rPr>
        <w:t>客运索道使用</w:t>
      </w:r>
      <w:r>
        <w:rPr>
          <w:rFonts w:ascii="宋体" w:hAnsi="宋体" w:eastAsia="宋体" w:cs="宋体"/>
          <w:b/>
          <w:color w:val="000000"/>
          <w:sz w:val="24"/>
          <w:szCs w:val="24"/>
        </w:rPr>
        <w:t>单位应当结合本单位实际情况和具体要求，细化风险管控清单</w:t>
      </w:r>
      <w:r>
        <w:rPr>
          <w:rFonts w:hint="eastAsia" w:ascii="宋体" w:hAnsi="宋体" w:eastAsia="宋体" w:cs="宋体"/>
          <w:b/>
          <w:color w:val="000000"/>
          <w:sz w:val="24"/>
          <w:szCs w:val="24"/>
        </w:rPr>
        <w:t>，合理调整管控形式。</w:t>
      </w:r>
    </w:p>
    <w:sectPr>
      <w:footerReference r:id="rId6"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3"/>
      </w:pPr>
      <w:r>
        <w:separator/>
      </w:r>
    </w:p>
  </w:endnote>
  <w:endnote w:type="continuationSeparator" w:id="1">
    <w:p>
      <w:pPr>
        <w:spacing w:line="240" w:lineRule="auto"/>
        <w:ind w:firstLine="64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CB6DC9-BB92-4444-82C1-91547E689E9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B7B3F07-719F-42B4-8288-3A12C7D85084}"/>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embedRegular r:id="rId3" w:fontKey="{51B2C06C-08B8-41EB-8130-6090D663D444}"/>
  </w:font>
  <w:font w:name="方正公文小标宋">
    <w:panose1 w:val="02000500000000000000"/>
    <w:charset w:val="86"/>
    <w:family w:val="auto"/>
    <w:pitch w:val="default"/>
    <w:sig w:usb0="A00002BF" w:usb1="38CF7CFA" w:usb2="00000016" w:usb3="00000000" w:csb0="00040001" w:csb1="00000000"/>
    <w:embedRegular r:id="rId4" w:fontKey="{E0B35467-132D-4FF9-A7DC-5FFE5CD94C45}"/>
  </w:font>
  <w:font w:name="仿宋">
    <w:panose1 w:val="02010609060101010101"/>
    <w:charset w:val="86"/>
    <w:family w:val="auto"/>
    <w:pitch w:val="default"/>
    <w:sig w:usb0="800002BF" w:usb1="38CF7CFA" w:usb2="00000016" w:usb3="00000000" w:csb0="00040001" w:csb1="00000000"/>
    <w:embedRegular r:id="rId5" w:fontKey="{F51FA503-8D58-46DB-8D7E-CC1C1B14B545}"/>
  </w:font>
  <w:font w:name="仿宋_GB2312">
    <w:altName w:val="仿宋"/>
    <w:panose1 w:val="02010609030101010101"/>
    <w:charset w:val="86"/>
    <w:family w:val="modern"/>
    <w:pitch w:val="default"/>
    <w:sig w:usb0="00000000" w:usb1="00000000" w:usb2="00000000" w:usb3="00000000" w:csb0="00040000" w:csb1="00000000"/>
    <w:embedRegular r:id="rId6" w:fontKey="{B565010E-C62A-4C88-A81F-36F05A4F88E0}"/>
  </w:font>
  <w:font w:name="楷体">
    <w:panose1 w:val="02010609060101010101"/>
    <w:charset w:val="86"/>
    <w:family w:val="modern"/>
    <w:pitch w:val="default"/>
    <w:sig w:usb0="800002BF" w:usb1="38CF7CFA" w:usb2="00000016" w:usb3="00000000" w:csb0="00040001" w:csb1="00000000"/>
    <w:embedRegular r:id="rId7" w:fontKey="{7C916C38-ACC1-4B56-A989-48DE0D12DFB2}"/>
  </w:font>
  <w:font w:name="微软雅黑">
    <w:panose1 w:val="020B0503020204020204"/>
    <w:charset w:val="86"/>
    <w:family w:val="swiss"/>
    <w:pitch w:val="default"/>
    <w:sig w:usb0="80000287" w:usb1="280F3C52" w:usb2="00000016" w:usb3="00000000" w:csb0="0004001F" w:csb1="00000000"/>
    <w:embedRegular r:id="rId8" w:fontKey="{366753DA-DDA5-4FFE-B56A-13F929772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6803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1247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24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FF9E6">
                          <w:pPr>
                            <w:pStyle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  \* MERGEFORMAT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1</w:t>
                          </w:r>
                          <w:r>
                            <w:rPr>
                              <w:rFonts w:hint="eastAsia" w:asciiTheme="minorEastAsia" w:hAnsiTheme="minorEastAsia" w:eastAsiaTheme="minorEastAsia" w:cstheme="minorEastAsia"/>
                              <w:b/>
                              <w:bCs/>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6.1pt;mso-position-horizontal:center;mso-position-horizontal-relative:margin;z-index:251659264;mso-width-relative:page;mso-height-relative:page;" filled="f" stroked="f" coordsize="21600,21600" o:gfxdata="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VXOhfTAAAABQEAAA8AAAAAAAAAAQAgAAAAIgAAAGRycy9kb3ducmV2Lnht&#10;bFBLAQIUABQAAAAIAIdO4kA+u033NwIAAGIEAAAOAAAAAAAAAAEAIAAAACIBAABkcnMvZTJvRG9j&#10;LnhtbFBLBQYAAAAABgAGAFkBAADLBQAAAAA=&#10;">
              <v:fill on="f" focussize="0,0"/>
              <v:stroke on="f" weight="0.5pt"/>
              <v:imagedata o:title=""/>
              <o:lock v:ext="edit" aspectratio="f"/>
              <v:textbox inset="0mm,0mm,0mm,0mm" style="mso-fit-shape-to-text:t;">
                <w:txbxContent>
                  <w:p w14:paraId="3E8FF9E6">
                    <w:pPr>
                      <w:pStyle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  \* MERGEFORMAT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1</w:t>
                    </w:r>
                    <w:r>
                      <w:rPr>
                        <w:rFonts w:hint="eastAsia" w:asciiTheme="minorEastAsia" w:hAnsiTheme="minorEastAsia" w:eastAsiaTheme="minorEastAsia" w:cstheme="minorEastAsia"/>
                        <w:b/>
                        <w:bCs/>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DAB70">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1247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124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90EAA">
                          <w:pPr>
                            <w:pStyle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  \* MERGEFORMAT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1</w:t>
                          </w:r>
                          <w:r>
                            <w:rPr>
                              <w:rFonts w:hint="eastAsia" w:asciiTheme="minorEastAsia" w:hAnsiTheme="minorEastAsia" w:eastAsiaTheme="minorEastAsia" w:cstheme="minorEastAsia"/>
                              <w:b/>
                              <w:bCs/>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6.1pt;mso-position-horizontal:center;mso-position-horizontal-relative:margin;z-index:251660288;mso-width-relative:page;mso-height-relative:page;" filled="f" stroked="f" coordsize="21600,21600" o:gfxdata="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Vc6F9MAAAAFAQAADwAAAAAAAAABACAAAAAiAAAAZHJzL2Rvd25yZXYueG1s&#10;UEsBAhQAFAAAAAgAh07iQE7YUQs2AgAAYgQAAA4AAAAAAAAAAQAgAAAAIgEAAGRycy9lMm9Eb2Mu&#10;eG1sUEsFBgAAAAAGAAYAWQEAAMoFAAAAAA==&#10;">
              <v:fill on="f" focussize="0,0"/>
              <v:stroke on="f" weight="0.5pt"/>
              <v:imagedata o:title=""/>
              <o:lock v:ext="edit" aspectratio="f"/>
              <v:textbox inset="0mm,0mm,0mm,0mm" style="mso-fit-shape-to-text:t;">
                <w:txbxContent>
                  <w:p w14:paraId="1BA90EAA">
                    <w:pPr>
                      <w:pStyle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  \* MERGEFORMAT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1</w:t>
                    </w:r>
                    <w:r>
                      <w:rPr>
                        <w:rFonts w:hint="eastAsia" w:asciiTheme="minorEastAsia" w:hAnsiTheme="minorEastAsia" w:eastAsiaTheme="minorEastAsia" w:cstheme="minorEastAsia"/>
                        <w:b/>
                        <w:bCs/>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3"/>
      </w:pPr>
      <w:r>
        <w:separator/>
      </w:r>
    </w:p>
  </w:footnote>
  <w:footnote w:type="continuationSeparator" w:id="1">
    <w:p>
      <w:pPr>
        <w:spacing w:line="240" w:lineRule="auto"/>
        <w:ind w:firstLine="64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EDDCA"/>
    <w:multiLevelType w:val="singleLevel"/>
    <w:tmpl w:val="800EDDCA"/>
    <w:lvl w:ilvl="0" w:tentative="0">
      <w:start w:val="1"/>
      <w:numFmt w:val="chineseCounting"/>
      <w:suff w:val="nothing"/>
      <w:lvlText w:val="（%1）"/>
      <w:lvlJc w:val="left"/>
      <w:pPr>
        <w:ind w:left="0" w:firstLine="420"/>
      </w:pPr>
      <w:rPr>
        <w:rFonts w:hint="eastAsia"/>
      </w:rPr>
    </w:lvl>
  </w:abstractNum>
  <w:abstractNum w:abstractNumId="1">
    <w:nsid w:val="8662799E"/>
    <w:multiLevelType w:val="singleLevel"/>
    <w:tmpl w:val="8662799E"/>
    <w:lvl w:ilvl="0" w:tentative="0">
      <w:start w:val="1"/>
      <w:numFmt w:val="decimal"/>
      <w:suff w:val="space"/>
      <w:lvlText w:val="(%1)"/>
      <w:lvlJc w:val="left"/>
      <w:pPr>
        <w:ind w:left="425" w:hanging="425"/>
      </w:pPr>
      <w:rPr>
        <w:rFonts w:hint="default"/>
      </w:rPr>
    </w:lvl>
  </w:abstractNum>
  <w:abstractNum w:abstractNumId="2">
    <w:nsid w:val="89702956"/>
    <w:multiLevelType w:val="singleLevel"/>
    <w:tmpl w:val="89702956"/>
    <w:lvl w:ilvl="0" w:tentative="0">
      <w:start w:val="4"/>
      <w:numFmt w:val="chineseCounting"/>
      <w:suff w:val="nothing"/>
      <w:lvlText w:val="%1、"/>
      <w:lvlJc w:val="left"/>
      <w:rPr>
        <w:rFonts w:hint="eastAsia"/>
      </w:rPr>
    </w:lvl>
  </w:abstractNum>
  <w:abstractNum w:abstractNumId="3">
    <w:nsid w:val="89FE4718"/>
    <w:multiLevelType w:val="singleLevel"/>
    <w:tmpl w:val="89FE4718"/>
    <w:lvl w:ilvl="0" w:tentative="0">
      <w:start w:val="1"/>
      <w:numFmt w:val="decimal"/>
      <w:suff w:val="space"/>
      <w:lvlText w:val="%1."/>
      <w:lvlJc w:val="left"/>
      <w:pPr>
        <w:ind w:left="425" w:hanging="425"/>
      </w:pPr>
      <w:rPr>
        <w:rFonts w:hint="default"/>
      </w:rPr>
    </w:lvl>
  </w:abstractNum>
  <w:abstractNum w:abstractNumId="4">
    <w:nsid w:val="9D04B390"/>
    <w:multiLevelType w:val="singleLevel"/>
    <w:tmpl w:val="9D04B390"/>
    <w:lvl w:ilvl="0" w:tentative="0">
      <w:start w:val="1"/>
      <w:numFmt w:val="decimal"/>
      <w:suff w:val="space"/>
      <w:lvlText w:val="(%1)"/>
      <w:lvlJc w:val="left"/>
      <w:pPr>
        <w:ind w:left="425" w:hanging="425"/>
      </w:pPr>
      <w:rPr>
        <w:rFonts w:hint="default"/>
      </w:rPr>
    </w:lvl>
  </w:abstractNum>
  <w:abstractNum w:abstractNumId="5">
    <w:nsid w:val="9D7368B7"/>
    <w:multiLevelType w:val="singleLevel"/>
    <w:tmpl w:val="9D7368B7"/>
    <w:lvl w:ilvl="0" w:tentative="0">
      <w:start w:val="1"/>
      <w:numFmt w:val="decimal"/>
      <w:lvlText w:val="%1."/>
      <w:lvlJc w:val="left"/>
      <w:pPr>
        <w:tabs>
          <w:tab w:val="left" w:pos="312"/>
        </w:tabs>
      </w:pPr>
    </w:lvl>
  </w:abstractNum>
  <w:abstractNum w:abstractNumId="6">
    <w:nsid w:val="A3BBD4D9"/>
    <w:multiLevelType w:val="singleLevel"/>
    <w:tmpl w:val="A3BBD4D9"/>
    <w:lvl w:ilvl="0" w:tentative="0">
      <w:start w:val="1"/>
      <w:numFmt w:val="decimal"/>
      <w:suff w:val="space"/>
      <w:lvlText w:val="(%1)"/>
      <w:lvlJc w:val="left"/>
      <w:pPr>
        <w:ind w:left="425" w:hanging="425"/>
      </w:pPr>
      <w:rPr>
        <w:rFonts w:hint="default"/>
      </w:rPr>
    </w:lvl>
  </w:abstractNum>
  <w:abstractNum w:abstractNumId="7">
    <w:nsid w:val="A8315724"/>
    <w:multiLevelType w:val="singleLevel"/>
    <w:tmpl w:val="A8315724"/>
    <w:lvl w:ilvl="0" w:tentative="0">
      <w:start w:val="1"/>
      <w:numFmt w:val="chineseCounting"/>
      <w:suff w:val="nothing"/>
      <w:lvlText w:val="（%1）"/>
      <w:lvlJc w:val="left"/>
      <w:pPr>
        <w:ind w:left="0" w:firstLine="420"/>
      </w:pPr>
      <w:rPr>
        <w:rFonts w:hint="eastAsia"/>
      </w:rPr>
    </w:lvl>
  </w:abstractNum>
  <w:abstractNum w:abstractNumId="8">
    <w:nsid w:val="ABBAC4DF"/>
    <w:multiLevelType w:val="singleLevel"/>
    <w:tmpl w:val="ABBAC4DF"/>
    <w:lvl w:ilvl="0" w:tentative="0">
      <w:start w:val="1"/>
      <w:numFmt w:val="decimal"/>
      <w:lvlText w:val="%1."/>
      <w:lvlJc w:val="left"/>
      <w:pPr>
        <w:tabs>
          <w:tab w:val="left" w:pos="312"/>
        </w:tabs>
      </w:pPr>
    </w:lvl>
  </w:abstractNum>
  <w:abstractNum w:abstractNumId="9">
    <w:nsid w:val="B826E498"/>
    <w:multiLevelType w:val="singleLevel"/>
    <w:tmpl w:val="B826E498"/>
    <w:lvl w:ilvl="0" w:tentative="0">
      <w:start w:val="1"/>
      <w:numFmt w:val="decimal"/>
      <w:suff w:val="nothing"/>
      <w:lvlText w:val="（%1）"/>
      <w:lvlJc w:val="left"/>
    </w:lvl>
  </w:abstractNum>
  <w:abstractNum w:abstractNumId="10">
    <w:nsid w:val="C77450F5"/>
    <w:multiLevelType w:val="singleLevel"/>
    <w:tmpl w:val="C77450F5"/>
    <w:lvl w:ilvl="0" w:tentative="0">
      <w:start w:val="1"/>
      <w:numFmt w:val="decimal"/>
      <w:suff w:val="space"/>
      <w:lvlText w:val="(%1)"/>
      <w:lvlJc w:val="left"/>
      <w:pPr>
        <w:ind w:left="425" w:hanging="425"/>
      </w:pPr>
      <w:rPr>
        <w:rFonts w:hint="default"/>
      </w:rPr>
    </w:lvl>
  </w:abstractNum>
  <w:abstractNum w:abstractNumId="11">
    <w:nsid w:val="CBA95BD0"/>
    <w:multiLevelType w:val="singleLevel"/>
    <w:tmpl w:val="CBA95BD0"/>
    <w:lvl w:ilvl="0" w:tentative="0">
      <w:start w:val="1"/>
      <w:numFmt w:val="decimal"/>
      <w:suff w:val="space"/>
      <w:lvlText w:val="%1."/>
      <w:lvlJc w:val="left"/>
    </w:lvl>
  </w:abstractNum>
  <w:abstractNum w:abstractNumId="12">
    <w:nsid w:val="CCE21E4E"/>
    <w:multiLevelType w:val="singleLevel"/>
    <w:tmpl w:val="CCE21E4E"/>
    <w:lvl w:ilvl="0" w:tentative="0">
      <w:start w:val="1"/>
      <w:numFmt w:val="decimal"/>
      <w:suff w:val="space"/>
      <w:lvlText w:val="%1."/>
      <w:lvlJc w:val="left"/>
    </w:lvl>
  </w:abstractNum>
  <w:abstractNum w:abstractNumId="13">
    <w:nsid w:val="E1B847AF"/>
    <w:multiLevelType w:val="singleLevel"/>
    <w:tmpl w:val="E1B847AF"/>
    <w:lvl w:ilvl="0" w:tentative="0">
      <w:start w:val="1"/>
      <w:numFmt w:val="decimal"/>
      <w:suff w:val="space"/>
      <w:lvlText w:val="(%1)"/>
      <w:lvlJc w:val="left"/>
      <w:pPr>
        <w:ind w:left="425" w:hanging="425"/>
      </w:pPr>
      <w:rPr>
        <w:rFonts w:hint="default"/>
      </w:rPr>
    </w:lvl>
  </w:abstractNum>
  <w:abstractNum w:abstractNumId="14">
    <w:nsid w:val="E80F0093"/>
    <w:multiLevelType w:val="singleLevel"/>
    <w:tmpl w:val="E80F0093"/>
    <w:lvl w:ilvl="0" w:tentative="0">
      <w:start w:val="1"/>
      <w:numFmt w:val="decimal"/>
      <w:suff w:val="space"/>
      <w:lvlText w:val="%1."/>
      <w:lvlJc w:val="left"/>
    </w:lvl>
  </w:abstractNum>
  <w:abstractNum w:abstractNumId="15">
    <w:nsid w:val="E94F006A"/>
    <w:multiLevelType w:val="singleLevel"/>
    <w:tmpl w:val="E94F006A"/>
    <w:lvl w:ilvl="0" w:tentative="0">
      <w:start w:val="1"/>
      <w:numFmt w:val="decimal"/>
      <w:suff w:val="space"/>
      <w:lvlText w:val="(%1)"/>
      <w:lvlJc w:val="left"/>
      <w:pPr>
        <w:ind w:left="425" w:hanging="425"/>
      </w:pPr>
      <w:rPr>
        <w:rFonts w:hint="default"/>
      </w:rPr>
    </w:lvl>
  </w:abstractNum>
  <w:abstractNum w:abstractNumId="16">
    <w:nsid w:val="EAC09E09"/>
    <w:multiLevelType w:val="singleLevel"/>
    <w:tmpl w:val="EAC09E09"/>
    <w:lvl w:ilvl="0" w:tentative="0">
      <w:start w:val="1"/>
      <w:numFmt w:val="decimal"/>
      <w:suff w:val="nothing"/>
      <w:lvlText w:val="%1．"/>
      <w:lvlJc w:val="left"/>
      <w:pPr>
        <w:ind w:left="0" w:firstLine="400"/>
      </w:pPr>
      <w:rPr>
        <w:rFonts w:hint="default"/>
      </w:rPr>
    </w:lvl>
  </w:abstractNum>
  <w:abstractNum w:abstractNumId="17">
    <w:nsid w:val="02DC417C"/>
    <w:multiLevelType w:val="singleLevel"/>
    <w:tmpl w:val="02DC417C"/>
    <w:lvl w:ilvl="0" w:tentative="0">
      <w:start w:val="1"/>
      <w:numFmt w:val="chineseCounting"/>
      <w:suff w:val="nothing"/>
      <w:lvlText w:val="（%1）"/>
      <w:lvlJc w:val="left"/>
      <w:pPr>
        <w:ind w:left="0" w:firstLine="420"/>
      </w:pPr>
      <w:rPr>
        <w:rFonts w:hint="eastAsia"/>
      </w:rPr>
    </w:lvl>
  </w:abstractNum>
  <w:abstractNum w:abstractNumId="18">
    <w:nsid w:val="0CBD35D5"/>
    <w:multiLevelType w:val="singleLevel"/>
    <w:tmpl w:val="0CBD35D5"/>
    <w:lvl w:ilvl="0" w:tentative="0">
      <w:start w:val="1"/>
      <w:numFmt w:val="decimal"/>
      <w:suff w:val="space"/>
      <w:lvlText w:val="(%1)"/>
      <w:lvlJc w:val="left"/>
      <w:pPr>
        <w:ind w:left="425" w:hanging="425"/>
      </w:pPr>
      <w:rPr>
        <w:rFonts w:hint="default"/>
      </w:rPr>
    </w:lvl>
  </w:abstractNum>
  <w:abstractNum w:abstractNumId="19">
    <w:nsid w:val="1BC0E9AD"/>
    <w:multiLevelType w:val="singleLevel"/>
    <w:tmpl w:val="1BC0E9AD"/>
    <w:lvl w:ilvl="0" w:tentative="0">
      <w:start w:val="1"/>
      <w:numFmt w:val="decimal"/>
      <w:suff w:val="space"/>
      <w:lvlText w:val="%1."/>
      <w:lvlJc w:val="left"/>
    </w:lvl>
  </w:abstractNum>
  <w:abstractNum w:abstractNumId="20">
    <w:nsid w:val="1D6B3EB3"/>
    <w:multiLevelType w:val="singleLevel"/>
    <w:tmpl w:val="1D6B3EB3"/>
    <w:lvl w:ilvl="0" w:tentative="0">
      <w:start w:val="1"/>
      <w:numFmt w:val="decimal"/>
      <w:suff w:val="nothing"/>
      <w:lvlText w:val="（%1）"/>
      <w:lvlJc w:val="left"/>
    </w:lvl>
  </w:abstractNum>
  <w:abstractNum w:abstractNumId="21">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22"/>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26631C47"/>
    <w:multiLevelType w:val="singleLevel"/>
    <w:tmpl w:val="26631C47"/>
    <w:lvl w:ilvl="0" w:tentative="0">
      <w:start w:val="1"/>
      <w:numFmt w:val="decimal"/>
      <w:suff w:val="nothing"/>
      <w:lvlText w:val="（%1）"/>
      <w:lvlJc w:val="left"/>
    </w:lvl>
  </w:abstractNum>
  <w:abstractNum w:abstractNumId="23">
    <w:nsid w:val="27913476"/>
    <w:multiLevelType w:val="singleLevel"/>
    <w:tmpl w:val="27913476"/>
    <w:lvl w:ilvl="0" w:tentative="0">
      <w:start w:val="1"/>
      <w:numFmt w:val="decimal"/>
      <w:suff w:val="nothing"/>
      <w:lvlText w:val="（%1）"/>
      <w:lvlJc w:val="left"/>
    </w:lvl>
  </w:abstractNum>
  <w:abstractNum w:abstractNumId="24">
    <w:nsid w:val="2C5917C3"/>
    <w:multiLevelType w:val="multilevel"/>
    <w:tmpl w:val="2C5917C3"/>
    <w:lvl w:ilvl="0" w:tentative="0">
      <w:start w:val="1"/>
      <w:numFmt w:val="none"/>
      <w:pStyle w:val="24"/>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5">
    <w:nsid w:val="33C21E4F"/>
    <w:multiLevelType w:val="singleLevel"/>
    <w:tmpl w:val="33C21E4F"/>
    <w:lvl w:ilvl="0" w:tentative="0">
      <w:start w:val="1"/>
      <w:numFmt w:val="decimal"/>
      <w:suff w:val="nothing"/>
      <w:lvlText w:val="（%1）"/>
      <w:lvlJc w:val="left"/>
    </w:lvl>
  </w:abstractNum>
  <w:abstractNum w:abstractNumId="26">
    <w:nsid w:val="4C0305EF"/>
    <w:multiLevelType w:val="singleLevel"/>
    <w:tmpl w:val="4C0305EF"/>
    <w:lvl w:ilvl="0" w:tentative="0">
      <w:start w:val="1"/>
      <w:numFmt w:val="chineseCounting"/>
      <w:suff w:val="nothing"/>
      <w:lvlText w:val="（%1）"/>
      <w:lvlJc w:val="left"/>
      <w:pPr>
        <w:ind w:left="0" w:firstLine="420"/>
      </w:pPr>
      <w:rPr>
        <w:rFonts w:hint="eastAsia"/>
      </w:rPr>
    </w:lvl>
  </w:abstractNum>
  <w:abstractNum w:abstractNumId="27">
    <w:nsid w:val="4DEEA608"/>
    <w:multiLevelType w:val="singleLevel"/>
    <w:tmpl w:val="4DEEA608"/>
    <w:lvl w:ilvl="0" w:tentative="0">
      <w:start w:val="1"/>
      <w:numFmt w:val="decimal"/>
      <w:suff w:val="space"/>
      <w:lvlText w:val="(%1)"/>
      <w:lvlJc w:val="left"/>
      <w:pPr>
        <w:ind w:left="425" w:hanging="425"/>
      </w:pPr>
      <w:rPr>
        <w:rFonts w:hint="default"/>
      </w:rPr>
    </w:lvl>
  </w:abstractNum>
  <w:abstractNum w:abstractNumId="28">
    <w:nsid w:val="5B9A2486"/>
    <w:multiLevelType w:val="singleLevel"/>
    <w:tmpl w:val="5B9A2486"/>
    <w:lvl w:ilvl="0" w:tentative="0">
      <w:start w:val="1"/>
      <w:numFmt w:val="decimal"/>
      <w:suff w:val="space"/>
      <w:lvlText w:val="%1."/>
      <w:lvlJc w:val="left"/>
    </w:lvl>
  </w:abstractNum>
  <w:abstractNum w:abstractNumId="29">
    <w:nsid w:val="62E8377A"/>
    <w:multiLevelType w:val="singleLevel"/>
    <w:tmpl w:val="62E8377A"/>
    <w:lvl w:ilvl="0" w:tentative="0">
      <w:start w:val="1"/>
      <w:numFmt w:val="decimal"/>
      <w:suff w:val="space"/>
      <w:lvlText w:val="(%1)"/>
      <w:lvlJc w:val="left"/>
      <w:pPr>
        <w:ind w:left="425" w:hanging="425"/>
      </w:pPr>
      <w:rPr>
        <w:rFonts w:hint="default"/>
      </w:rPr>
    </w:lvl>
  </w:abstractNum>
  <w:abstractNum w:abstractNumId="30">
    <w:nsid w:val="68331B06"/>
    <w:multiLevelType w:val="singleLevel"/>
    <w:tmpl w:val="68331B06"/>
    <w:lvl w:ilvl="0" w:tentative="0">
      <w:start w:val="1"/>
      <w:numFmt w:val="decimal"/>
      <w:suff w:val="space"/>
      <w:lvlText w:val="(%1)"/>
      <w:lvlJc w:val="left"/>
      <w:pPr>
        <w:ind w:left="425" w:hanging="425"/>
      </w:pPr>
      <w:rPr>
        <w:rFonts w:hint="default"/>
      </w:rPr>
    </w:lvl>
  </w:abstractNum>
  <w:abstractNum w:abstractNumId="31">
    <w:nsid w:val="6E3C90DD"/>
    <w:multiLevelType w:val="singleLevel"/>
    <w:tmpl w:val="6E3C90DD"/>
    <w:lvl w:ilvl="0" w:tentative="0">
      <w:start w:val="1"/>
      <w:numFmt w:val="chineseCounting"/>
      <w:suff w:val="nothing"/>
      <w:lvlText w:val="（%1）"/>
      <w:lvlJc w:val="left"/>
      <w:pPr>
        <w:ind w:left="0" w:firstLine="420"/>
      </w:pPr>
      <w:rPr>
        <w:rFonts w:hint="eastAsia"/>
      </w:rPr>
    </w:lvl>
  </w:abstractNum>
  <w:abstractNum w:abstractNumId="32">
    <w:nsid w:val="7680E67B"/>
    <w:multiLevelType w:val="singleLevel"/>
    <w:tmpl w:val="7680E67B"/>
    <w:lvl w:ilvl="0" w:tentative="0">
      <w:start w:val="1"/>
      <w:numFmt w:val="decimal"/>
      <w:suff w:val="space"/>
      <w:lvlText w:val="%1."/>
      <w:lvlJc w:val="left"/>
      <w:pPr>
        <w:ind w:left="425" w:hanging="425"/>
      </w:pPr>
      <w:rPr>
        <w:rFonts w:hint="default"/>
      </w:rPr>
    </w:lvl>
  </w:abstractNum>
  <w:abstractNum w:abstractNumId="33">
    <w:nsid w:val="7E524F9C"/>
    <w:multiLevelType w:val="singleLevel"/>
    <w:tmpl w:val="7E524F9C"/>
    <w:lvl w:ilvl="0" w:tentative="0">
      <w:start w:val="1"/>
      <w:numFmt w:val="decimal"/>
      <w:lvlText w:val="%1."/>
      <w:lvlJc w:val="left"/>
      <w:pPr>
        <w:tabs>
          <w:tab w:val="left" w:pos="312"/>
        </w:tabs>
      </w:pPr>
    </w:lvl>
  </w:abstractNum>
  <w:num w:numId="1">
    <w:abstractNumId w:val="21"/>
  </w:num>
  <w:num w:numId="2">
    <w:abstractNumId w:val="24"/>
  </w:num>
  <w:num w:numId="3">
    <w:abstractNumId w:val="19"/>
  </w:num>
  <w:num w:numId="4">
    <w:abstractNumId w:val="22"/>
  </w:num>
  <w:num w:numId="5">
    <w:abstractNumId w:val="28"/>
  </w:num>
  <w:num w:numId="6">
    <w:abstractNumId w:val="12"/>
  </w:num>
  <w:num w:numId="7">
    <w:abstractNumId w:val="23"/>
  </w:num>
  <w:num w:numId="8">
    <w:abstractNumId w:val="9"/>
  </w:num>
  <w:num w:numId="9">
    <w:abstractNumId w:val="25"/>
  </w:num>
  <w:num w:numId="10">
    <w:abstractNumId w:val="2"/>
  </w:num>
  <w:num w:numId="11">
    <w:abstractNumId w:val="31"/>
  </w:num>
  <w:num w:numId="12">
    <w:abstractNumId w:val="3"/>
  </w:num>
  <w:num w:numId="13">
    <w:abstractNumId w:val="26"/>
  </w:num>
  <w:num w:numId="14">
    <w:abstractNumId w:val="0"/>
  </w:num>
  <w:num w:numId="15">
    <w:abstractNumId w:val="7"/>
  </w:num>
  <w:num w:numId="16">
    <w:abstractNumId w:val="6"/>
  </w:num>
  <w:num w:numId="17">
    <w:abstractNumId w:val="4"/>
  </w:num>
  <w:num w:numId="18">
    <w:abstractNumId w:val="27"/>
  </w:num>
  <w:num w:numId="19">
    <w:abstractNumId w:val="29"/>
  </w:num>
  <w:num w:numId="20">
    <w:abstractNumId w:val="13"/>
  </w:num>
  <w:num w:numId="21">
    <w:abstractNumId w:val="18"/>
  </w:num>
  <w:num w:numId="22">
    <w:abstractNumId w:val="15"/>
  </w:num>
  <w:num w:numId="23">
    <w:abstractNumId w:val="1"/>
  </w:num>
  <w:num w:numId="24">
    <w:abstractNumId w:val="30"/>
  </w:num>
  <w:num w:numId="25">
    <w:abstractNumId w:val="10"/>
  </w:num>
  <w:num w:numId="26">
    <w:abstractNumId w:val="17"/>
  </w:num>
  <w:num w:numId="27">
    <w:abstractNumId w:val="32"/>
  </w:num>
  <w:num w:numId="28">
    <w:abstractNumId w:val="14"/>
  </w:num>
  <w:num w:numId="29">
    <w:abstractNumId w:val="11"/>
  </w:num>
  <w:num w:numId="30">
    <w:abstractNumId w:val="20"/>
  </w:num>
  <w:num w:numId="31">
    <w:abstractNumId w:val="8"/>
  </w:num>
  <w:num w:numId="32">
    <w:abstractNumId w:val="5"/>
  </w:num>
  <w:num w:numId="33">
    <w:abstractNumId w:val="33"/>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8F4F4E"/>
    <w:rsid w:val="001C1815"/>
    <w:rsid w:val="009C7964"/>
    <w:rsid w:val="01A03665"/>
    <w:rsid w:val="022330E8"/>
    <w:rsid w:val="0234061C"/>
    <w:rsid w:val="02BD75DA"/>
    <w:rsid w:val="02E9450A"/>
    <w:rsid w:val="03773C2D"/>
    <w:rsid w:val="03C525EF"/>
    <w:rsid w:val="03CB3B26"/>
    <w:rsid w:val="03D501DE"/>
    <w:rsid w:val="03EB4F9A"/>
    <w:rsid w:val="058000F4"/>
    <w:rsid w:val="06DF0467"/>
    <w:rsid w:val="06F64817"/>
    <w:rsid w:val="07BF7184"/>
    <w:rsid w:val="081303C8"/>
    <w:rsid w:val="081F309A"/>
    <w:rsid w:val="08412974"/>
    <w:rsid w:val="08C515D0"/>
    <w:rsid w:val="08EA56A4"/>
    <w:rsid w:val="098F5327"/>
    <w:rsid w:val="09CB693C"/>
    <w:rsid w:val="09E31584"/>
    <w:rsid w:val="0A057F7C"/>
    <w:rsid w:val="0A884C87"/>
    <w:rsid w:val="0B252C4E"/>
    <w:rsid w:val="0BE1433A"/>
    <w:rsid w:val="0C0B7609"/>
    <w:rsid w:val="0C183C9A"/>
    <w:rsid w:val="0CDB1EAD"/>
    <w:rsid w:val="0D991370"/>
    <w:rsid w:val="0E575708"/>
    <w:rsid w:val="0E5A2796"/>
    <w:rsid w:val="0E7C78DC"/>
    <w:rsid w:val="0F2631D5"/>
    <w:rsid w:val="0F9E0106"/>
    <w:rsid w:val="0FB36D14"/>
    <w:rsid w:val="101E3DAE"/>
    <w:rsid w:val="10756994"/>
    <w:rsid w:val="1088668E"/>
    <w:rsid w:val="114E1CD3"/>
    <w:rsid w:val="11E71254"/>
    <w:rsid w:val="11EF0788"/>
    <w:rsid w:val="12AC24ED"/>
    <w:rsid w:val="12EA5817"/>
    <w:rsid w:val="13DC07AF"/>
    <w:rsid w:val="14833A3B"/>
    <w:rsid w:val="15270F29"/>
    <w:rsid w:val="15941BB3"/>
    <w:rsid w:val="15D84E8C"/>
    <w:rsid w:val="160F7CF5"/>
    <w:rsid w:val="1623663A"/>
    <w:rsid w:val="16A62408"/>
    <w:rsid w:val="17A03647"/>
    <w:rsid w:val="17CA0378"/>
    <w:rsid w:val="17FC336F"/>
    <w:rsid w:val="18397C4D"/>
    <w:rsid w:val="18CD04EF"/>
    <w:rsid w:val="193C29C9"/>
    <w:rsid w:val="195A402A"/>
    <w:rsid w:val="1A4C6DBB"/>
    <w:rsid w:val="1A8E21EA"/>
    <w:rsid w:val="1AA16C78"/>
    <w:rsid w:val="1AA910E8"/>
    <w:rsid w:val="1AB312FB"/>
    <w:rsid w:val="1AC93BBF"/>
    <w:rsid w:val="1AFB1154"/>
    <w:rsid w:val="1B173C5D"/>
    <w:rsid w:val="1B2028BA"/>
    <w:rsid w:val="1BD30CDF"/>
    <w:rsid w:val="1C6336CC"/>
    <w:rsid w:val="1C842D60"/>
    <w:rsid w:val="1CA81259"/>
    <w:rsid w:val="1D181F30"/>
    <w:rsid w:val="1D8D324C"/>
    <w:rsid w:val="1F121DD9"/>
    <w:rsid w:val="1F86727A"/>
    <w:rsid w:val="1F9C2044"/>
    <w:rsid w:val="208C266E"/>
    <w:rsid w:val="20DC0B8C"/>
    <w:rsid w:val="20F034E5"/>
    <w:rsid w:val="218D4612"/>
    <w:rsid w:val="225648ED"/>
    <w:rsid w:val="22C30DD0"/>
    <w:rsid w:val="231057D9"/>
    <w:rsid w:val="24D90299"/>
    <w:rsid w:val="25617CAE"/>
    <w:rsid w:val="258C61B9"/>
    <w:rsid w:val="25A4045A"/>
    <w:rsid w:val="268C2963"/>
    <w:rsid w:val="26AA40F5"/>
    <w:rsid w:val="26BA75AF"/>
    <w:rsid w:val="26E203BA"/>
    <w:rsid w:val="27755F9B"/>
    <w:rsid w:val="27E96033"/>
    <w:rsid w:val="280A05A3"/>
    <w:rsid w:val="2861638D"/>
    <w:rsid w:val="29B9619D"/>
    <w:rsid w:val="29C86816"/>
    <w:rsid w:val="2A4C2E6E"/>
    <w:rsid w:val="2A62494D"/>
    <w:rsid w:val="2A71286E"/>
    <w:rsid w:val="2ABB6513"/>
    <w:rsid w:val="2ADC5000"/>
    <w:rsid w:val="2B8C5C18"/>
    <w:rsid w:val="2B9D6D23"/>
    <w:rsid w:val="2BFA5FCB"/>
    <w:rsid w:val="2C613836"/>
    <w:rsid w:val="2C7F5513"/>
    <w:rsid w:val="2D4D2C4B"/>
    <w:rsid w:val="2D691A7F"/>
    <w:rsid w:val="2DC50697"/>
    <w:rsid w:val="2DCF7166"/>
    <w:rsid w:val="2E1C5A71"/>
    <w:rsid w:val="2E7A1083"/>
    <w:rsid w:val="2E7C36B4"/>
    <w:rsid w:val="2EE6429F"/>
    <w:rsid w:val="2EFD068D"/>
    <w:rsid w:val="2F063F34"/>
    <w:rsid w:val="2FE43EA3"/>
    <w:rsid w:val="30796039"/>
    <w:rsid w:val="30994E8B"/>
    <w:rsid w:val="31B81E76"/>
    <w:rsid w:val="31C77225"/>
    <w:rsid w:val="32FA25E2"/>
    <w:rsid w:val="33025CA3"/>
    <w:rsid w:val="33835B53"/>
    <w:rsid w:val="33AB5B87"/>
    <w:rsid w:val="340F19FC"/>
    <w:rsid w:val="347F60F0"/>
    <w:rsid w:val="34FA64A9"/>
    <w:rsid w:val="3500053D"/>
    <w:rsid w:val="363148C3"/>
    <w:rsid w:val="36F756A5"/>
    <w:rsid w:val="36F8344F"/>
    <w:rsid w:val="375C6C45"/>
    <w:rsid w:val="37A952ED"/>
    <w:rsid w:val="38005440"/>
    <w:rsid w:val="384E4297"/>
    <w:rsid w:val="39977642"/>
    <w:rsid w:val="39B96D28"/>
    <w:rsid w:val="3A573895"/>
    <w:rsid w:val="3AE731AC"/>
    <w:rsid w:val="3AFE7F86"/>
    <w:rsid w:val="3B007373"/>
    <w:rsid w:val="3B2E2848"/>
    <w:rsid w:val="3B851344"/>
    <w:rsid w:val="3BA11C66"/>
    <w:rsid w:val="3BA774A2"/>
    <w:rsid w:val="3BE64C6A"/>
    <w:rsid w:val="3CD6665C"/>
    <w:rsid w:val="3D1C1061"/>
    <w:rsid w:val="3D4D37A6"/>
    <w:rsid w:val="3D655158"/>
    <w:rsid w:val="3D687B67"/>
    <w:rsid w:val="3DA512EA"/>
    <w:rsid w:val="3E0E2BCD"/>
    <w:rsid w:val="3E432AAE"/>
    <w:rsid w:val="3E977202"/>
    <w:rsid w:val="3E9F14EA"/>
    <w:rsid w:val="3EDA2151"/>
    <w:rsid w:val="3EE53ED9"/>
    <w:rsid w:val="3F412864"/>
    <w:rsid w:val="3FA84B3B"/>
    <w:rsid w:val="4166606D"/>
    <w:rsid w:val="417A15A1"/>
    <w:rsid w:val="42393071"/>
    <w:rsid w:val="42410BC9"/>
    <w:rsid w:val="429107E7"/>
    <w:rsid w:val="44016C35"/>
    <w:rsid w:val="442D183B"/>
    <w:rsid w:val="44914242"/>
    <w:rsid w:val="44EB17AA"/>
    <w:rsid w:val="45196317"/>
    <w:rsid w:val="459A0BA5"/>
    <w:rsid w:val="45A93F8C"/>
    <w:rsid w:val="45CB571D"/>
    <w:rsid w:val="4607616F"/>
    <w:rsid w:val="46366A55"/>
    <w:rsid w:val="463F7A4A"/>
    <w:rsid w:val="47115EDC"/>
    <w:rsid w:val="482B6D2B"/>
    <w:rsid w:val="486125F2"/>
    <w:rsid w:val="488060F8"/>
    <w:rsid w:val="48884595"/>
    <w:rsid w:val="48C673BE"/>
    <w:rsid w:val="4A2A68D0"/>
    <w:rsid w:val="4B8C0EC4"/>
    <w:rsid w:val="4BD941E8"/>
    <w:rsid w:val="4C9176A6"/>
    <w:rsid w:val="4CD45776"/>
    <w:rsid w:val="4E8F13F8"/>
    <w:rsid w:val="4FFE18CB"/>
    <w:rsid w:val="518F1B9E"/>
    <w:rsid w:val="52145A27"/>
    <w:rsid w:val="52472762"/>
    <w:rsid w:val="52866541"/>
    <w:rsid w:val="52A92354"/>
    <w:rsid w:val="52D5675D"/>
    <w:rsid w:val="5433532D"/>
    <w:rsid w:val="543F11CA"/>
    <w:rsid w:val="54AA461F"/>
    <w:rsid w:val="54AB4379"/>
    <w:rsid w:val="54C326B4"/>
    <w:rsid w:val="54CA08E7"/>
    <w:rsid w:val="54FC3915"/>
    <w:rsid w:val="550A3B96"/>
    <w:rsid w:val="557D01FC"/>
    <w:rsid w:val="55C478D2"/>
    <w:rsid w:val="56813D1C"/>
    <w:rsid w:val="56A82C83"/>
    <w:rsid w:val="573D67FA"/>
    <w:rsid w:val="581A61D6"/>
    <w:rsid w:val="582B4F8E"/>
    <w:rsid w:val="582D143C"/>
    <w:rsid w:val="583A3D03"/>
    <w:rsid w:val="583D1FF0"/>
    <w:rsid w:val="59390824"/>
    <w:rsid w:val="5A2151EA"/>
    <w:rsid w:val="5A5B578B"/>
    <w:rsid w:val="5A775329"/>
    <w:rsid w:val="5A9B74F7"/>
    <w:rsid w:val="5AD52888"/>
    <w:rsid w:val="5B4060D1"/>
    <w:rsid w:val="5B8F4F4E"/>
    <w:rsid w:val="5B930E53"/>
    <w:rsid w:val="5BCF2AA8"/>
    <w:rsid w:val="5BE32EE2"/>
    <w:rsid w:val="5DEF65F4"/>
    <w:rsid w:val="5EAC3900"/>
    <w:rsid w:val="5ECF754E"/>
    <w:rsid w:val="5FE84E0C"/>
    <w:rsid w:val="5FEF62C7"/>
    <w:rsid w:val="601030EE"/>
    <w:rsid w:val="60545D32"/>
    <w:rsid w:val="607C6FD9"/>
    <w:rsid w:val="611F15E5"/>
    <w:rsid w:val="615A420D"/>
    <w:rsid w:val="61C806FB"/>
    <w:rsid w:val="61DE12EC"/>
    <w:rsid w:val="62761A0E"/>
    <w:rsid w:val="63043D0B"/>
    <w:rsid w:val="63082964"/>
    <w:rsid w:val="632453C9"/>
    <w:rsid w:val="632D7CE3"/>
    <w:rsid w:val="63785B3A"/>
    <w:rsid w:val="63862AAF"/>
    <w:rsid w:val="63FF7D1F"/>
    <w:rsid w:val="64203D44"/>
    <w:rsid w:val="643D34B0"/>
    <w:rsid w:val="6530580C"/>
    <w:rsid w:val="65506C1D"/>
    <w:rsid w:val="667747A1"/>
    <w:rsid w:val="66896D8D"/>
    <w:rsid w:val="66CC3F8B"/>
    <w:rsid w:val="6710610D"/>
    <w:rsid w:val="67BC7A0A"/>
    <w:rsid w:val="67F41B11"/>
    <w:rsid w:val="683F73B3"/>
    <w:rsid w:val="68F41A1C"/>
    <w:rsid w:val="699C3086"/>
    <w:rsid w:val="69BD5DE5"/>
    <w:rsid w:val="69E10B5C"/>
    <w:rsid w:val="6A2202FA"/>
    <w:rsid w:val="6ADE6805"/>
    <w:rsid w:val="6ADE7537"/>
    <w:rsid w:val="6B224CDC"/>
    <w:rsid w:val="6B2E7F25"/>
    <w:rsid w:val="6B714AD3"/>
    <w:rsid w:val="6BAE3784"/>
    <w:rsid w:val="6BC06C3D"/>
    <w:rsid w:val="6BC33211"/>
    <w:rsid w:val="6C5A5215"/>
    <w:rsid w:val="6D7D4479"/>
    <w:rsid w:val="6E2F77AF"/>
    <w:rsid w:val="6E477E7E"/>
    <w:rsid w:val="6E5418B1"/>
    <w:rsid w:val="6E5454ED"/>
    <w:rsid w:val="6EA2497F"/>
    <w:rsid w:val="6F5A691D"/>
    <w:rsid w:val="7064403B"/>
    <w:rsid w:val="70A578B9"/>
    <w:rsid w:val="71654D19"/>
    <w:rsid w:val="7166077D"/>
    <w:rsid w:val="717A1569"/>
    <w:rsid w:val="71810DC6"/>
    <w:rsid w:val="719C63F5"/>
    <w:rsid w:val="71BF5B06"/>
    <w:rsid w:val="73014491"/>
    <w:rsid w:val="730814C9"/>
    <w:rsid w:val="73CF5C6F"/>
    <w:rsid w:val="73F02984"/>
    <w:rsid w:val="74C55E8F"/>
    <w:rsid w:val="757B21FF"/>
    <w:rsid w:val="75BC229B"/>
    <w:rsid w:val="75E83570"/>
    <w:rsid w:val="762759B6"/>
    <w:rsid w:val="76F93003"/>
    <w:rsid w:val="775540E2"/>
    <w:rsid w:val="77B41BB7"/>
    <w:rsid w:val="782A5334"/>
    <w:rsid w:val="784159F3"/>
    <w:rsid w:val="79043094"/>
    <w:rsid w:val="79146C05"/>
    <w:rsid w:val="79DE5D01"/>
    <w:rsid w:val="7ABD483C"/>
    <w:rsid w:val="7AD233DE"/>
    <w:rsid w:val="7B332082"/>
    <w:rsid w:val="7B851426"/>
    <w:rsid w:val="7BA06143"/>
    <w:rsid w:val="7BBA3910"/>
    <w:rsid w:val="7BC971DF"/>
    <w:rsid w:val="7BDA78A7"/>
    <w:rsid w:val="7BF1713B"/>
    <w:rsid w:val="7C193FC6"/>
    <w:rsid w:val="7C4A3E3B"/>
    <w:rsid w:val="7C55528C"/>
    <w:rsid w:val="7C5D0AD4"/>
    <w:rsid w:val="7D900613"/>
    <w:rsid w:val="7DF07AA7"/>
    <w:rsid w:val="7EFE7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left="0" w:leftChars="0" w:firstLine="883" w:firstLineChars="200"/>
      <w:jc w:val="left"/>
    </w:pPr>
    <w:rPr>
      <w:rFonts w:ascii="方正仿宋简体" w:hAnsi="方正仿宋简体" w:eastAsia="方正仿宋简体" w:cstheme="minorBidi"/>
      <w:b/>
      <w:kern w:val="2"/>
      <w:sz w:val="32"/>
      <w:szCs w:val="24"/>
      <w:lang w:val="en-US" w:eastAsia="zh-CN" w:bidi="ar-SA"/>
    </w:rPr>
  </w:style>
  <w:style w:type="paragraph" w:styleId="3">
    <w:name w:val="heading 1"/>
    <w:basedOn w:val="1"/>
    <w:next w:val="1"/>
    <w:qFormat/>
    <w:uiPriority w:val="0"/>
    <w:pPr>
      <w:keepNext/>
      <w:keepLines/>
      <w:spacing w:beforeLines="0" w:beforeAutospacing="0" w:afterLines="0" w:afterAutospacing="0" w:line="576" w:lineRule="auto"/>
      <w:ind w:firstLine="0" w:firstLineChars="0"/>
      <w:jc w:val="center"/>
      <w:outlineLvl w:val="0"/>
    </w:pPr>
    <w:rPr>
      <w:rFonts w:eastAsia="方正小标宋简体"/>
      <w:b w:val="0"/>
      <w:kern w:val="44"/>
      <w:sz w:val="44"/>
    </w:rPr>
  </w:style>
  <w:style w:type="paragraph" w:styleId="2">
    <w:name w:val="heading 2"/>
    <w:basedOn w:val="1"/>
    <w:next w:val="1"/>
    <w:unhideWhenUsed/>
    <w:qFormat/>
    <w:uiPriority w:val="0"/>
    <w:pPr>
      <w:keepNext/>
      <w:keepLines/>
      <w:spacing w:before="100" w:beforeLines="0" w:beforeAutospacing="0" w:after="100" w:afterLines="0" w:afterAutospacing="0" w:line="240" w:lineRule="auto"/>
      <w:jc w:val="left"/>
      <w:outlineLvl w:val="1"/>
    </w:pPr>
    <w:rPr>
      <w:rFonts w:ascii="Arial" w:hAnsi="Arial" w:eastAsia="黑体"/>
      <w:b w:val="0"/>
    </w:rPr>
  </w:style>
  <w:style w:type="paragraph" w:styleId="4">
    <w:name w:val="heading 3"/>
    <w:basedOn w:val="1"/>
    <w:next w:val="1"/>
    <w:unhideWhenUsed/>
    <w:qFormat/>
    <w:uiPriority w:val="0"/>
    <w:pPr>
      <w:keepNext/>
      <w:keepLines/>
      <w:spacing w:before="100" w:beforeLines="0" w:beforeAutospacing="0" w:after="100" w:afterLines="0" w:afterAutospacing="0" w:line="240" w:lineRule="auto"/>
      <w:jc w:val="left"/>
      <w:outlineLvl w:val="2"/>
    </w:pPr>
    <w:rPr>
      <w:rFonts w:eastAsia="方正楷体简体"/>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spacing w:line="360" w:lineRule="auto"/>
      <w:ind w:firstLine="420" w:firstLineChars="200"/>
    </w:pPr>
    <w:rPr>
      <w:rFonts w:ascii="Times New Roman" w:hAnsi="Times New Roman"/>
      <w:sz w:val="24"/>
    </w:rPr>
  </w:style>
  <w:style w:type="paragraph" w:styleId="6">
    <w:name w:val="Body Text"/>
    <w:basedOn w:val="1"/>
    <w:next w:val="1"/>
    <w:qFormat/>
    <w:uiPriority w:val="0"/>
    <w:pPr>
      <w:spacing w:before="0" w:after="140" w:line="276" w:lineRule="auto"/>
    </w:pPr>
    <w:rPr>
      <w:rFonts w:ascii="Times New Roman" w:hAnsi="Times New Roman" w:eastAsia="宋体" w:cs="Times New Roman"/>
    </w:rPr>
  </w:style>
  <w:style w:type="paragraph" w:styleId="7">
    <w:name w:val="Body Text Indent"/>
    <w:basedOn w:val="1"/>
    <w:next w:val="5"/>
    <w:unhideWhenUsed/>
    <w:qFormat/>
    <w:uiPriority w:val="99"/>
    <w:pPr>
      <w:spacing w:after="120"/>
      <w:ind w:left="420" w:leftChars="200"/>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Body Text First Indent"/>
    <w:basedOn w:val="6"/>
    <w:qFormat/>
    <w:uiPriority w:val="0"/>
    <w:pPr>
      <w:ind w:firstLine="420" w:firstLineChars="100"/>
    </w:pPr>
    <w:rPr>
      <w:rFonts w:ascii="Times New Roman" w:hAnsi="Times New Roman" w:eastAsia="宋体" w:cs="Times New Roman"/>
      <w:szCs w:val="24"/>
    </w:rPr>
  </w:style>
  <w:style w:type="paragraph" w:styleId="15">
    <w:name w:val="Body Text First Indent 2"/>
    <w:basedOn w:val="7"/>
    <w:next w:val="14"/>
    <w:unhideWhenUsed/>
    <w:qFormat/>
    <w:uiPriority w:val="99"/>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节"/>
    <w:basedOn w:val="2"/>
    <w:qFormat/>
    <w:uiPriority w:val="0"/>
    <w:pPr>
      <w:adjustRightInd w:val="0"/>
      <w:snapToGrid w:val="0"/>
      <w:spacing w:after="35" w:afterLines="35" w:line="460" w:lineRule="exact"/>
      <w:ind w:firstLine="200" w:firstLineChars="200"/>
      <w:jc w:val="left"/>
    </w:pPr>
    <w:rPr>
      <w:rFonts w:ascii="黑体" w:hAnsi="黑体"/>
      <w:bCs/>
      <w:color w:val="auto"/>
      <w:spacing w:val="4"/>
      <w:w w:val="100"/>
      <w:sz w:val="24"/>
      <w:szCs w:val="21"/>
      <w:lang w:val="zh-CN"/>
    </w:rPr>
  </w:style>
  <w:style w:type="paragraph" w:customStyle="1" w:styleId="20">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1">
    <w:name w:val="二级无"/>
    <w:basedOn w:val="22"/>
    <w:qFormat/>
    <w:uiPriority w:val="0"/>
    <w:pPr>
      <w:spacing w:before="0" w:beforeLines="0" w:after="0" w:afterLines="0"/>
      <w:ind w:left="0" w:firstLine="0"/>
    </w:pPr>
    <w:rPr>
      <w:rFonts w:ascii="宋体" w:eastAsia="宋体"/>
    </w:rPr>
  </w:style>
  <w:style w:type="paragraph" w:customStyle="1" w:styleId="22">
    <w:name w:val="二级条标题"/>
    <w:basedOn w:val="23"/>
    <w:next w:val="20"/>
    <w:qFormat/>
    <w:uiPriority w:val="0"/>
    <w:pPr>
      <w:numPr>
        <w:ilvl w:val="2"/>
        <w:numId w:val="1"/>
      </w:numPr>
      <w:spacing w:before="50" w:after="50"/>
      <w:outlineLvl w:val="3"/>
    </w:pPr>
  </w:style>
  <w:style w:type="paragraph" w:customStyle="1" w:styleId="23">
    <w:name w:val="一级条标题"/>
    <w:next w:val="20"/>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4">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25">
    <w:name w:val="Heading #2|1"/>
    <w:basedOn w:val="1"/>
    <w:qFormat/>
    <w:uiPriority w:val="0"/>
    <w:pPr>
      <w:widowControl w:val="0"/>
      <w:shd w:val="clear" w:color="auto" w:fill="auto"/>
      <w:spacing w:after="160"/>
      <w:jc w:val="center"/>
      <w:outlineLvl w:val="1"/>
    </w:pPr>
    <w:rPr>
      <w:rFonts w:ascii="宋体" w:hAnsi="宋体" w:eastAsia="宋体" w:cs="宋体"/>
      <w:sz w:val="36"/>
      <w:szCs w:val="36"/>
      <w:u w:val="none"/>
      <w:shd w:val="clear" w:color="auto" w:fill="auto"/>
      <w:lang w:val="zh-TW" w:eastAsia="zh-TW" w:bidi="zh-TW"/>
    </w:rPr>
  </w:style>
  <w:style w:type="paragraph" w:customStyle="1" w:styleId="26">
    <w:name w:val="Body text|1"/>
    <w:basedOn w:val="1"/>
    <w:qFormat/>
    <w:uiPriority w:val="0"/>
    <w:pPr>
      <w:widowControl w:val="0"/>
      <w:shd w:val="clear" w:color="auto" w:fill="auto"/>
      <w:spacing w:line="338" w:lineRule="auto"/>
    </w:pPr>
    <w:rPr>
      <w:rFonts w:ascii="宋体" w:hAnsi="宋体" w:eastAsia="宋体" w:cs="宋体"/>
      <w:sz w:val="30"/>
      <w:szCs w:val="30"/>
      <w:u w:val="none"/>
      <w:shd w:val="clear" w:color="auto" w:fill="auto"/>
      <w:lang w:val="zh-TW" w:eastAsia="zh-TW" w:bidi="zh-TW"/>
    </w:rPr>
  </w:style>
  <w:style w:type="paragraph" w:customStyle="1" w:styleId="27">
    <w:name w:val="Heading #1|1"/>
    <w:basedOn w:val="1"/>
    <w:qFormat/>
    <w:uiPriority w:val="0"/>
    <w:pPr>
      <w:widowControl w:val="0"/>
      <w:shd w:val="clear" w:color="auto" w:fill="auto"/>
      <w:spacing w:after="3820"/>
      <w:jc w:val="center"/>
      <w:outlineLvl w:val="0"/>
    </w:pPr>
    <w:rPr>
      <w:rFonts w:ascii="宋体" w:hAnsi="宋体" w:eastAsia="宋体" w:cs="宋体"/>
      <w:sz w:val="46"/>
      <w:szCs w:val="46"/>
      <w:u w:val="none"/>
      <w:shd w:val="clear" w:color="auto" w:fill="auto"/>
      <w:lang w:val="zh-TW" w:eastAsia="zh-TW" w:bidi="zh-TW"/>
    </w:rPr>
  </w:style>
  <w:style w:type="paragraph" w:customStyle="1" w:styleId="28">
    <w:name w:val="Other|1"/>
    <w:basedOn w:val="1"/>
    <w:qFormat/>
    <w:uiPriority w:val="0"/>
    <w:pPr>
      <w:widowControl w:val="0"/>
      <w:shd w:val="clear" w:color="auto" w:fill="auto"/>
      <w:spacing w:line="338" w:lineRule="auto"/>
    </w:pPr>
    <w:rPr>
      <w:rFonts w:ascii="宋体" w:hAnsi="宋体" w:eastAsia="宋体" w:cs="宋体"/>
      <w:sz w:val="30"/>
      <w:szCs w:val="30"/>
      <w:u w:val="none"/>
      <w:shd w:val="clear" w:color="auto" w:fill="auto"/>
      <w:lang w:val="zh-TW" w:eastAsia="zh-TW" w:bidi="zh-TW"/>
    </w:rPr>
  </w:style>
  <w:style w:type="paragraph" w:customStyle="1" w:styleId="29">
    <w:name w:val="Table caption|1"/>
    <w:basedOn w:val="1"/>
    <w:qFormat/>
    <w:uiPriority w:val="0"/>
    <w:pPr>
      <w:widowControl w:val="0"/>
      <w:shd w:val="clear" w:color="auto" w:fill="auto"/>
      <w:spacing w:line="322" w:lineRule="exact"/>
    </w:pPr>
    <w:rPr>
      <w:rFonts w:ascii="宋体" w:hAnsi="宋体" w:eastAsia="宋体" w:cs="宋体"/>
      <w:u w:val="none"/>
      <w:shd w:val="clear" w:color="auto" w:fill="auto"/>
      <w:lang w:val="zh-TW" w:eastAsia="zh-TW" w:bidi="zh-TW"/>
    </w:rPr>
  </w:style>
  <w:style w:type="paragraph" w:styleId="3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132</Pages>
  <Words>7472</Words>
  <Characters>7737</Characters>
  <Lines>0</Lines>
  <Paragraphs>0</Paragraphs>
  <TotalTime>13</TotalTime>
  <ScaleCrop>false</ScaleCrop>
  <LinksUpToDate>false</LinksUpToDate>
  <CharactersWithSpaces>8217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2025-10-28T01:06:00Z</dcterms:created>
  <dc:creator>王小军</dc:creator>
  <cp:lastModifiedBy>王小军</cp:lastModifiedBy>
  <cp:lastPrinted>2025-11-10T02:51:00Z</cp:lastPrinted>
  <dcterms:modified xsi:type="dcterms:W3CDTF">2025-11-17T03:14:50Z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135F5AB569FB499CAB8E79E500A0D157_11</vt:lpwstr>
  </property>
  <property fmtid="{D5CDD505-2E9C-101B-9397-08002B2CF9AE}" pid="4" name="KSOTemplateDocerSaveRecord">
    <vt:lpwstr>eyJoZGlkIjoiOTczZTQzOTNhZmIyZTQ1MGRjODM2Yjk5YjA1ZjM4MDkiLCJ1c2VySWQiOiIxNDc5NTc0Mzk2In0=</vt:lpwstr>
  </property>
</Properties>
</file>