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eastAsia="方正小标宋简体"/>
          <w:color w:val="auto"/>
          <w:spacing w:val="-12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ind w:firstLine="640" w:firstLineChars="200"/>
        <w:outlineLvl w:val="1"/>
        <w:rPr>
          <w:rStyle w:val="21"/>
          <w:rFonts w:hint="eastAsia"/>
        </w:rPr>
      </w:pPr>
      <w:r>
        <w:rPr>
          <w:rStyle w:val="21"/>
          <w:rFonts w:hint="eastAsia"/>
          <w:lang w:val="en-US" w:eastAsia="zh-CN"/>
        </w:rPr>
        <w:t>一</w:t>
      </w:r>
      <w:r>
        <w:rPr>
          <w:rStyle w:val="21"/>
          <w:rFonts w:hint="eastAsia"/>
        </w:rPr>
        <w:t>、毒死蜱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蜱是一种硫代磷酸酯类有机磷杀虫、杀螨剂，具有良好的触杀、胃毒和熏蒸作用。少量的残留不会引起人体急性中毒，但长期食用毒死蜱超标的食品，对人体健康可能有一定影响。《食品安全国家标准 食品中农药最大残留限量》（GB 2763-20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）中规定，毒死蜱在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豇豆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中的最大残留限量值为0.02mg/kg。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豇豆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中毒死蜱残留量超标的原因，可能是为快速控制病情加大用药量或未遵守采摘间隔期规定，致使上市销售时产品中的药物残留量未降解至标准限量以下。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、4-氯苯氧乙酸钠（以4-氯苯氧乙酸计）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Hlk80607805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4-氯苯氧乙酸钠（以4-氯苯氧乙酸计）又称防落素、保果灵，是一种植物生长调节剂。主要用于防止落花落果、抑制豆类生根等。《国家食品药品监督管理总局 农业部 国家卫生和计划生育委员会关于豆芽生产过程中禁止使用6-苄基腺嘌呤等物质的公告（2015年 第11号）》中规定，生产者不得在豆芽生产过程中使用4-氯苯氧乙酸钠，豆芽经营者不得经营含有4-氯苯氧乙酸钠的豆芽。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豆芽中检出4-氯苯氧乙酸钠，可能是由于生产者在豆芽生产过程中为了抑制豆芽生根，提高豆芽产量，从而违规使用相关农药。</w:t>
      </w:r>
    </w:p>
    <w:bookmarkEnd w:id="0"/>
    <w:p>
      <w:pPr>
        <w:pStyle w:val="3"/>
        <w:bidi w:val="0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、地西泮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地西泮又名安定，为镇静剂类药物，主要用于焦虑、镇静催眠，还可用于抗癫痫和抗惊厥。长期食用检出地西泮的食品，可能引起嗜睡、乏力、记忆力下降等。《食品安全国家标准 食品中兽药最大残留限量》（GB 31650—2019）中规定，地西泮药物允许作食用动物的治疗用，但不得在动物性食品中检出。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淡水鱼中检出地西泮的原因，可能是在养殖过程中为快速控制疫病，违规加大用药量，致使上市销售时产品中药物残留量超标；也可能是在运输过程中为了降低新鲜活鱼对外界的感知能力，降低新陈代谢，保证其经过运输后仍然鲜活而违规使用药物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四、大肠菌群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是国内外通用的食品污染常用指示菌之一。大肠菌群超标严重的食品，可能引起呕吐、腹泻等症状，危害人体健康。食品中检出大肠菌群，提示被致病菌（如沙门氏菌、志贺氏菌、致病性大肠杆菌）污染的可能性较大。《食品安全国家标准 消毒餐（饮）具》（GB 14934-2016）中规定，消毒餐（饮）具中的微生物限量大肠菌群不得检出。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造成大肠菌群超标的原因，可能是消毒餐（饮）具在生产、清洗过程中受设备、人员、环境等的污染。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  <w:lang w:eastAsia="zh-CN"/>
        </w:rPr>
        <w:t>甲氨基阿维菌素苯甲酸盐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甲氨基阿维菌素苯甲酸盐，非内吸性杀虫剂，防治蔬菜、果树</w:t>
      </w:r>
      <w:r>
        <w:rPr>
          <w:rFonts w:hint="eastAsia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中的鳞翅类害虫。食用食品一般不会导致甲氨基阿维菌素苯甲酸盐的急性中毒，但长期食用甲氨基阿维菌素苯甲酸盐超标的食品，对人体健康也有一定影响。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《食品安全国家标准 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 2763-2021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）中的规定，甲氨基阿维菌素苯甲酸盐</w:t>
      </w:r>
      <w:r>
        <w:rPr>
          <w:rFonts w:hint="eastAsia" w:cs="Times New Roman"/>
          <w:sz w:val="32"/>
          <w:szCs w:val="32"/>
          <w:lang w:val="en-US" w:eastAsia="zh-CN"/>
        </w:rPr>
        <w:t>在辣椒中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的最大残留限量值为0.02mg/kg。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、噻虫胺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噻虫胺是烟碱类杀虫剂，具有内吸性、触杀和胃毒作用，对姜蛆等有较好防效。少量的残留不会引起人体急性中毒，但长期食用噻虫胺超标的食品，对人体健康可能有一定影响。《食品安全国家标准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2763-2021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）中规定，噻虫胺在</w:t>
      </w:r>
      <w:r>
        <w:rPr>
          <w:rFonts w:hint="eastAsia" w:cs="Times New Roman"/>
          <w:sz w:val="32"/>
          <w:szCs w:val="32"/>
          <w:lang w:val="en-US" w:eastAsia="zh-CN"/>
        </w:rPr>
        <w:t>辣椒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的最大残留限量值为0.05mg/kg</w:t>
      </w:r>
      <w:r>
        <w:rPr>
          <w:rFonts w:hint="eastAsia" w:cs="Times New Roman"/>
          <w:sz w:val="32"/>
          <w:szCs w:val="32"/>
          <w:lang w:eastAsia="zh-CN"/>
        </w:rPr>
        <w:t>；</w:t>
      </w:r>
      <w:r>
        <w:rPr>
          <w:rFonts w:hint="eastAsia" w:cs="Times New Roman"/>
          <w:sz w:val="32"/>
          <w:szCs w:val="32"/>
          <w:lang w:val="en-US" w:eastAsia="zh-CN"/>
        </w:rPr>
        <w:t>在芹菜中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的最大残留限量值为0.04mg/kg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、吡虫啉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吡虫啉是一种烟碱类内吸性杀虫剂，具有广谱、高效、低毒、低残留特性，主要用于防治刺吸式口器害虫，如蚜虫、飞虱、粉虱、叶蝉、蓟马；可用于茶树中防治茶小绿叶蝉。《食品安全国家标准 食品中农药最大残留限量》（GB 2763-2021）中规定，吡虫啉在香蕉中的最大残留限量为0.05mg/kg。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检出吡虫啉超标，可能是在种植过程中为快速控制虫害加大用药量，或未遵守采摘间隔期规定，致使上市销售时产品中的药物残留量未降解至标准限量以下。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</w:pPr>
      <w:r>
        <w:rPr>
          <w:rFonts w:hint="eastAsia"/>
          <w:lang w:val="en-US" w:eastAsia="zh-CN"/>
        </w:rPr>
        <w:t>八</w:t>
      </w:r>
      <w:r>
        <w:rPr>
          <w:rFonts w:hint="eastAsia"/>
        </w:rPr>
        <w:t>、噻虫嗪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噻虫嗪是烟碱类杀虫剂，具有胃毒、触杀和内吸作用，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蚜虫、蛴螬等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。少量的残留不会引起人体急性中毒，但长期食用噻虫嗪超标的食品，对人体健康可能有一定影响。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食品中农药最大残留限量》（GB </w:t>
      </w:r>
      <w:r>
        <w:rPr>
          <w:rFonts w:hint="eastAsia" w:ascii="Times New Roman" w:hAnsi="Times New Roman"/>
          <w:sz w:val="32"/>
          <w:szCs w:val="32"/>
          <w:lang w:eastAsia="zh-CN"/>
        </w:rPr>
        <w:t>2763-2021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噻虫嗪在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葱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0.3mg/kg。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九、</w:t>
      </w:r>
      <w:bookmarkStart w:id="1" w:name="_GoBack"/>
      <w:r>
        <w:rPr>
          <w:rFonts w:hint="eastAsia"/>
        </w:rPr>
        <w:t>阴离子合成洗涤</w:t>
      </w:r>
      <w:bookmarkEnd w:id="1"/>
      <w:r>
        <w:rPr>
          <w:rFonts w:hint="eastAsia"/>
        </w:rPr>
        <w:t>剂(以十二烷基苯磺酸钠计)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阴离子合成洗涤剂是我们日常生活中经常用到的洗衣粉、洗洁精、洗衣液、肥皂等洗涤剂的主要成分，是一种低毒物质。阴离子合成洗涤剂可影响生活饮用水的质量，是饮用水质量检测的重要指标之一，也是消毒餐（饮）具质量评价的重要指标之一。如果饮用水生产过程或餐具清洗消毒过程中控制不当，会造成洗涤剂在水体或餐具上的残留过量，对人体健康产生不良影响。《食品安全国家标准 消毒餐（饮）具》（GB 14934-2016）中规定，阴离子合成洗涤剂在复用餐饮具中不得检出。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餐（饮）具中检出阴离子合成洗涤剂的原因可能是由于餐（饮）具消毒单位使用的洗涤剂不合格或使用量过大，或未经足够量清水冲洗，最终残留在餐（饮）具中。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DVhMDNkN2MwZjkyNTQyNDg2MTBiZjkyMmYzN2UifQ=="/>
    <w:docVar w:name="KSO_WPS_MARK_KEY" w:val="d3becb75-e164-4d76-a58d-c73caa954bc8"/>
  </w:docVars>
  <w:rsids>
    <w:rsidRoot w:val="00172A27"/>
    <w:rsid w:val="03714D17"/>
    <w:rsid w:val="03A9045D"/>
    <w:rsid w:val="057F6FD5"/>
    <w:rsid w:val="0A6112DD"/>
    <w:rsid w:val="0E5C5307"/>
    <w:rsid w:val="0E8B63C7"/>
    <w:rsid w:val="113E11B9"/>
    <w:rsid w:val="135B4572"/>
    <w:rsid w:val="137F75E6"/>
    <w:rsid w:val="14EF6782"/>
    <w:rsid w:val="157919E9"/>
    <w:rsid w:val="15AB146C"/>
    <w:rsid w:val="1B45476F"/>
    <w:rsid w:val="1DFA094E"/>
    <w:rsid w:val="21084D7E"/>
    <w:rsid w:val="21613B1F"/>
    <w:rsid w:val="21897EF2"/>
    <w:rsid w:val="23C36F42"/>
    <w:rsid w:val="293D1F3E"/>
    <w:rsid w:val="2D1766C5"/>
    <w:rsid w:val="2E5E71BD"/>
    <w:rsid w:val="2ED51FB5"/>
    <w:rsid w:val="31175F84"/>
    <w:rsid w:val="32772F4E"/>
    <w:rsid w:val="34DF1036"/>
    <w:rsid w:val="3A4A266D"/>
    <w:rsid w:val="3B484C67"/>
    <w:rsid w:val="403515A2"/>
    <w:rsid w:val="405C616E"/>
    <w:rsid w:val="41F27A3D"/>
    <w:rsid w:val="44815D95"/>
    <w:rsid w:val="45B7425E"/>
    <w:rsid w:val="49F31523"/>
    <w:rsid w:val="4C0909C6"/>
    <w:rsid w:val="4F8F3AB0"/>
    <w:rsid w:val="55B94CA3"/>
    <w:rsid w:val="56342DD2"/>
    <w:rsid w:val="584E1673"/>
    <w:rsid w:val="64662E85"/>
    <w:rsid w:val="6A37178C"/>
    <w:rsid w:val="6A527A52"/>
    <w:rsid w:val="6C130476"/>
    <w:rsid w:val="70FA5671"/>
    <w:rsid w:val="738E0732"/>
    <w:rsid w:val="74AB1062"/>
    <w:rsid w:val="75DE7154"/>
    <w:rsid w:val="769C4887"/>
    <w:rsid w:val="76EF2F80"/>
    <w:rsid w:val="77DD51FF"/>
    <w:rsid w:val="7B362101"/>
    <w:rsid w:val="7C610E43"/>
    <w:rsid w:val="7F0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left"/>
      <w:outlineLvl w:val="0"/>
    </w:pPr>
    <w:rPr>
      <w:rFonts w:ascii="Calibri" w:hAnsi="Calibri" w:eastAsia="宋体"/>
      <w:b/>
      <w:kern w:val="44"/>
      <w:sz w:val="2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94" w:lineRule="exact"/>
      <w:ind w:firstLine="832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autoSpaceDE w:val="0"/>
      <w:autoSpaceDN w:val="0"/>
      <w:adjustRightInd w:val="0"/>
      <w:snapToGrid w:val="0"/>
      <w:spacing w:line="360" w:lineRule="auto"/>
      <w:jc w:val="left"/>
      <w:outlineLvl w:val="2"/>
    </w:pPr>
    <w:rPr>
      <w:rFonts w:ascii="宋体" w:hAnsi="宋体" w:eastAsia="宋体"/>
      <w:b/>
      <w:kern w:val="0"/>
      <w:sz w:val="24"/>
      <w:szCs w:val="2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left="0"/>
      <w:jc w:val="left"/>
      <w:outlineLvl w:val="3"/>
    </w:pPr>
    <w:rPr>
      <w:rFonts w:ascii="宋体" w:hAnsi="宋体" w:eastAsia="宋体" w:cs="Times New Roman"/>
      <w:b/>
      <w:bCs/>
      <w:sz w:val="24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0"/>
    <w:pPr>
      <w:keepNext/>
      <w:keepLines/>
      <w:spacing w:line="360" w:lineRule="auto"/>
      <w:outlineLvl w:val="4"/>
    </w:pPr>
    <w:rPr>
      <w:rFonts w:asciiTheme="minorAscii" w:hAnsiTheme="minorAscii"/>
      <w:b/>
      <w:bCs/>
      <w:sz w:val="24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5"/>
    </w:pPr>
    <w:rPr>
      <w:rFonts w:ascii="Arial" w:hAnsi="Arial" w:eastAsia="宋体"/>
      <w:b/>
      <w:kern w:val="0"/>
      <w:sz w:val="24"/>
      <w:szCs w:val="20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6"/>
    </w:pPr>
    <w:rPr>
      <w:rFonts w:ascii="宋体" w:hAnsi="宋体" w:eastAsia="宋体"/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a heading"/>
    <w:basedOn w:val="1"/>
    <w:next w:val="1"/>
    <w:qFormat/>
    <w:uiPriority w:val="0"/>
    <w:rPr>
      <w:rFonts w:ascii="Arial" w:hAnsi="Arial"/>
    </w:rPr>
  </w:style>
  <w:style w:type="paragraph" w:styleId="10">
    <w:name w:val="Body Text"/>
    <w:basedOn w:val="1"/>
    <w:next w:val="11"/>
    <w:qFormat/>
    <w:uiPriority w:val="0"/>
    <w:pPr>
      <w:spacing w:afterLines="0"/>
      <w:jc w:val="left"/>
    </w:pPr>
    <w:rPr>
      <w:rFonts w:ascii="宋体" w:hAnsi="宋体" w:eastAsia="宋体" w:cs="Times New Roman"/>
      <w:sz w:val="24"/>
    </w:rPr>
  </w:style>
  <w:style w:type="paragraph" w:styleId="11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2">
    <w:name w:val="List 2"/>
    <w:basedOn w:val="1"/>
    <w:semiHidden/>
    <w:unhideWhenUsed/>
    <w:qFormat/>
    <w:uiPriority w:val="99"/>
    <w:pPr>
      <w:ind w:left="200" w:leftChars="200" w:hanging="200" w:hangingChars="200"/>
    </w:pPr>
    <w:rPr>
      <w:rFonts w:ascii="宋体"/>
    </w:rPr>
  </w:style>
  <w:style w:type="paragraph" w:styleId="13">
    <w:name w:val="toc 3"/>
    <w:basedOn w:val="1"/>
    <w:next w:val="1"/>
    <w:qFormat/>
    <w:uiPriority w:val="0"/>
    <w:pPr>
      <w:ind w:left="539"/>
    </w:pPr>
    <w:rPr>
      <w:rFonts w:eastAsia="宋体" w:asciiTheme="minorAscii" w:hAnsiTheme="minorAscii" w:cstheme="minorHAnsi"/>
      <w:i/>
      <w:iCs/>
      <w:szCs w:val="24"/>
    </w:rPr>
  </w:style>
  <w:style w:type="paragraph" w:styleId="14">
    <w:name w:val="toc 1"/>
    <w:basedOn w:val="1"/>
    <w:next w:val="1"/>
    <w:qFormat/>
    <w:uiPriority w:val="0"/>
    <w:pPr>
      <w:tabs>
        <w:tab w:val="right" w:leader="middleDot" w:pos="9000"/>
      </w:tabs>
      <w:autoSpaceDE w:val="0"/>
      <w:autoSpaceDN w:val="0"/>
      <w:adjustRightInd w:val="0"/>
      <w:spacing w:line="700" w:lineRule="exact"/>
      <w:ind w:left="96" w:leftChars="40"/>
      <w:jc w:val="left"/>
    </w:pPr>
    <w:rPr>
      <w:rFonts w:ascii="Copperplate Gothic Bold" w:hAnsi="Copperplate Gothic Bold" w:eastAsia="宋体" w:cs="宋体"/>
      <w:kern w:val="0"/>
      <w:szCs w:val="28"/>
    </w:rPr>
  </w:style>
  <w:style w:type="paragraph" w:styleId="15">
    <w:name w:val="toc 2"/>
    <w:basedOn w:val="1"/>
    <w:next w:val="1"/>
    <w:qFormat/>
    <w:uiPriority w:val="0"/>
    <w:pPr>
      <w:adjustRightInd/>
      <w:snapToGrid/>
      <w:ind w:left="430" w:leftChars="179"/>
    </w:pPr>
    <w:rPr>
      <w:rFonts w:hint="eastAsia" w:ascii="仿宋" w:hAnsi="仿宋" w:eastAsia="仿宋" w:cs="宋体"/>
      <w:sz w:val="28"/>
      <w:szCs w:val="20"/>
    </w:rPr>
  </w:style>
  <w:style w:type="paragraph" w:styleId="1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character" w:customStyle="1" w:styleId="19">
    <w:name w:val="标题 5 Char"/>
    <w:basedOn w:val="18"/>
    <w:link w:val="6"/>
    <w:semiHidden/>
    <w:qFormat/>
    <w:uiPriority w:val="9"/>
    <w:rPr>
      <w:rFonts w:asciiTheme="minorAscii" w:hAnsiTheme="minorAscii" w:eastAsiaTheme="minorEastAsia"/>
      <w:b/>
      <w:bCs/>
      <w:sz w:val="24"/>
      <w:szCs w:val="28"/>
    </w:rPr>
  </w:style>
  <w:style w:type="character" w:customStyle="1" w:styleId="20">
    <w:name w:val="标题 3 Char1"/>
    <w:link w:val="4"/>
    <w:qFormat/>
    <w:uiPriority w:val="0"/>
    <w:rPr>
      <w:rFonts w:ascii="宋体" w:hAnsi="宋体" w:eastAsia="宋体" w:cs="宋体"/>
      <w:b/>
      <w:sz w:val="24"/>
      <w:szCs w:val="24"/>
    </w:rPr>
  </w:style>
  <w:style w:type="character" w:customStyle="1" w:styleId="21">
    <w:name w:val="标题 2 Char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1845</Words>
  <Characters>1977</Characters>
  <Lines>0</Lines>
  <Paragraphs>0</Paragraphs>
  <TotalTime>3</TotalTime>
  <ScaleCrop>false</ScaleCrop>
  <LinksUpToDate>false</LinksUpToDate>
  <CharactersWithSpaces>1996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2023-02-28T05:19:00Z</dcterms:created>
  <dc:creator>JLA-PANSHUCUI</dc:creator>
  <cp:lastModifiedBy>JLA-PANSHUCUI</cp:lastModifiedBy>
  <dcterms:modified xsi:type="dcterms:W3CDTF">2024-08-14T07:51:14Z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A03C649407F84B31B60BDBA210B6B7C7</vt:lpwstr>
  </property>
</Properties>
</file>