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AADD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b w:val="0"/>
          <w:bCs w:val="0"/>
          <w:sz w:val="44"/>
          <w:szCs w:val="44"/>
          <w:lang w:val="en-US" w:eastAsia="zh-CN"/>
        </w:rPr>
      </w:pPr>
    </w:p>
    <w:p w14:paraId="42176E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sz w:val="44"/>
          <w:szCs w:val="44"/>
          <w:lang w:val="en-US" w:eastAsia="zh-CN"/>
        </w:rPr>
      </w:pPr>
    </w:p>
    <w:p w14:paraId="233C6C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sz w:val="44"/>
          <w:szCs w:val="44"/>
          <w:lang w:val="en-US" w:eastAsia="zh-CN"/>
        </w:rPr>
      </w:pPr>
    </w:p>
    <w:p w14:paraId="4DCF5B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sz w:val="44"/>
          <w:szCs w:val="44"/>
          <w:lang w:val="en-US" w:eastAsia="zh-CN"/>
        </w:rPr>
      </w:pPr>
    </w:p>
    <w:p w14:paraId="116A35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小标宋简体" w:cs="Times New Roman"/>
          <w:b w:val="0"/>
          <w:bCs w:val="0"/>
          <w:sz w:val="48"/>
          <w:szCs w:val="48"/>
          <w:lang w:val="en-US" w:eastAsia="zh-CN"/>
        </w:rPr>
      </w:pPr>
      <w:r>
        <w:rPr>
          <w:rFonts w:hint="default" w:ascii="Times New Roman" w:hAnsi="Times New Roman" w:eastAsia="方正小标宋简体" w:cs="Times New Roman"/>
          <w:b w:val="0"/>
          <w:bCs w:val="0"/>
          <w:sz w:val="48"/>
          <w:szCs w:val="48"/>
          <w:lang w:val="en-US" w:eastAsia="zh-CN"/>
        </w:rPr>
        <w:t>济宁市特种设备使用单位落实</w:t>
      </w:r>
    </w:p>
    <w:p w14:paraId="28B5E4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小标宋简体" w:cs="Times New Roman"/>
          <w:b w:val="0"/>
          <w:bCs w:val="0"/>
          <w:sz w:val="48"/>
          <w:szCs w:val="48"/>
          <w:lang w:val="en-US" w:eastAsia="zh-CN"/>
        </w:rPr>
      </w:pPr>
      <w:r>
        <w:rPr>
          <w:rFonts w:hint="default" w:ascii="Times New Roman" w:hAnsi="Times New Roman" w:eastAsia="方正小标宋简体" w:cs="Times New Roman"/>
          <w:b w:val="0"/>
          <w:bCs w:val="0"/>
          <w:sz w:val="48"/>
          <w:szCs w:val="48"/>
          <w:lang w:val="en-US" w:eastAsia="zh-CN"/>
        </w:rPr>
        <w:t>使用安全主体责任指导手册</w:t>
      </w:r>
    </w:p>
    <w:p w14:paraId="26C9D0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小标宋简体" w:cs="Times New Roman"/>
          <w:b w:val="0"/>
          <w:bCs w:val="0"/>
          <w:sz w:val="44"/>
          <w:szCs w:val="44"/>
          <w:lang w:val="en-US" w:eastAsia="zh-CN"/>
        </w:rPr>
      </w:pPr>
      <w:r>
        <w:rPr>
          <w:rFonts w:hint="default" w:ascii="Times New Roman" w:hAnsi="Times New Roman" w:eastAsia="方正小标宋简体" w:cs="Times New Roman"/>
          <w:b w:val="0"/>
          <w:bCs w:val="0"/>
          <w:sz w:val="44"/>
          <w:szCs w:val="44"/>
          <w:lang w:val="en-US" w:eastAsia="zh-CN"/>
        </w:rPr>
        <w:t>（第2版）</w:t>
      </w:r>
    </w:p>
    <w:p w14:paraId="537DC5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eastAsia="zh-CN"/>
        </w:rPr>
      </w:pPr>
    </w:p>
    <w:p w14:paraId="077CFB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eastAsia="zh-CN"/>
        </w:rPr>
      </w:pPr>
    </w:p>
    <w:p w14:paraId="4E8824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eastAsia="zh-CN"/>
        </w:rPr>
      </w:pPr>
    </w:p>
    <w:p w14:paraId="322D06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eastAsia="zh-CN"/>
        </w:rPr>
      </w:pPr>
    </w:p>
    <w:p w14:paraId="625426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eastAsia="zh-CN"/>
        </w:rPr>
      </w:pPr>
    </w:p>
    <w:p w14:paraId="2372D4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eastAsia="zh-CN"/>
        </w:rPr>
      </w:pPr>
    </w:p>
    <w:p w14:paraId="0B12D9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eastAsia="zh-CN"/>
        </w:rPr>
      </w:pPr>
    </w:p>
    <w:p w14:paraId="1EE522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lang w:eastAsia="zh-CN"/>
        </w:rPr>
      </w:pPr>
    </w:p>
    <w:p w14:paraId="54F049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楷体简体" w:cs="Times New Roman"/>
          <w:b w:val="0"/>
          <w:bCs w:val="0"/>
          <w:lang w:eastAsia="zh-CN"/>
        </w:rPr>
      </w:pPr>
    </w:p>
    <w:p w14:paraId="2C2C44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楷体简体" w:cs="Times New Roman"/>
          <w:b w:val="0"/>
          <w:bCs w:val="0"/>
          <w:lang w:eastAsia="zh-CN"/>
        </w:rPr>
      </w:pPr>
    </w:p>
    <w:p w14:paraId="5ED52582">
      <w:pPr>
        <w:pStyle w:val="2"/>
        <w:rPr>
          <w:rFonts w:hint="default" w:ascii="Times New Roman" w:hAnsi="Times New Roman" w:eastAsia="方正楷体简体" w:cs="Times New Roman"/>
          <w:b w:val="0"/>
          <w:bCs w:val="0"/>
          <w:lang w:eastAsia="zh-CN"/>
        </w:rPr>
      </w:pPr>
    </w:p>
    <w:p w14:paraId="7C8EBF4E">
      <w:pPr>
        <w:rPr>
          <w:rFonts w:hint="default" w:ascii="Times New Roman" w:hAnsi="Times New Roman" w:eastAsia="方正楷体简体" w:cs="Times New Roman"/>
          <w:b w:val="0"/>
          <w:bCs w:val="0"/>
          <w:lang w:eastAsia="zh-CN"/>
        </w:rPr>
      </w:pPr>
    </w:p>
    <w:p w14:paraId="377B5F67">
      <w:pPr>
        <w:pStyle w:val="2"/>
        <w:rPr>
          <w:rFonts w:hint="default" w:ascii="Times New Roman" w:hAnsi="Times New Roman" w:eastAsia="方正楷体简体" w:cs="Times New Roman"/>
          <w:b w:val="0"/>
          <w:bCs w:val="0"/>
          <w:lang w:eastAsia="zh-CN"/>
        </w:rPr>
      </w:pPr>
    </w:p>
    <w:p w14:paraId="2119A16C">
      <w:pPr>
        <w:rPr>
          <w:rFonts w:hint="default" w:ascii="Times New Roman" w:hAnsi="Times New Roman" w:eastAsia="方正楷体简体" w:cs="Times New Roman"/>
          <w:b w:val="0"/>
          <w:bCs w:val="0"/>
          <w:lang w:eastAsia="zh-CN"/>
        </w:rPr>
      </w:pPr>
    </w:p>
    <w:p w14:paraId="289A2CFC">
      <w:pPr>
        <w:pStyle w:val="2"/>
        <w:rPr>
          <w:rFonts w:hint="default" w:ascii="Times New Roman" w:hAnsi="Times New Roman" w:eastAsia="方正楷体简体" w:cs="Times New Roman"/>
          <w:b w:val="0"/>
          <w:bCs w:val="0"/>
          <w:lang w:eastAsia="zh-CN"/>
        </w:rPr>
      </w:pPr>
    </w:p>
    <w:p w14:paraId="6516F203">
      <w:pPr>
        <w:rPr>
          <w:rFonts w:hint="default"/>
          <w:lang w:eastAsia="zh-CN"/>
        </w:rPr>
      </w:pPr>
    </w:p>
    <w:p w14:paraId="154732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方正楷体简体" w:cs="Times New Roman"/>
          <w:b w:val="0"/>
          <w:bCs w:val="0"/>
          <w:lang w:eastAsia="zh-CN"/>
        </w:rPr>
      </w:pPr>
      <w:r>
        <w:rPr>
          <w:rFonts w:hint="default" w:ascii="Times New Roman" w:hAnsi="Times New Roman" w:eastAsia="方正楷体简体" w:cs="Times New Roman"/>
          <w:b w:val="0"/>
          <w:bCs w:val="0"/>
          <w:sz w:val="44"/>
          <w:szCs w:val="44"/>
          <w:lang w:val="en-US" w:eastAsia="zh-CN"/>
        </w:rPr>
        <w:t>济宁市市场监督管理局</w:t>
      </w:r>
    </w:p>
    <w:p w14:paraId="6873F8AF">
      <w:pPr>
        <w:keepNext w:val="0"/>
        <w:keepLines w:val="0"/>
        <w:pageBreakBefore w:val="0"/>
        <w:widowControl w:val="0"/>
        <w:numPr>
          <w:ilvl w:val="0"/>
          <w:numId w:val="0"/>
        </w:numPr>
        <w:kinsoku/>
        <w:wordWrap/>
        <w:overflowPunct/>
        <w:topLinePunct w:val="0"/>
        <w:autoSpaceDE/>
        <w:autoSpaceDN/>
        <w:bidi w:val="0"/>
        <w:adjustRightInd/>
        <w:snapToGrid/>
        <w:spacing w:line="640" w:lineRule="exact"/>
        <w:jc w:val="center"/>
        <w:textAlignment w:val="auto"/>
        <w:rPr>
          <w:rFonts w:hint="default" w:ascii="Times New Roman" w:hAnsi="Times New Roman" w:cs="Times New Roman"/>
          <w:b w:val="0"/>
          <w:bCs w:val="0"/>
          <w:lang w:val="en-US" w:eastAsia="zh-CN"/>
        </w:rPr>
      </w:pPr>
      <w:r>
        <w:rPr>
          <w:rFonts w:hint="default" w:ascii="Times New Roman" w:hAnsi="Times New Roman" w:eastAsia="方正楷体简体" w:cs="Times New Roman"/>
          <w:b w:val="0"/>
          <w:bCs w:val="0"/>
          <w:sz w:val="44"/>
          <w:szCs w:val="44"/>
          <w:lang w:val="en-US" w:eastAsia="zh-CN"/>
        </w:rPr>
        <w:t>2026年</w:t>
      </w:r>
      <w:r>
        <w:rPr>
          <w:rFonts w:hint="eastAsia" w:eastAsia="方正楷体简体" w:cs="Times New Roman"/>
          <w:b w:val="0"/>
          <w:bCs w:val="0"/>
          <w:sz w:val="44"/>
          <w:szCs w:val="44"/>
          <w:lang w:val="en-US" w:eastAsia="zh-CN"/>
        </w:rPr>
        <w:t>4</w:t>
      </w:r>
      <w:r>
        <w:rPr>
          <w:rFonts w:hint="default" w:ascii="Times New Roman" w:hAnsi="Times New Roman" w:eastAsia="方正楷体简体" w:cs="Times New Roman"/>
          <w:b w:val="0"/>
          <w:bCs w:val="0"/>
          <w:sz w:val="44"/>
          <w:szCs w:val="44"/>
          <w:lang w:val="en-US" w:eastAsia="zh-CN"/>
        </w:rPr>
        <w:t>月</w:t>
      </w:r>
      <w:r>
        <w:rPr>
          <w:rFonts w:hint="default" w:ascii="Times New Roman" w:hAnsi="Times New Roman" w:cs="Times New Roman"/>
          <w:b w:val="0"/>
          <w:bCs w:val="0"/>
          <w:lang w:val="en-US" w:eastAsia="zh-CN"/>
        </w:rPr>
        <w:br w:type="page"/>
      </w:r>
    </w:p>
    <w:p w14:paraId="048BD9D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Times New Roman" w:hAnsi="Times New Roman" w:eastAsia="方正公文小标宋" w:cs="Times New Roman"/>
          <w:b w:val="0"/>
          <w:bCs w:val="0"/>
          <w:sz w:val="44"/>
          <w:szCs w:val="44"/>
          <w:lang w:val="en-US" w:eastAsia="zh-CN"/>
        </w:rPr>
      </w:pPr>
    </w:p>
    <w:p w14:paraId="5A0FE75C">
      <w:pPr>
        <w:rPr>
          <w:rFonts w:hint="default" w:ascii="Times New Roman" w:hAnsi="Times New Roman" w:eastAsia="方正公文小标宋" w:cs="Times New Roman"/>
          <w:b w:val="0"/>
          <w:bCs w:val="0"/>
          <w:sz w:val="44"/>
          <w:szCs w:val="44"/>
          <w:lang w:val="en-US" w:eastAsia="zh-CN"/>
        </w:rPr>
      </w:pPr>
      <w:r>
        <w:rPr>
          <w:rFonts w:hint="default" w:ascii="Times New Roman" w:hAnsi="Times New Roman" w:eastAsia="方正公文小标宋" w:cs="Times New Roman"/>
          <w:b w:val="0"/>
          <w:bCs w:val="0"/>
          <w:sz w:val="44"/>
          <w:szCs w:val="44"/>
          <w:lang w:val="en-US" w:eastAsia="zh-CN"/>
        </w:rPr>
        <w:br w:type="page"/>
      </w:r>
    </w:p>
    <w:p w14:paraId="3F815E8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lang w:val="en-US" w:eastAsia="zh-CN"/>
        </w:rPr>
      </w:pPr>
      <w:r>
        <w:rPr>
          <w:rFonts w:hint="eastAsia" w:ascii="黑体" w:hAnsi="黑体" w:eastAsia="黑体" w:cs="黑体"/>
          <w:b w:val="0"/>
          <w:bCs w:val="0"/>
          <w:sz w:val="28"/>
          <w:szCs w:val="28"/>
          <w:lang w:val="en-US" w:eastAsia="zh-CN"/>
        </w:rPr>
        <w:t>前  言</w:t>
      </w:r>
    </w:p>
    <w:p w14:paraId="052E3D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b w:val="0"/>
          <w:bCs w:val="0"/>
          <w:sz w:val="24"/>
          <w:szCs w:val="24"/>
          <w:lang w:val="en-US" w:eastAsia="zh-CN"/>
        </w:rPr>
      </w:pPr>
    </w:p>
    <w:p w14:paraId="5F2718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落实使用单位安全主体责任，是保障特种设备安全运行的核心环节和根本遵循。近年来，国家先后出台一系列特种设备安全法律法规、标准规范和政策文件，为使用单位履行安全责任提供了遵循。然而，在实际工作中，部分使用单位仍存在安全意识淡薄、责任体系不健全、管理制度不完善、隐患排查不彻底、应急处置能力不足等问题，给特种设备安全运行埋下了风险隐患。​</w:t>
      </w:r>
    </w:p>
    <w:p w14:paraId="5637276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为深入贯彻《特种设备安全法》等法律法规要求，进一步规范全市特种设备使用单位的安全管理行为，帮助使用单位准确理解和掌握安全主体责任的具体内容、落实路径和工作要求，有效提升特种设备安全管理水平，防范和遏制特种设备安全事故发生，我们组织编写了《济宁市特种设备使用单位落实使用安全主体责任指导手册》（以下简称《手册》）。​  </w:t>
      </w:r>
    </w:p>
    <w:p w14:paraId="091F63D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手册》紧密结合济宁市特种设备使用管理的实际情况，以“实用、易懂、可操作”为原则，系统梳理了安全管理机构和安全管理人员、安全技术档案、安全管理制度和安全操作规程、专项应急预案和应急演练、安全教育培训和考核、定期自行检查和维护保养等方面的核心职责和工作要点，力求为使用单位提供一套全面、系统、科学的安全管理指引。由于编写时间和水平有限，《手册》中可能存在不足之处，恳请各使用单位和相关部门在使用过程中提出宝贵意见和建议，以便我们进一步修订完善。</w:t>
      </w:r>
    </w:p>
    <w:p w14:paraId="1BE7FA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希望各特种设备使用单位能够充分认识本《手册》的重要性，将其作为落实安全主体责任的重要工具，组织相关人员认真学习、熟练掌握，并结合本单位实际情况，将《手册》中的要求转化为具体的安全管理措施，不断提升特种设备安全管理水平。​</w:t>
      </w:r>
    </w:p>
    <w:p w14:paraId="6D49AB0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imes New Roman" w:hAnsi="Times New Roman" w:cs="Times New Roman"/>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市场监管总局2026年2月发布新版《特种设备使用管理规则》（TSG08-2026），自2026年5月1日起施行，对特种设备使用单位的管理要求发生较大变化，故对《手册》进行第1次修订。</w:t>
      </w:r>
    </w:p>
    <w:p w14:paraId="38B89A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本《手册》仅供参考，具体要求以特种设备安全相关法律法规、安全技术规范和国家标准为准。不当之处还请各位同仁批评指正。</w:t>
      </w:r>
      <w:bookmarkStart w:id="71" w:name="_GoBack"/>
      <w:bookmarkEnd w:id="71"/>
    </w:p>
    <w:p w14:paraId="4990D0E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楷体简体" w:cs="Times New Roman"/>
          <w:b w:val="0"/>
          <w:bCs w:val="0"/>
          <w:color w:val="FF0000"/>
          <w:sz w:val="24"/>
          <w:szCs w:val="24"/>
          <w:lang w:val="en-US" w:eastAsia="zh-CN"/>
        </w:rPr>
      </w:pPr>
    </w:p>
    <w:p w14:paraId="542278A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FF0000"/>
          <w:sz w:val="24"/>
          <w:szCs w:val="24"/>
          <w:lang w:val="en-US" w:eastAsia="zh-CN"/>
        </w:rPr>
      </w:pPr>
    </w:p>
    <w:p w14:paraId="7F2B6DE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 xml:space="preserve">                    </w:t>
      </w:r>
      <w:r>
        <w:rPr>
          <w:rFonts w:hint="eastAsia" w:asciiTheme="minorEastAsia" w:hAnsiTheme="minorEastAsia" w:eastAsiaTheme="minorEastAsia" w:cstheme="minorEastAsia"/>
          <w:b w:val="0"/>
          <w:bCs w:val="0"/>
          <w:color w:val="auto"/>
          <w:sz w:val="24"/>
          <w:szCs w:val="24"/>
          <w:lang w:val="en-US" w:eastAsia="zh-CN"/>
        </w:rPr>
        <w:t xml:space="preserve">                             编者</w:t>
      </w:r>
    </w:p>
    <w:p w14:paraId="6B785AD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黑体" w:cs="Times New Roman"/>
          <w:b w:val="0"/>
          <w:bCs w:val="0"/>
          <w:lang w:val="en-US" w:eastAsia="zh-CN"/>
        </w:rPr>
      </w:pPr>
      <w:r>
        <w:rPr>
          <w:rFonts w:hint="eastAsia" w:asciiTheme="minorEastAsia" w:hAnsiTheme="minorEastAsia" w:eastAsiaTheme="minorEastAsia" w:cstheme="minorEastAsia"/>
          <w:b w:val="0"/>
          <w:bCs w:val="0"/>
          <w:color w:val="auto"/>
          <w:sz w:val="24"/>
          <w:szCs w:val="24"/>
          <w:lang w:val="en-US" w:eastAsia="zh-CN"/>
        </w:rPr>
        <w:t xml:space="preserve">                                           2026年4月25日</w:t>
      </w:r>
      <w:r>
        <w:rPr>
          <w:rFonts w:hint="eastAsia" w:asciiTheme="minorEastAsia" w:hAnsiTheme="minorEastAsia" w:eastAsiaTheme="minorEastAsia" w:cstheme="minorEastAsia"/>
          <w:b w:val="0"/>
          <w:bCs w:val="0"/>
          <w:sz w:val="24"/>
          <w:szCs w:val="24"/>
          <w:lang w:val="en-US" w:eastAsia="zh-CN"/>
        </w:rPr>
        <w:t xml:space="preserve"> </w:t>
      </w:r>
      <w:r>
        <w:rPr>
          <w:rFonts w:hint="default" w:ascii="Times New Roman" w:hAnsi="Times New Roman" w:eastAsia="黑体" w:cs="Times New Roman"/>
          <w:b w:val="0"/>
          <w:bCs w:val="0"/>
          <w:lang w:val="en-US" w:eastAsia="zh-CN"/>
        </w:rPr>
        <w:t xml:space="preserve">                                 </w:t>
      </w:r>
    </w:p>
    <w:p w14:paraId="6937024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Times New Roman" w:hAnsi="Times New Roman" w:eastAsia="方正公文小标宋" w:cs="Times New Roman"/>
          <w:b w:val="0"/>
          <w:bCs w:val="0"/>
          <w:sz w:val="44"/>
          <w:szCs w:val="44"/>
          <w:lang w:val="en-US" w:eastAsia="zh-CN"/>
        </w:rPr>
        <w:sectPr>
          <w:pgSz w:w="11906" w:h="16838"/>
          <w:pgMar w:top="1440" w:right="1800" w:bottom="1440" w:left="1800" w:header="851" w:footer="992" w:gutter="0"/>
          <w:pgNumType w:fmt="decimal"/>
          <w:cols w:space="425" w:num="1"/>
          <w:docGrid w:type="lines" w:linePitch="312" w:charSpace="0"/>
        </w:sectPr>
      </w:pPr>
    </w:p>
    <w:sdt>
      <w:sdtPr>
        <w:rPr>
          <w:rFonts w:hint="eastAsia" w:ascii="黑体" w:hAnsi="黑体" w:eastAsia="黑体" w:cs="黑体"/>
          <w:sz w:val="28"/>
          <w:szCs w:val="28"/>
          <w:lang w:val="en-US" w:eastAsia="zh-CN"/>
        </w:rPr>
        <w:id w:val="147474793"/>
        <w15:color w:val="DBDBDB"/>
        <w:docPartObj>
          <w:docPartGallery w:val="Table of Contents"/>
          <w:docPartUnique/>
        </w:docPartObj>
      </w:sdtPr>
      <w:sdtEndPr>
        <w:rPr>
          <w:rFonts w:hint="default" w:ascii="Times New Roman" w:hAnsi="Times New Roman" w:eastAsia="宋体" w:cs="Times New Roman"/>
          <w:b w:val="0"/>
          <w:bCs w:val="0"/>
          <w:kern w:val="2"/>
          <w:sz w:val="21"/>
          <w:szCs w:val="24"/>
          <w:lang w:val="en-US" w:eastAsia="zh-CN" w:bidi="ar-SA"/>
        </w:rPr>
      </w:sdtEndPr>
      <w:sdtContent>
        <w:p w14:paraId="29C8D777">
          <w:pPr>
            <w:bidi w:val="0"/>
            <w:jc w:val="center"/>
            <w:rPr>
              <w:rFonts w:hint="eastAsia" w:ascii="黑体" w:hAnsi="黑体" w:eastAsia="黑体" w:cs="黑体"/>
              <w:sz w:val="28"/>
              <w:szCs w:val="28"/>
            </w:rPr>
          </w:pPr>
          <w:r>
            <w:rPr>
              <w:rFonts w:hint="eastAsia" w:ascii="黑体" w:hAnsi="黑体" w:eastAsia="黑体" w:cs="黑体"/>
              <w:sz w:val="28"/>
              <w:szCs w:val="28"/>
            </w:rPr>
            <w:t>目</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录</w:t>
          </w:r>
        </w:p>
        <w:p w14:paraId="3A786F6B">
          <w:pPr>
            <w:pStyle w:val="11"/>
            <w:tabs>
              <w:tab w:val="right" w:leader="dot" w:pos="8306"/>
            </w:tabs>
          </w:pPr>
          <w:r>
            <w:rPr>
              <w:rFonts w:hint="default" w:ascii="Times New Roman" w:hAnsi="Times New Roman" w:cs="Times New Roman"/>
              <w:b w:val="0"/>
              <w:bCs w:val="0"/>
            </w:rPr>
            <w:fldChar w:fldCharType="begin"/>
          </w:r>
          <w:r>
            <w:rPr>
              <w:rFonts w:hint="default" w:ascii="Times New Roman" w:hAnsi="Times New Roman" w:cs="Times New Roman"/>
              <w:b w:val="0"/>
              <w:bCs w:val="0"/>
            </w:rPr>
            <w:instrText xml:space="preserve">TOC \o "1-3" \h \u </w:instrText>
          </w:r>
          <w:r>
            <w:rPr>
              <w:rFonts w:hint="default" w:ascii="Times New Roman" w:hAnsi="Times New Roman" w:cs="Times New Roman"/>
              <w:b w:val="0"/>
              <w:bCs w:val="0"/>
            </w:rPr>
            <w:fldChar w:fldCharType="separate"/>
          </w: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_Toc2026 </w:instrText>
          </w:r>
          <w:r>
            <w:rPr>
              <w:rFonts w:hint="default" w:ascii="Times New Roman" w:hAnsi="Times New Roman" w:cs="Times New Roman"/>
              <w:bCs w:val="0"/>
            </w:rPr>
            <w:fldChar w:fldCharType="separate"/>
          </w:r>
          <w:r>
            <w:rPr>
              <w:rFonts w:hint="eastAsia" w:ascii="黑体" w:hAnsi="黑体" w:eastAsia="黑体" w:cs="黑体"/>
              <w:bCs w:val="0"/>
              <w:szCs w:val="28"/>
              <w:lang w:val="en-US" w:eastAsia="zh-CN"/>
            </w:rPr>
            <w:t>一、总体要求</w:t>
          </w:r>
          <w:r>
            <w:tab/>
          </w:r>
          <w:r>
            <w:fldChar w:fldCharType="begin"/>
          </w:r>
          <w:r>
            <w:instrText xml:space="preserve"> PAGEREF _Toc2026 \h </w:instrText>
          </w:r>
          <w:r>
            <w:fldChar w:fldCharType="separate"/>
          </w:r>
          <w:r>
            <w:t>1</w:t>
          </w:r>
          <w:r>
            <w:fldChar w:fldCharType="end"/>
          </w:r>
          <w:r>
            <w:rPr>
              <w:rFonts w:hint="default" w:ascii="Times New Roman" w:hAnsi="Times New Roman" w:cs="Times New Roman"/>
              <w:bCs w:val="0"/>
            </w:rPr>
            <w:fldChar w:fldCharType="end"/>
          </w:r>
        </w:p>
        <w:p w14:paraId="50BC2F13">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_Toc19113 </w:instrText>
          </w:r>
          <w:r>
            <w:rPr>
              <w:rFonts w:hint="default" w:ascii="Times New Roman" w:hAnsi="Times New Roman" w:cs="Times New Roman"/>
              <w:bCs w:val="0"/>
            </w:rPr>
            <w:fldChar w:fldCharType="separate"/>
          </w:r>
          <w:r>
            <w:rPr>
              <w:rFonts w:hint="eastAsia" w:ascii="黑体" w:hAnsi="黑体" w:eastAsia="黑体" w:cs="黑体"/>
              <w:bCs w:val="0"/>
              <w:szCs w:val="28"/>
              <w:lang w:val="en-US" w:eastAsia="zh-CN"/>
            </w:rPr>
            <w:t>二、安全管理机构和安全管理人员</w:t>
          </w:r>
          <w:r>
            <w:tab/>
          </w:r>
          <w:r>
            <w:fldChar w:fldCharType="begin"/>
          </w:r>
          <w:r>
            <w:instrText xml:space="preserve"> PAGEREF _Toc19113 \h </w:instrText>
          </w:r>
          <w:r>
            <w:fldChar w:fldCharType="separate"/>
          </w:r>
          <w:r>
            <w:t>2</w:t>
          </w:r>
          <w:r>
            <w:fldChar w:fldCharType="end"/>
          </w:r>
          <w:r>
            <w:rPr>
              <w:rFonts w:hint="default" w:ascii="Times New Roman" w:hAnsi="Times New Roman" w:cs="Times New Roman"/>
              <w:bCs w:val="0"/>
            </w:rPr>
            <w:fldChar w:fldCharType="end"/>
          </w:r>
        </w:p>
        <w:p w14:paraId="07BA5B09">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_Toc8811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（一）需要设置安全管理机构的单位</w:t>
          </w:r>
          <w:r>
            <w:tab/>
          </w:r>
          <w:r>
            <w:fldChar w:fldCharType="begin"/>
          </w:r>
          <w:r>
            <w:instrText xml:space="preserve"> PAGEREF _Toc8811 \h </w:instrText>
          </w:r>
          <w:r>
            <w:fldChar w:fldCharType="separate"/>
          </w:r>
          <w:r>
            <w:t>2</w:t>
          </w:r>
          <w:r>
            <w:fldChar w:fldCharType="end"/>
          </w:r>
          <w:r>
            <w:rPr>
              <w:rFonts w:hint="default" w:ascii="Times New Roman" w:hAnsi="Times New Roman" w:cs="Times New Roman"/>
              <w:bCs w:val="0"/>
            </w:rPr>
            <w:fldChar w:fldCharType="end"/>
          </w:r>
        </w:p>
        <w:p w14:paraId="26D038FB">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_Toc15127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（二）如何设置特种设备安全管理机构</w:t>
          </w:r>
          <w:r>
            <w:tab/>
          </w:r>
          <w:r>
            <w:fldChar w:fldCharType="begin"/>
          </w:r>
          <w:r>
            <w:instrText xml:space="preserve"> PAGEREF _Toc15127 \h </w:instrText>
          </w:r>
          <w:r>
            <w:fldChar w:fldCharType="separate"/>
          </w:r>
          <w:r>
            <w:t>2</w:t>
          </w:r>
          <w:r>
            <w:fldChar w:fldCharType="end"/>
          </w:r>
          <w:r>
            <w:rPr>
              <w:rFonts w:hint="default" w:ascii="Times New Roman" w:hAnsi="Times New Roman" w:cs="Times New Roman"/>
              <w:bCs w:val="0"/>
            </w:rPr>
            <w:fldChar w:fldCharType="end"/>
          </w:r>
        </w:p>
        <w:p w14:paraId="66128154">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_Toc20842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（三）任命特种设备安全管理人员</w:t>
          </w:r>
          <w:r>
            <w:tab/>
          </w:r>
          <w:r>
            <w:fldChar w:fldCharType="begin"/>
          </w:r>
          <w:r>
            <w:instrText xml:space="preserve"> PAGEREF _Toc20842 \h </w:instrText>
          </w:r>
          <w:r>
            <w:fldChar w:fldCharType="separate"/>
          </w:r>
          <w:r>
            <w:t>2</w:t>
          </w:r>
          <w:r>
            <w:fldChar w:fldCharType="end"/>
          </w:r>
          <w:r>
            <w:rPr>
              <w:rFonts w:hint="default" w:ascii="Times New Roman" w:hAnsi="Times New Roman" w:cs="Times New Roman"/>
              <w:bCs w:val="0"/>
            </w:rPr>
            <w:fldChar w:fldCharType="end"/>
          </w:r>
        </w:p>
        <w:p w14:paraId="5C352A81">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_Toc27862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（四）特种设备从业人员持证要求</w:t>
          </w:r>
          <w:r>
            <w:tab/>
          </w:r>
          <w:r>
            <w:fldChar w:fldCharType="begin"/>
          </w:r>
          <w:r>
            <w:instrText xml:space="preserve"> PAGEREF _Toc27862 \h </w:instrText>
          </w:r>
          <w:r>
            <w:fldChar w:fldCharType="separate"/>
          </w:r>
          <w:r>
            <w:t>2</w:t>
          </w:r>
          <w:r>
            <w:fldChar w:fldCharType="end"/>
          </w:r>
          <w:r>
            <w:rPr>
              <w:rFonts w:hint="default" w:ascii="Times New Roman" w:hAnsi="Times New Roman" w:cs="Times New Roman"/>
              <w:bCs w:val="0"/>
            </w:rPr>
            <w:fldChar w:fldCharType="end"/>
          </w:r>
        </w:p>
        <w:p w14:paraId="018EB99A">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_Toc16662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1. 特种设备安全总监持证要求</w:t>
          </w:r>
          <w:r>
            <w:tab/>
          </w:r>
          <w:r>
            <w:fldChar w:fldCharType="begin"/>
          </w:r>
          <w:r>
            <w:instrText xml:space="preserve"> PAGEREF _Toc16662 \h </w:instrText>
          </w:r>
          <w:r>
            <w:fldChar w:fldCharType="separate"/>
          </w:r>
          <w:r>
            <w:t>2</w:t>
          </w:r>
          <w:r>
            <w:fldChar w:fldCharType="end"/>
          </w:r>
          <w:r>
            <w:rPr>
              <w:rFonts w:hint="default" w:ascii="Times New Roman" w:hAnsi="Times New Roman" w:cs="Times New Roman"/>
              <w:bCs w:val="0"/>
            </w:rPr>
            <w:fldChar w:fldCharType="end"/>
          </w:r>
        </w:p>
        <w:p w14:paraId="3F291785">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_Toc19392 </w:instrText>
          </w:r>
          <w:r>
            <w:rPr>
              <w:rFonts w:hint="default" w:ascii="Times New Roman" w:hAnsi="Times New Roman" w:cs="Times New Roman"/>
              <w:bCs w:val="0"/>
            </w:rPr>
            <w:fldChar w:fldCharType="separate"/>
          </w:r>
          <w:r>
            <w:rPr>
              <w:rFonts w:hint="default"/>
              <w:lang w:val="en-US" w:eastAsia="zh-CN"/>
            </w:rPr>
            <w:t>2. 特种设备安全员持证要求</w:t>
          </w:r>
          <w:r>
            <w:tab/>
          </w:r>
          <w:r>
            <w:fldChar w:fldCharType="begin"/>
          </w:r>
          <w:r>
            <w:instrText xml:space="preserve"> PAGEREF _Toc19392 \h </w:instrText>
          </w:r>
          <w:r>
            <w:fldChar w:fldCharType="separate"/>
          </w:r>
          <w:r>
            <w:t>2</w:t>
          </w:r>
          <w:r>
            <w:fldChar w:fldCharType="end"/>
          </w:r>
          <w:r>
            <w:rPr>
              <w:rFonts w:hint="default" w:ascii="Times New Roman" w:hAnsi="Times New Roman" w:cs="Times New Roman"/>
              <w:bCs w:val="0"/>
            </w:rPr>
            <w:fldChar w:fldCharType="end"/>
          </w:r>
        </w:p>
        <w:p w14:paraId="3A721C60">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_Toc25779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3. 特种设备作业人员持证要求</w:t>
          </w:r>
          <w:r>
            <w:tab/>
          </w:r>
          <w:r>
            <w:fldChar w:fldCharType="begin"/>
          </w:r>
          <w:r>
            <w:instrText xml:space="preserve"> PAGEREF _Toc25779 \h </w:instrText>
          </w:r>
          <w:r>
            <w:fldChar w:fldCharType="separate"/>
          </w:r>
          <w:r>
            <w:t>3</w:t>
          </w:r>
          <w:r>
            <w:fldChar w:fldCharType="end"/>
          </w:r>
          <w:r>
            <w:rPr>
              <w:rFonts w:hint="default" w:ascii="Times New Roman" w:hAnsi="Times New Roman" w:cs="Times New Roman"/>
              <w:bCs w:val="0"/>
            </w:rPr>
            <w:fldChar w:fldCharType="end"/>
          </w:r>
        </w:p>
        <w:p w14:paraId="7C2FC416">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_Toc16758 </w:instrText>
          </w:r>
          <w:r>
            <w:rPr>
              <w:rFonts w:hint="default" w:ascii="Times New Roman" w:hAnsi="Times New Roman" w:cs="Times New Roman"/>
              <w:bCs w:val="0"/>
            </w:rPr>
            <w:fldChar w:fldCharType="separate"/>
          </w:r>
          <w:r>
            <w:rPr>
              <w:rFonts w:hint="default"/>
              <w:lang w:val="en-US" w:eastAsia="zh-CN"/>
            </w:rPr>
            <w:t>（五）特种设备从业人员职责</w:t>
          </w:r>
          <w:r>
            <w:tab/>
          </w:r>
          <w:r>
            <w:fldChar w:fldCharType="begin"/>
          </w:r>
          <w:r>
            <w:instrText xml:space="preserve"> PAGEREF _Toc16758 \h </w:instrText>
          </w:r>
          <w:r>
            <w:fldChar w:fldCharType="separate"/>
          </w:r>
          <w:r>
            <w:t>3</w:t>
          </w:r>
          <w:r>
            <w:fldChar w:fldCharType="end"/>
          </w:r>
          <w:r>
            <w:rPr>
              <w:rFonts w:hint="default" w:ascii="Times New Roman" w:hAnsi="Times New Roman" w:cs="Times New Roman"/>
              <w:bCs w:val="0"/>
            </w:rPr>
            <w:fldChar w:fldCharType="end"/>
          </w:r>
        </w:p>
        <w:p w14:paraId="52A72027">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_Toc32013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1. 主要负责人职责</w:t>
          </w:r>
          <w:r>
            <w:tab/>
          </w:r>
          <w:r>
            <w:fldChar w:fldCharType="begin"/>
          </w:r>
          <w:r>
            <w:instrText xml:space="preserve"> PAGEREF _Toc32013 \h </w:instrText>
          </w:r>
          <w:r>
            <w:fldChar w:fldCharType="separate"/>
          </w:r>
          <w:r>
            <w:t>3</w:t>
          </w:r>
          <w:r>
            <w:fldChar w:fldCharType="end"/>
          </w:r>
          <w:r>
            <w:rPr>
              <w:rFonts w:hint="default" w:ascii="Times New Roman" w:hAnsi="Times New Roman" w:cs="Times New Roman"/>
              <w:bCs w:val="0"/>
            </w:rPr>
            <w:fldChar w:fldCharType="end"/>
          </w:r>
        </w:p>
        <w:p w14:paraId="629955F3">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_Toc14997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2. 特种设备安全总监职责</w:t>
          </w:r>
          <w:r>
            <w:tab/>
          </w:r>
          <w:r>
            <w:fldChar w:fldCharType="begin"/>
          </w:r>
          <w:r>
            <w:instrText xml:space="preserve"> PAGEREF _Toc14997 \h </w:instrText>
          </w:r>
          <w:r>
            <w:fldChar w:fldCharType="separate"/>
          </w:r>
          <w:r>
            <w:t>3</w:t>
          </w:r>
          <w:r>
            <w:fldChar w:fldCharType="end"/>
          </w:r>
          <w:r>
            <w:rPr>
              <w:rFonts w:hint="default" w:ascii="Times New Roman" w:hAnsi="Times New Roman" w:cs="Times New Roman"/>
              <w:bCs w:val="0"/>
            </w:rPr>
            <w:fldChar w:fldCharType="end"/>
          </w:r>
        </w:p>
        <w:p w14:paraId="0A29D612">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_Toc16196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3. 特种设备安全员职责</w:t>
          </w:r>
          <w:r>
            <w:tab/>
          </w:r>
          <w:r>
            <w:fldChar w:fldCharType="begin"/>
          </w:r>
          <w:r>
            <w:instrText xml:space="preserve"> PAGEREF _Toc16196 \h </w:instrText>
          </w:r>
          <w:r>
            <w:fldChar w:fldCharType="separate"/>
          </w:r>
          <w:r>
            <w:t>4</w:t>
          </w:r>
          <w:r>
            <w:fldChar w:fldCharType="end"/>
          </w:r>
          <w:r>
            <w:rPr>
              <w:rFonts w:hint="default" w:ascii="Times New Roman" w:hAnsi="Times New Roman" w:cs="Times New Roman"/>
              <w:bCs w:val="0"/>
            </w:rPr>
            <w:fldChar w:fldCharType="end"/>
          </w:r>
        </w:p>
        <w:p w14:paraId="47F92653">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_Toc3796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4. 特种设备作业人员职责</w:t>
          </w:r>
          <w:r>
            <w:tab/>
          </w:r>
          <w:r>
            <w:fldChar w:fldCharType="begin"/>
          </w:r>
          <w:r>
            <w:instrText xml:space="preserve"> PAGEREF _Toc3796 \h </w:instrText>
          </w:r>
          <w:r>
            <w:fldChar w:fldCharType="separate"/>
          </w:r>
          <w:r>
            <w:t>4</w:t>
          </w:r>
          <w:r>
            <w:fldChar w:fldCharType="end"/>
          </w:r>
          <w:r>
            <w:rPr>
              <w:rFonts w:hint="default" w:ascii="Times New Roman" w:hAnsi="Times New Roman" w:cs="Times New Roman"/>
              <w:bCs w:val="0"/>
            </w:rPr>
            <w:fldChar w:fldCharType="end"/>
          </w:r>
        </w:p>
        <w:p w14:paraId="0F239189">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_Toc1790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（六）设置安全管理机构和安全管理人员参考模板</w:t>
          </w:r>
          <w:r>
            <w:tab/>
          </w:r>
          <w:r>
            <w:fldChar w:fldCharType="begin"/>
          </w:r>
          <w:r>
            <w:instrText xml:space="preserve"> PAGEREF _Toc1790 \h </w:instrText>
          </w:r>
          <w:r>
            <w:fldChar w:fldCharType="separate"/>
          </w:r>
          <w:r>
            <w:t>5</w:t>
          </w:r>
          <w:r>
            <w:fldChar w:fldCharType="end"/>
          </w:r>
          <w:r>
            <w:rPr>
              <w:rFonts w:hint="default" w:ascii="Times New Roman" w:hAnsi="Times New Roman" w:cs="Times New Roman"/>
              <w:bCs w:val="0"/>
            </w:rPr>
            <w:fldChar w:fldCharType="end"/>
          </w:r>
        </w:p>
        <w:p w14:paraId="3F353EA0">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_Toc10975 </w:instrText>
          </w:r>
          <w:r>
            <w:rPr>
              <w:rFonts w:hint="default" w:ascii="Times New Roman" w:hAnsi="Times New Roman" w:cs="Times New Roman"/>
              <w:bCs w:val="0"/>
            </w:rPr>
            <w:fldChar w:fldCharType="separate"/>
          </w:r>
          <w:r>
            <w:rPr>
              <w:rFonts w:hint="default" w:ascii="黑体" w:hAnsi="黑体" w:eastAsia="黑体" w:cs="黑体"/>
              <w:bCs w:val="0"/>
              <w:szCs w:val="28"/>
              <w:lang w:val="en-US" w:eastAsia="zh-CN"/>
            </w:rPr>
            <w:t>三、特种设备安全</w:t>
          </w:r>
          <w:r>
            <w:rPr>
              <w:rFonts w:hint="eastAsia" w:ascii="黑体" w:hAnsi="黑体" w:eastAsia="黑体" w:cs="黑体"/>
              <w:bCs w:val="0"/>
              <w:szCs w:val="28"/>
              <w:lang w:val="en-US" w:eastAsia="zh-CN"/>
            </w:rPr>
            <w:t>与节能</w:t>
          </w:r>
          <w:r>
            <w:rPr>
              <w:rFonts w:hint="default" w:ascii="黑体" w:hAnsi="黑体" w:eastAsia="黑体" w:cs="黑体"/>
              <w:bCs w:val="0"/>
              <w:szCs w:val="28"/>
              <w:lang w:val="en-US" w:eastAsia="zh-CN"/>
            </w:rPr>
            <w:t>管理制度和安全操作规程</w:t>
          </w:r>
          <w:r>
            <w:tab/>
          </w:r>
          <w:r>
            <w:fldChar w:fldCharType="begin"/>
          </w:r>
          <w:r>
            <w:instrText xml:space="preserve"> PAGEREF _Toc10975 \h </w:instrText>
          </w:r>
          <w:r>
            <w:fldChar w:fldCharType="separate"/>
          </w:r>
          <w:r>
            <w:t>6</w:t>
          </w:r>
          <w:r>
            <w:fldChar w:fldCharType="end"/>
          </w:r>
          <w:r>
            <w:rPr>
              <w:rFonts w:hint="default" w:ascii="Times New Roman" w:hAnsi="Times New Roman" w:cs="Times New Roman"/>
              <w:bCs w:val="0"/>
            </w:rPr>
            <w:fldChar w:fldCharType="end"/>
          </w:r>
        </w:p>
        <w:p w14:paraId="7819AEFF">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_Toc5971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（一）特种设备安全</w:t>
          </w:r>
          <w:r>
            <w:rPr>
              <w:rFonts w:hint="eastAsia" w:cs="Times New Roman"/>
              <w:bCs w:val="0"/>
              <w:lang w:val="en-US" w:eastAsia="zh-CN"/>
            </w:rPr>
            <w:t>与节能</w:t>
          </w:r>
          <w:r>
            <w:rPr>
              <w:rFonts w:hint="default" w:ascii="Times New Roman" w:hAnsi="Times New Roman" w:cs="Times New Roman"/>
              <w:bCs w:val="0"/>
              <w:lang w:val="en-US" w:eastAsia="zh-CN"/>
            </w:rPr>
            <w:t>管理制度及参考模板</w:t>
          </w:r>
          <w:r>
            <w:tab/>
          </w:r>
          <w:r>
            <w:fldChar w:fldCharType="begin"/>
          </w:r>
          <w:r>
            <w:instrText xml:space="preserve"> PAGEREF _Toc5971 \h </w:instrText>
          </w:r>
          <w:r>
            <w:fldChar w:fldCharType="separate"/>
          </w:r>
          <w:r>
            <w:t>6</w:t>
          </w:r>
          <w:r>
            <w:fldChar w:fldCharType="end"/>
          </w:r>
          <w:r>
            <w:rPr>
              <w:rFonts w:hint="default" w:ascii="Times New Roman" w:hAnsi="Times New Roman" w:cs="Times New Roman"/>
              <w:bCs w:val="0"/>
            </w:rPr>
            <w:fldChar w:fldCharType="end"/>
          </w:r>
        </w:p>
        <w:p w14:paraId="6E2603C5">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_Toc4640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（二）特种设备安全操作规程</w:t>
          </w:r>
          <w:r>
            <w:tab/>
          </w:r>
          <w:r>
            <w:fldChar w:fldCharType="begin"/>
          </w:r>
          <w:r>
            <w:instrText xml:space="preserve"> PAGEREF _Toc4640 \h </w:instrText>
          </w:r>
          <w:r>
            <w:fldChar w:fldCharType="separate"/>
          </w:r>
          <w:r>
            <w:t>6</w:t>
          </w:r>
          <w:r>
            <w:fldChar w:fldCharType="end"/>
          </w:r>
          <w:r>
            <w:rPr>
              <w:rFonts w:hint="default" w:ascii="Times New Roman" w:hAnsi="Times New Roman" w:cs="Times New Roman"/>
              <w:bCs w:val="0"/>
            </w:rPr>
            <w:fldChar w:fldCharType="end"/>
          </w:r>
        </w:p>
        <w:p w14:paraId="72ADDA03">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_Toc18411 </w:instrText>
          </w:r>
          <w:r>
            <w:rPr>
              <w:rFonts w:hint="default" w:ascii="Times New Roman" w:hAnsi="Times New Roman" w:cs="Times New Roman"/>
              <w:bCs w:val="0"/>
            </w:rPr>
            <w:fldChar w:fldCharType="separate"/>
          </w:r>
          <w:r>
            <w:rPr>
              <w:rFonts w:hint="default" w:ascii="Times New Roman" w:hAnsi="Times New Roman" w:cs="Times New Roman"/>
              <w:bCs w:val="0"/>
              <w:lang w:eastAsia="zh-CN"/>
            </w:rPr>
            <w:t>（三）规章制度标准化建设</w:t>
          </w:r>
          <w:r>
            <w:tab/>
          </w:r>
          <w:r>
            <w:fldChar w:fldCharType="begin"/>
          </w:r>
          <w:r>
            <w:instrText xml:space="preserve"> PAGEREF _Toc18411 \h </w:instrText>
          </w:r>
          <w:r>
            <w:fldChar w:fldCharType="separate"/>
          </w:r>
          <w:r>
            <w:t>6</w:t>
          </w:r>
          <w:r>
            <w:fldChar w:fldCharType="end"/>
          </w:r>
          <w:r>
            <w:rPr>
              <w:rFonts w:hint="default" w:ascii="Times New Roman" w:hAnsi="Times New Roman" w:cs="Times New Roman"/>
              <w:bCs w:val="0"/>
            </w:rPr>
            <w:fldChar w:fldCharType="end"/>
          </w:r>
        </w:p>
        <w:p w14:paraId="41D24EB3">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_Toc16355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四、</w:t>
          </w:r>
          <w:r>
            <w:rPr>
              <w:rFonts w:hint="default" w:ascii="黑体" w:hAnsi="黑体" w:eastAsia="黑体" w:cs="黑体"/>
              <w:bCs w:val="0"/>
              <w:szCs w:val="28"/>
              <w:lang w:val="en-US" w:eastAsia="zh-CN"/>
            </w:rPr>
            <w:t>高能耗特种设备节能要求</w:t>
          </w:r>
          <w:r>
            <w:tab/>
          </w:r>
          <w:r>
            <w:fldChar w:fldCharType="begin"/>
          </w:r>
          <w:r>
            <w:instrText xml:space="preserve"> PAGEREF _Toc16355 \h </w:instrText>
          </w:r>
          <w:r>
            <w:fldChar w:fldCharType="separate"/>
          </w:r>
          <w:r>
            <w:t>7</w:t>
          </w:r>
          <w:r>
            <w:fldChar w:fldCharType="end"/>
          </w:r>
          <w:r>
            <w:rPr>
              <w:rFonts w:hint="default" w:ascii="Times New Roman" w:hAnsi="Times New Roman" w:cs="Times New Roman"/>
              <w:bCs w:val="0"/>
            </w:rPr>
            <w:fldChar w:fldCharType="end"/>
          </w:r>
        </w:p>
        <w:p w14:paraId="0A7682BD">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_Toc10271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（一） </w:t>
          </w:r>
          <w:r>
            <w:rPr>
              <w:rFonts w:hint="default" w:ascii="Times New Roman" w:hAnsi="Times New Roman" w:cs="Times New Roman"/>
              <w:bCs w:val="0"/>
              <w:lang w:val="en-US" w:eastAsia="zh-CN"/>
            </w:rPr>
            <w:t>能效测试</w:t>
          </w:r>
          <w:r>
            <w:tab/>
          </w:r>
          <w:r>
            <w:fldChar w:fldCharType="begin"/>
          </w:r>
          <w:r>
            <w:instrText xml:space="preserve"> PAGEREF _Toc10271 \h </w:instrText>
          </w:r>
          <w:r>
            <w:fldChar w:fldCharType="separate"/>
          </w:r>
          <w:r>
            <w:t>7</w:t>
          </w:r>
          <w:r>
            <w:fldChar w:fldCharType="end"/>
          </w:r>
          <w:r>
            <w:rPr>
              <w:rFonts w:hint="default" w:ascii="Times New Roman" w:hAnsi="Times New Roman" w:cs="Times New Roman"/>
              <w:bCs w:val="0"/>
            </w:rPr>
            <w:fldChar w:fldCharType="end"/>
          </w:r>
        </w:p>
        <w:p w14:paraId="262FD404">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_Toc27248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（二） </w:t>
          </w:r>
          <w:r>
            <w:rPr>
              <w:rFonts w:hint="default" w:ascii="Times New Roman" w:hAnsi="Times New Roman" w:cs="Times New Roman"/>
              <w:bCs w:val="0"/>
              <w:lang w:val="en-US" w:eastAsia="zh-CN"/>
            </w:rPr>
            <w:t>锅炉水（介）质定期检验</w:t>
          </w:r>
          <w:r>
            <w:tab/>
          </w:r>
          <w:r>
            <w:fldChar w:fldCharType="begin"/>
          </w:r>
          <w:r>
            <w:instrText xml:space="preserve"> PAGEREF _Toc27248 \h </w:instrText>
          </w:r>
          <w:r>
            <w:fldChar w:fldCharType="separate"/>
          </w:r>
          <w:r>
            <w:t>7</w:t>
          </w:r>
          <w:r>
            <w:fldChar w:fldCharType="end"/>
          </w:r>
          <w:r>
            <w:rPr>
              <w:rFonts w:hint="default" w:ascii="Times New Roman" w:hAnsi="Times New Roman" w:cs="Times New Roman"/>
              <w:bCs w:val="0"/>
            </w:rPr>
            <w:fldChar w:fldCharType="end"/>
          </w:r>
        </w:p>
        <w:p w14:paraId="450F1064">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_Toc12323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（三） </w:t>
          </w:r>
          <w:r>
            <w:rPr>
              <w:rFonts w:hint="default" w:ascii="Times New Roman" w:hAnsi="Times New Roman" w:cs="Times New Roman"/>
              <w:bCs w:val="0"/>
              <w:lang w:val="en-US" w:eastAsia="zh-CN"/>
            </w:rPr>
            <w:t>锅炉水汽常规化验</w:t>
          </w:r>
          <w:r>
            <w:tab/>
          </w:r>
          <w:r>
            <w:fldChar w:fldCharType="begin"/>
          </w:r>
          <w:r>
            <w:instrText xml:space="preserve"> PAGEREF _Toc12323 \h </w:instrText>
          </w:r>
          <w:r>
            <w:fldChar w:fldCharType="separate"/>
          </w:r>
          <w:r>
            <w:t>7</w:t>
          </w:r>
          <w:r>
            <w:fldChar w:fldCharType="end"/>
          </w:r>
          <w:r>
            <w:rPr>
              <w:rFonts w:hint="default" w:ascii="Times New Roman" w:hAnsi="Times New Roman" w:cs="Times New Roman"/>
              <w:bCs w:val="0"/>
            </w:rPr>
            <w:fldChar w:fldCharType="end"/>
          </w:r>
        </w:p>
        <w:p w14:paraId="47809722">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_Toc10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（四） </w:t>
          </w:r>
          <w:r>
            <w:rPr>
              <w:rFonts w:hint="default" w:ascii="Times New Roman" w:hAnsi="Times New Roman" w:cs="Times New Roman"/>
              <w:bCs w:val="0"/>
              <w:lang w:val="en-US" w:eastAsia="zh-CN"/>
            </w:rPr>
            <w:t>节能安全技术档案</w:t>
          </w:r>
          <w:r>
            <w:tab/>
          </w:r>
          <w:r>
            <w:fldChar w:fldCharType="begin"/>
          </w:r>
          <w:r>
            <w:instrText xml:space="preserve"> PAGEREF _Toc10 \h </w:instrText>
          </w:r>
          <w:r>
            <w:fldChar w:fldCharType="separate"/>
          </w:r>
          <w:r>
            <w:t>7</w:t>
          </w:r>
          <w:r>
            <w:fldChar w:fldCharType="end"/>
          </w:r>
          <w:r>
            <w:rPr>
              <w:rFonts w:hint="default" w:ascii="Times New Roman" w:hAnsi="Times New Roman" w:cs="Times New Roman"/>
              <w:bCs w:val="0"/>
            </w:rPr>
            <w:fldChar w:fldCharType="end"/>
          </w:r>
        </w:p>
        <w:p w14:paraId="13894A05">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_Toc6274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五、</w:t>
          </w:r>
          <w:r>
            <w:rPr>
              <w:rFonts w:hint="default" w:ascii="黑体" w:hAnsi="黑体" w:cs="黑体"/>
              <w:bCs w:val="0"/>
              <w:szCs w:val="28"/>
              <w:lang w:val="en-US" w:eastAsia="zh-CN"/>
            </w:rPr>
            <w:t>特种设备安全</w:t>
          </w:r>
          <w:r>
            <w:rPr>
              <w:rFonts w:hint="eastAsia" w:ascii="黑体" w:hAnsi="黑体" w:cs="黑体"/>
              <w:bCs w:val="0"/>
              <w:szCs w:val="28"/>
              <w:lang w:val="en-US" w:eastAsia="zh-CN"/>
            </w:rPr>
            <w:t>与节能</w:t>
          </w:r>
          <w:r>
            <w:rPr>
              <w:rFonts w:hint="default" w:ascii="黑体" w:hAnsi="黑体" w:cs="黑体"/>
              <w:bCs w:val="0"/>
              <w:szCs w:val="28"/>
              <w:lang w:val="en-US" w:eastAsia="zh-CN"/>
            </w:rPr>
            <w:t>技术档案</w:t>
          </w:r>
          <w:r>
            <w:tab/>
          </w:r>
          <w:r>
            <w:fldChar w:fldCharType="begin"/>
          </w:r>
          <w:r>
            <w:instrText xml:space="preserve"> PAGEREF _Toc6274 \h </w:instrText>
          </w:r>
          <w:r>
            <w:fldChar w:fldCharType="separate"/>
          </w:r>
          <w:r>
            <w:t>8</w:t>
          </w:r>
          <w:r>
            <w:fldChar w:fldCharType="end"/>
          </w:r>
          <w:r>
            <w:rPr>
              <w:rFonts w:hint="default" w:ascii="Times New Roman" w:hAnsi="Times New Roman" w:cs="Times New Roman"/>
              <w:bCs w:val="0"/>
            </w:rPr>
            <w:fldChar w:fldCharType="end"/>
          </w:r>
        </w:p>
        <w:p w14:paraId="312442E3">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_Toc13572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六、</w:t>
          </w:r>
          <w:r>
            <w:rPr>
              <w:rFonts w:hint="default" w:ascii="黑体" w:hAnsi="黑体" w:cs="黑体"/>
              <w:bCs w:val="0"/>
              <w:szCs w:val="28"/>
              <w:lang w:val="en-US" w:eastAsia="zh-CN"/>
            </w:rPr>
            <w:t>特种设备及其安全附件</w:t>
          </w:r>
          <w:r>
            <w:rPr>
              <w:rFonts w:hint="eastAsia" w:ascii="黑体" w:hAnsi="黑体" w:cs="黑体"/>
              <w:bCs w:val="0"/>
              <w:szCs w:val="28"/>
              <w:lang w:val="en-US" w:eastAsia="zh-CN"/>
            </w:rPr>
            <w:t>台账化</w:t>
          </w:r>
          <w:r>
            <w:rPr>
              <w:rFonts w:hint="default" w:ascii="黑体" w:hAnsi="黑体" w:cs="黑体"/>
              <w:bCs w:val="0"/>
              <w:szCs w:val="28"/>
              <w:lang w:val="en-US" w:eastAsia="zh-CN"/>
            </w:rPr>
            <w:t>管理</w:t>
          </w:r>
          <w:r>
            <w:tab/>
          </w:r>
          <w:r>
            <w:fldChar w:fldCharType="begin"/>
          </w:r>
          <w:r>
            <w:instrText xml:space="preserve"> PAGEREF _Toc13572 \h </w:instrText>
          </w:r>
          <w:r>
            <w:fldChar w:fldCharType="separate"/>
          </w:r>
          <w:r>
            <w:t>9</w:t>
          </w:r>
          <w:r>
            <w:fldChar w:fldCharType="end"/>
          </w:r>
          <w:r>
            <w:rPr>
              <w:rFonts w:hint="default" w:ascii="Times New Roman" w:hAnsi="Times New Roman" w:cs="Times New Roman"/>
              <w:bCs w:val="0"/>
            </w:rPr>
            <w:fldChar w:fldCharType="end"/>
          </w:r>
        </w:p>
        <w:p w14:paraId="586F9481">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_Toc29297 </w:instrText>
          </w:r>
          <w:r>
            <w:rPr>
              <w:rFonts w:hint="default" w:ascii="Times New Roman" w:hAnsi="Times New Roman" w:cs="Times New Roman"/>
              <w:bCs w:val="0"/>
            </w:rPr>
            <w:fldChar w:fldCharType="separate"/>
          </w:r>
          <w:r>
            <w:rPr>
              <w:rFonts w:hint="eastAsia"/>
              <w:lang w:val="en-US" w:eastAsia="zh-CN"/>
            </w:rPr>
            <w:t>（一）</w:t>
          </w:r>
          <w:r>
            <w:rPr>
              <w:rFonts w:hint="default"/>
              <w:lang w:val="en-US" w:eastAsia="zh-CN"/>
            </w:rPr>
            <w:t>特种设备</w:t>
          </w:r>
          <w:r>
            <w:rPr>
              <w:rFonts w:hint="eastAsia"/>
              <w:lang w:val="en-US" w:eastAsia="zh-CN"/>
            </w:rPr>
            <w:t>安全</w:t>
          </w:r>
          <w:r>
            <w:rPr>
              <w:rFonts w:hint="default"/>
              <w:lang w:val="en-US" w:eastAsia="zh-CN"/>
            </w:rPr>
            <w:t>管理台账</w:t>
          </w:r>
          <w:r>
            <w:tab/>
          </w:r>
          <w:r>
            <w:fldChar w:fldCharType="begin"/>
          </w:r>
          <w:r>
            <w:instrText xml:space="preserve"> PAGEREF _Toc29297 \h </w:instrText>
          </w:r>
          <w:r>
            <w:fldChar w:fldCharType="separate"/>
          </w:r>
          <w:r>
            <w:t>9</w:t>
          </w:r>
          <w:r>
            <w:fldChar w:fldCharType="end"/>
          </w:r>
          <w:r>
            <w:rPr>
              <w:rFonts w:hint="default" w:ascii="Times New Roman" w:hAnsi="Times New Roman" w:cs="Times New Roman"/>
              <w:bCs w:val="0"/>
            </w:rPr>
            <w:fldChar w:fldCharType="end"/>
          </w:r>
        </w:p>
        <w:p w14:paraId="63EEDE45">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_Toc29503 </w:instrText>
          </w:r>
          <w:r>
            <w:rPr>
              <w:rFonts w:hint="default" w:ascii="Times New Roman" w:hAnsi="Times New Roman" w:cs="Times New Roman"/>
              <w:bCs w:val="0"/>
            </w:rPr>
            <w:fldChar w:fldCharType="separate"/>
          </w:r>
          <w:r>
            <w:rPr>
              <w:rFonts w:hint="eastAsia"/>
              <w:lang w:val="en-US" w:eastAsia="zh-CN"/>
            </w:rPr>
            <w:t>（二）</w:t>
          </w:r>
          <w:r>
            <w:rPr>
              <w:rFonts w:hint="default"/>
              <w:lang w:val="en-US" w:eastAsia="zh-CN"/>
            </w:rPr>
            <w:t>特种设备</w:t>
          </w:r>
          <w:r>
            <w:rPr>
              <w:rFonts w:hint="eastAsia"/>
              <w:lang w:val="en-US" w:eastAsia="zh-CN"/>
            </w:rPr>
            <w:t>安全附件</w:t>
          </w:r>
          <w:r>
            <w:rPr>
              <w:rFonts w:hint="default"/>
              <w:lang w:val="en-US" w:eastAsia="zh-CN"/>
            </w:rPr>
            <w:t>台账</w:t>
          </w:r>
          <w:r>
            <w:tab/>
          </w:r>
          <w:r>
            <w:fldChar w:fldCharType="begin"/>
          </w:r>
          <w:r>
            <w:instrText xml:space="preserve"> PAGEREF _Toc29503 \h </w:instrText>
          </w:r>
          <w:r>
            <w:fldChar w:fldCharType="separate"/>
          </w:r>
          <w:r>
            <w:t>9</w:t>
          </w:r>
          <w:r>
            <w:fldChar w:fldCharType="end"/>
          </w:r>
          <w:r>
            <w:rPr>
              <w:rFonts w:hint="default" w:ascii="Times New Roman" w:hAnsi="Times New Roman" w:cs="Times New Roman"/>
              <w:bCs w:val="0"/>
            </w:rPr>
            <w:fldChar w:fldCharType="end"/>
          </w:r>
        </w:p>
        <w:p w14:paraId="232E56D4">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_Toc12229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七、</w:t>
          </w:r>
          <w:r>
            <w:rPr>
              <w:rFonts w:hint="default" w:ascii="黑体" w:hAnsi="黑体" w:cs="黑体"/>
              <w:bCs w:val="0"/>
              <w:szCs w:val="28"/>
              <w:lang w:val="en-US" w:eastAsia="zh-CN"/>
            </w:rPr>
            <w:t>特种设备相关人员</w:t>
          </w:r>
          <w:r>
            <w:rPr>
              <w:rFonts w:hint="eastAsia" w:ascii="黑体" w:hAnsi="黑体" w:cs="黑体"/>
              <w:bCs w:val="0"/>
              <w:szCs w:val="28"/>
              <w:lang w:val="en-US" w:eastAsia="zh-CN"/>
            </w:rPr>
            <w:t>管理</w:t>
          </w:r>
          <w:r>
            <w:rPr>
              <w:rFonts w:hint="default" w:ascii="黑体" w:hAnsi="黑体" w:cs="黑体"/>
              <w:bCs w:val="0"/>
              <w:szCs w:val="28"/>
              <w:lang w:val="en-US" w:eastAsia="zh-CN"/>
            </w:rPr>
            <w:t>和培训考核</w:t>
          </w:r>
          <w:r>
            <w:tab/>
          </w:r>
          <w:r>
            <w:fldChar w:fldCharType="begin"/>
          </w:r>
          <w:r>
            <w:instrText xml:space="preserve"> PAGEREF _Toc12229 \h </w:instrText>
          </w:r>
          <w:r>
            <w:fldChar w:fldCharType="separate"/>
          </w:r>
          <w:r>
            <w:t>10</w:t>
          </w:r>
          <w:r>
            <w:fldChar w:fldCharType="end"/>
          </w:r>
          <w:r>
            <w:rPr>
              <w:rFonts w:hint="default" w:ascii="Times New Roman" w:hAnsi="Times New Roman" w:cs="Times New Roman"/>
              <w:bCs w:val="0"/>
            </w:rPr>
            <w:fldChar w:fldCharType="end"/>
          </w:r>
        </w:p>
        <w:p w14:paraId="75AE3008">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_Toc16078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（一） </w:t>
          </w:r>
          <w:r>
            <w:rPr>
              <w:rFonts w:hint="default" w:ascii="Times New Roman" w:hAnsi="Times New Roman" w:cs="Times New Roman"/>
              <w:bCs w:val="0"/>
              <w:lang w:val="en-US" w:eastAsia="zh-CN"/>
            </w:rPr>
            <w:t>安全管理人员和作业人员</w:t>
          </w:r>
          <w:r>
            <w:rPr>
              <w:rFonts w:hint="eastAsia" w:cs="Times New Roman"/>
              <w:bCs w:val="0"/>
              <w:lang w:val="en-US" w:eastAsia="zh-CN"/>
            </w:rPr>
            <w:t>项目分类</w:t>
          </w:r>
          <w:r>
            <w:tab/>
          </w:r>
          <w:r>
            <w:fldChar w:fldCharType="begin"/>
          </w:r>
          <w:r>
            <w:instrText xml:space="preserve"> PAGEREF _Toc16078 \h </w:instrText>
          </w:r>
          <w:r>
            <w:fldChar w:fldCharType="separate"/>
          </w:r>
          <w:r>
            <w:t>10</w:t>
          </w:r>
          <w:r>
            <w:fldChar w:fldCharType="end"/>
          </w:r>
          <w:r>
            <w:rPr>
              <w:rFonts w:hint="default" w:ascii="Times New Roman" w:hAnsi="Times New Roman" w:cs="Times New Roman"/>
              <w:bCs w:val="0"/>
            </w:rPr>
            <w:fldChar w:fldCharType="end"/>
          </w:r>
        </w:p>
        <w:p w14:paraId="21FC5AEA">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_Toc32659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（二） </w:t>
          </w:r>
          <w:r>
            <w:rPr>
              <w:rFonts w:hint="default" w:ascii="Times New Roman" w:hAnsi="Times New Roman" w:cs="Times New Roman"/>
              <w:bCs w:val="0"/>
              <w:lang w:val="en-US" w:eastAsia="zh-CN"/>
            </w:rPr>
            <w:t>安全管理人员和作业人员数量要求</w:t>
          </w:r>
          <w:r>
            <w:tab/>
          </w:r>
          <w:r>
            <w:fldChar w:fldCharType="begin"/>
          </w:r>
          <w:r>
            <w:instrText xml:space="preserve"> PAGEREF _Toc32659 \h </w:instrText>
          </w:r>
          <w:r>
            <w:fldChar w:fldCharType="separate"/>
          </w:r>
          <w:r>
            <w:t>10</w:t>
          </w:r>
          <w:r>
            <w:fldChar w:fldCharType="end"/>
          </w:r>
          <w:r>
            <w:rPr>
              <w:rFonts w:hint="default" w:ascii="Times New Roman" w:hAnsi="Times New Roman" w:cs="Times New Roman"/>
              <w:bCs w:val="0"/>
            </w:rPr>
            <w:fldChar w:fldCharType="end"/>
          </w:r>
        </w:p>
        <w:p w14:paraId="6089C3F5">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_Toc153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（三） </w:t>
          </w:r>
          <w:r>
            <w:rPr>
              <w:rFonts w:hint="default" w:ascii="Times New Roman" w:hAnsi="Times New Roman" w:cs="Times New Roman"/>
              <w:bCs w:val="0"/>
              <w:lang w:val="en-US" w:eastAsia="zh-CN"/>
            </w:rPr>
            <w:t>安全管理和作业人员管理台账</w:t>
          </w:r>
          <w:r>
            <w:tab/>
          </w:r>
          <w:r>
            <w:fldChar w:fldCharType="begin"/>
          </w:r>
          <w:r>
            <w:instrText xml:space="preserve"> PAGEREF _Toc153 \h </w:instrText>
          </w:r>
          <w:r>
            <w:fldChar w:fldCharType="separate"/>
          </w:r>
          <w:r>
            <w:t>13</w:t>
          </w:r>
          <w:r>
            <w:fldChar w:fldCharType="end"/>
          </w:r>
          <w:r>
            <w:rPr>
              <w:rFonts w:hint="default" w:ascii="Times New Roman" w:hAnsi="Times New Roman" w:cs="Times New Roman"/>
              <w:bCs w:val="0"/>
            </w:rPr>
            <w:fldChar w:fldCharType="end"/>
          </w:r>
        </w:p>
        <w:p w14:paraId="704B4104">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_Toc19641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（四） </w:t>
          </w:r>
          <w:r>
            <w:rPr>
              <w:rFonts w:hint="default" w:ascii="Times New Roman" w:hAnsi="Times New Roman" w:cs="Times New Roman"/>
              <w:bCs w:val="0"/>
              <w:lang w:val="en-US" w:eastAsia="zh-CN"/>
            </w:rPr>
            <w:t>安全管理和作业人员证书管理</w:t>
          </w:r>
          <w:r>
            <w:tab/>
          </w:r>
          <w:r>
            <w:fldChar w:fldCharType="begin"/>
          </w:r>
          <w:r>
            <w:instrText xml:space="preserve"> PAGEREF _Toc19641 \h </w:instrText>
          </w:r>
          <w:r>
            <w:fldChar w:fldCharType="separate"/>
          </w:r>
          <w:r>
            <w:t>13</w:t>
          </w:r>
          <w:r>
            <w:fldChar w:fldCharType="end"/>
          </w:r>
          <w:r>
            <w:rPr>
              <w:rFonts w:hint="default" w:ascii="Times New Roman" w:hAnsi="Times New Roman" w:cs="Times New Roman"/>
              <w:bCs w:val="0"/>
            </w:rPr>
            <w:fldChar w:fldCharType="end"/>
          </w:r>
        </w:p>
        <w:p w14:paraId="3C48B0C1">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_Toc28465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（五） </w:t>
          </w:r>
          <w:r>
            <w:rPr>
              <w:rFonts w:hint="default" w:ascii="Times New Roman" w:hAnsi="Times New Roman" w:cs="Times New Roman"/>
              <w:bCs w:val="0"/>
              <w:lang w:val="en-US" w:eastAsia="zh-CN"/>
            </w:rPr>
            <w:t>安全管理和作业人员培训考核</w:t>
          </w:r>
          <w:r>
            <w:tab/>
          </w:r>
          <w:r>
            <w:fldChar w:fldCharType="begin"/>
          </w:r>
          <w:r>
            <w:instrText xml:space="preserve"> PAGEREF _Toc28465 \h </w:instrText>
          </w:r>
          <w:r>
            <w:fldChar w:fldCharType="separate"/>
          </w:r>
          <w:r>
            <w:t>13</w:t>
          </w:r>
          <w:r>
            <w:fldChar w:fldCharType="end"/>
          </w:r>
          <w:r>
            <w:rPr>
              <w:rFonts w:hint="default" w:ascii="Times New Roman" w:hAnsi="Times New Roman" w:cs="Times New Roman"/>
              <w:bCs w:val="0"/>
            </w:rPr>
            <w:fldChar w:fldCharType="end"/>
          </w:r>
        </w:p>
        <w:p w14:paraId="05BFE8ED">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_Toc21997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八、</w:t>
          </w:r>
          <w:r>
            <w:rPr>
              <w:rFonts w:hint="default" w:ascii="黑体" w:hAnsi="黑体" w:cs="黑体"/>
              <w:bCs w:val="0"/>
              <w:szCs w:val="28"/>
              <w:lang w:val="en-US" w:eastAsia="zh-CN"/>
            </w:rPr>
            <w:t>特种设备现场管理和隐患排查</w:t>
          </w:r>
          <w:r>
            <w:tab/>
          </w:r>
          <w:r>
            <w:fldChar w:fldCharType="begin"/>
          </w:r>
          <w:r>
            <w:instrText xml:space="preserve"> PAGEREF _Toc21997 \h </w:instrText>
          </w:r>
          <w:r>
            <w:fldChar w:fldCharType="separate"/>
          </w:r>
          <w:r>
            <w:t>14</w:t>
          </w:r>
          <w:r>
            <w:fldChar w:fldCharType="end"/>
          </w:r>
          <w:r>
            <w:rPr>
              <w:rFonts w:hint="default" w:ascii="Times New Roman" w:hAnsi="Times New Roman" w:cs="Times New Roman"/>
              <w:bCs w:val="0"/>
            </w:rPr>
            <w:fldChar w:fldCharType="end"/>
          </w:r>
        </w:p>
        <w:p w14:paraId="2F4B5537">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_Toc20282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（一） </w:t>
          </w:r>
          <w:r>
            <w:rPr>
              <w:rFonts w:hint="default" w:ascii="Times New Roman" w:hAnsi="Times New Roman" w:cs="Times New Roman"/>
              <w:bCs w:val="0"/>
              <w:lang w:val="en-US" w:eastAsia="zh-CN"/>
            </w:rPr>
            <w:t>固定特种设备使用标志</w:t>
          </w:r>
          <w:r>
            <w:tab/>
          </w:r>
          <w:r>
            <w:fldChar w:fldCharType="begin"/>
          </w:r>
          <w:r>
            <w:instrText xml:space="preserve"> PAGEREF _Toc20282 \h </w:instrText>
          </w:r>
          <w:r>
            <w:fldChar w:fldCharType="separate"/>
          </w:r>
          <w:r>
            <w:t>14</w:t>
          </w:r>
          <w:r>
            <w:fldChar w:fldCharType="end"/>
          </w:r>
          <w:r>
            <w:rPr>
              <w:rFonts w:hint="default" w:ascii="Times New Roman" w:hAnsi="Times New Roman" w:cs="Times New Roman"/>
              <w:bCs w:val="0"/>
            </w:rPr>
            <w:fldChar w:fldCharType="end"/>
          </w:r>
        </w:p>
        <w:p w14:paraId="342817CF">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_Toc21251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（二） </w:t>
          </w:r>
          <w:r>
            <w:rPr>
              <w:rFonts w:hint="default" w:ascii="Times New Roman" w:hAnsi="Times New Roman" w:cs="Times New Roman"/>
              <w:bCs w:val="0"/>
              <w:lang w:val="en-US" w:eastAsia="zh-CN"/>
            </w:rPr>
            <w:t>特种设备及其安全附件定期检验</w:t>
          </w:r>
          <w:r>
            <w:tab/>
          </w:r>
          <w:r>
            <w:fldChar w:fldCharType="begin"/>
          </w:r>
          <w:r>
            <w:instrText xml:space="preserve"> PAGEREF _Toc21251 \h </w:instrText>
          </w:r>
          <w:r>
            <w:fldChar w:fldCharType="separate"/>
          </w:r>
          <w:r>
            <w:t>14</w:t>
          </w:r>
          <w:r>
            <w:fldChar w:fldCharType="end"/>
          </w:r>
          <w:r>
            <w:rPr>
              <w:rFonts w:hint="default" w:ascii="Times New Roman" w:hAnsi="Times New Roman" w:cs="Times New Roman"/>
              <w:bCs w:val="0"/>
            </w:rPr>
            <w:fldChar w:fldCharType="end"/>
          </w:r>
        </w:p>
        <w:p w14:paraId="4F0DEFCD">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_Toc20490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（三） </w:t>
          </w:r>
          <w:r>
            <w:rPr>
              <w:rFonts w:hint="default" w:ascii="Times New Roman" w:hAnsi="Times New Roman" w:cs="Times New Roman"/>
              <w:bCs w:val="0"/>
              <w:lang w:val="en-US" w:eastAsia="zh-CN"/>
            </w:rPr>
            <w:t>常见特种设备定期检验周期</w:t>
          </w:r>
          <w:r>
            <w:tab/>
          </w:r>
          <w:r>
            <w:fldChar w:fldCharType="begin"/>
          </w:r>
          <w:r>
            <w:instrText xml:space="preserve"> PAGEREF _Toc20490 \h </w:instrText>
          </w:r>
          <w:r>
            <w:fldChar w:fldCharType="separate"/>
          </w:r>
          <w:r>
            <w:t>15</w:t>
          </w:r>
          <w:r>
            <w:fldChar w:fldCharType="end"/>
          </w:r>
          <w:r>
            <w:rPr>
              <w:rFonts w:hint="default" w:ascii="Times New Roman" w:hAnsi="Times New Roman" w:cs="Times New Roman"/>
              <w:bCs w:val="0"/>
            </w:rPr>
            <w:fldChar w:fldCharType="end"/>
          </w:r>
        </w:p>
        <w:p w14:paraId="7D0E13A8">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_Toc31103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（四） </w:t>
          </w:r>
          <w:r>
            <w:rPr>
              <w:rFonts w:hint="default" w:ascii="Times New Roman" w:hAnsi="Times New Roman" w:cs="Times New Roman"/>
              <w:bCs w:val="0"/>
              <w:lang w:val="en-US" w:eastAsia="zh-CN"/>
            </w:rPr>
            <w:t>特种设备维护保养和定期自行检查</w:t>
          </w:r>
          <w:r>
            <w:tab/>
          </w:r>
          <w:r>
            <w:fldChar w:fldCharType="begin"/>
          </w:r>
          <w:r>
            <w:instrText xml:space="preserve"> PAGEREF _Toc31103 \h </w:instrText>
          </w:r>
          <w:r>
            <w:fldChar w:fldCharType="separate"/>
          </w:r>
          <w:r>
            <w:t>18</w:t>
          </w:r>
          <w:r>
            <w:fldChar w:fldCharType="end"/>
          </w:r>
          <w:r>
            <w:rPr>
              <w:rFonts w:hint="default" w:ascii="Times New Roman" w:hAnsi="Times New Roman" w:cs="Times New Roman"/>
              <w:bCs w:val="0"/>
            </w:rPr>
            <w:fldChar w:fldCharType="end"/>
          </w:r>
        </w:p>
        <w:p w14:paraId="3C60C8A2">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_Toc11895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（五） </w:t>
          </w:r>
          <w:r>
            <w:rPr>
              <w:rFonts w:hint="default" w:ascii="Times New Roman" w:hAnsi="Times New Roman" w:cs="Times New Roman"/>
              <w:bCs w:val="0"/>
              <w:lang w:val="en-US" w:eastAsia="zh-CN"/>
            </w:rPr>
            <w:t>特种设备日常使用状况记录</w:t>
          </w:r>
          <w:r>
            <w:tab/>
          </w:r>
          <w:r>
            <w:fldChar w:fldCharType="begin"/>
          </w:r>
          <w:r>
            <w:instrText xml:space="preserve"> PAGEREF _Toc11895 \h </w:instrText>
          </w:r>
          <w:r>
            <w:fldChar w:fldCharType="separate"/>
          </w:r>
          <w:r>
            <w:t>18</w:t>
          </w:r>
          <w:r>
            <w:fldChar w:fldCharType="end"/>
          </w:r>
          <w:r>
            <w:rPr>
              <w:rFonts w:hint="default" w:ascii="Times New Roman" w:hAnsi="Times New Roman" w:cs="Times New Roman"/>
              <w:bCs w:val="0"/>
            </w:rPr>
            <w:fldChar w:fldCharType="end"/>
          </w:r>
        </w:p>
        <w:p w14:paraId="1CA37474">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_Toc696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（六） </w:t>
          </w:r>
          <w:r>
            <w:rPr>
              <w:rFonts w:hint="default" w:ascii="Times New Roman" w:hAnsi="Times New Roman" w:cs="Times New Roman"/>
              <w:bCs w:val="0"/>
              <w:lang w:val="en-US" w:eastAsia="zh-CN"/>
            </w:rPr>
            <w:t>特种设备隐患排查和治理</w:t>
          </w:r>
          <w:r>
            <w:tab/>
          </w:r>
          <w:r>
            <w:fldChar w:fldCharType="begin"/>
          </w:r>
          <w:r>
            <w:instrText xml:space="preserve"> PAGEREF _Toc696 \h </w:instrText>
          </w:r>
          <w:r>
            <w:fldChar w:fldCharType="separate"/>
          </w:r>
          <w:r>
            <w:t>18</w:t>
          </w:r>
          <w:r>
            <w:fldChar w:fldCharType="end"/>
          </w:r>
          <w:r>
            <w:rPr>
              <w:rFonts w:hint="default" w:ascii="Times New Roman" w:hAnsi="Times New Roman" w:cs="Times New Roman"/>
              <w:bCs w:val="0"/>
            </w:rPr>
            <w:fldChar w:fldCharType="end"/>
          </w:r>
        </w:p>
        <w:p w14:paraId="22D54BE2">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_Toc22253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九、</w:t>
          </w:r>
          <w:r>
            <w:rPr>
              <w:rFonts w:hint="default" w:ascii="黑体" w:hAnsi="黑体" w:cs="黑体"/>
              <w:bCs w:val="0"/>
              <w:szCs w:val="28"/>
              <w:lang w:val="en-US" w:eastAsia="zh-CN"/>
            </w:rPr>
            <w:t>特种设备应急预案和应急演练</w:t>
          </w:r>
          <w:r>
            <w:tab/>
          </w:r>
          <w:r>
            <w:fldChar w:fldCharType="begin"/>
          </w:r>
          <w:r>
            <w:instrText xml:space="preserve"> PAGEREF _Toc22253 \h </w:instrText>
          </w:r>
          <w:r>
            <w:fldChar w:fldCharType="separate"/>
          </w:r>
          <w:r>
            <w:t>20</w:t>
          </w:r>
          <w:r>
            <w:fldChar w:fldCharType="end"/>
          </w:r>
          <w:r>
            <w:rPr>
              <w:rFonts w:hint="default" w:ascii="Times New Roman" w:hAnsi="Times New Roman" w:cs="Times New Roman"/>
              <w:bCs w:val="0"/>
            </w:rPr>
            <w:fldChar w:fldCharType="end"/>
          </w:r>
        </w:p>
        <w:p w14:paraId="51910DF6">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_Toc10261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（一） </w:t>
          </w:r>
          <w:r>
            <w:rPr>
              <w:rFonts w:hint="eastAsia" w:cs="Times New Roman"/>
              <w:bCs w:val="0"/>
              <w:lang w:val="en-US" w:eastAsia="zh-CN"/>
            </w:rPr>
            <w:t>特种设备</w:t>
          </w:r>
          <w:r>
            <w:rPr>
              <w:rFonts w:hint="default" w:ascii="Times New Roman" w:hAnsi="Times New Roman" w:cs="Times New Roman"/>
              <w:bCs w:val="0"/>
              <w:lang w:val="en-US" w:eastAsia="zh-CN"/>
            </w:rPr>
            <w:t>应急预案和</w:t>
          </w:r>
          <w:r>
            <w:rPr>
              <w:rFonts w:hint="eastAsia" w:cs="Times New Roman"/>
              <w:bCs w:val="0"/>
              <w:lang w:val="en-US" w:eastAsia="zh-CN"/>
            </w:rPr>
            <w:t>应急</w:t>
          </w:r>
          <w:r>
            <w:rPr>
              <w:rFonts w:hint="default" w:ascii="Times New Roman" w:hAnsi="Times New Roman" w:cs="Times New Roman"/>
              <w:bCs w:val="0"/>
              <w:lang w:val="en-US" w:eastAsia="zh-CN"/>
            </w:rPr>
            <w:t>演练要求</w:t>
          </w:r>
          <w:r>
            <w:tab/>
          </w:r>
          <w:r>
            <w:fldChar w:fldCharType="begin"/>
          </w:r>
          <w:r>
            <w:instrText xml:space="preserve"> PAGEREF _Toc10261 \h </w:instrText>
          </w:r>
          <w:r>
            <w:fldChar w:fldCharType="separate"/>
          </w:r>
          <w:r>
            <w:t>20</w:t>
          </w:r>
          <w:r>
            <w:fldChar w:fldCharType="end"/>
          </w:r>
          <w:r>
            <w:rPr>
              <w:rFonts w:hint="default" w:ascii="Times New Roman" w:hAnsi="Times New Roman" w:cs="Times New Roman"/>
              <w:bCs w:val="0"/>
            </w:rPr>
            <w:fldChar w:fldCharType="end"/>
          </w:r>
        </w:p>
        <w:p w14:paraId="0530EC07">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_Toc18745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（二） </w:t>
          </w:r>
          <w:r>
            <w:rPr>
              <w:rFonts w:hint="default" w:ascii="Times New Roman" w:hAnsi="Times New Roman" w:cs="Times New Roman"/>
              <w:bCs w:val="0"/>
              <w:lang w:val="en-US" w:eastAsia="zh-CN"/>
            </w:rPr>
            <w:t>特种设备专项应急预案编制要求</w:t>
          </w:r>
          <w:r>
            <w:tab/>
          </w:r>
          <w:r>
            <w:fldChar w:fldCharType="begin"/>
          </w:r>
          <w:r>
            <w:instrText xml:space="preserve"> PAGEREF _Toc18745 \h </w:instrText>
          </w:r>
          <w:r>
            <w:fldChar w:fldCharType="separate"/>
          </w:r>
          <w:r>
            <w:t>20</w:t>
          </w:r>
          <w:r>
            <w:fldChar w:fldCharType="end"/>
          </w:r>
          <w:r>
            <w:rPr>
              <w:rFonts w:hint="default" w:ascii="Times New Roman" w:hAnsi="Times New Roman" w:cs="Times New Roman"/>
              <w:bCs w:val="0"/>
            </w:rPr>
            <w:fldChar w:fldCharType="end"/>
          </w:r>
        </w:p>
        <w:p w14:paraId="34F206AD">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_Toc28202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（三） </w:t>
          </w:r>
          <w:r>
            <w:rPr>
              <w:rFonts w:hint="default" w:ascii="Times New Roman" w:hAnsi="Times New Roman" w:cs="Times New Roman"/>
              <w:bCs w:val="0"/>
              <w:lang w:val="en-US" w:eastAsia="zh-CN"/>
            </w:rPr>
            <w:t>是否按设备类别制定专项应急预案</w:t>
          </w:r>
          <w:r>
            <w:tab/>
          </w:r>
          <w:r>
            <w:fldChar w:fldCharType="begin"/>
          </w:r>
          <w:r>
            <w:instrText xml:space="preserve"> PAGEREF _Toc28202 \h </w:instrText>
          </w:r>
          <w:r>
            <w:fldChar w:fldCharType="separate"/>
          </w:r>
          <w:r>
            <w:t>20</w:t>
          </w:r>
          <w:r>
            <w:fldChar w:fldCharType="end"/>
          </w:r>
          <w:r>
            <w:rPr>
              <w:rFonts w:hint="default" w:ascii="Times New Roman" w:hAnsi="Times New Roman" w:cs="Times New Roman"/>
              <w:bCs w:val="0"/>
            </w:rPr>
            <w:fldChar w:fldCharType="end"/>
          </w:r>
        </w:p>
        <w:p w14:paraId="0AFE9A25">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_Toc21425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十、</w:t>
          </w:r>
          <w:r>
            <w:rPr>
              <w:rFonts w:hint="default" w:ascii="黑体" w:hAnsi="黑体" w:cs="黑体"/>
              <w:bCs w:val="0"/>
              <w:szCs w:val="28"/>
              <w:lang w:val="en-US" w:eastAsia="zh-CN"/>
            </w:rPr>
            <w:t>特种设备安全信息化建设</w:t>
          </w:r>
          <w:r>
            <w:tab/>
          </w:r>
          <w:r>
            <w:fldChar w:fldCharType="begin"/>
          </w:r>
          <w:r>
            <w:instrText xml:space="preserve"> PAGEREF _Toc21425 \h </w:instrText>
          </w:r>
          <w:r>
            <w:fldChar w:fldCharType="separate"/>
          </w:r>
          <w:r>
            <w:t>21</w:t>
          </w:r>
          <w:r>
            <w:fldChar w:fldCharType="end"/>
          </w:r>
          <w:r>
            <w:rPr>
              <w:rFonts w:hint="default" w:ascii="Times New Roman" w:hAnsi="Times New Roman" w:cs="Times New Roman"/>
              <w:bCs w:val="0"/>
            </w:rPr>
            <w:fldChar w:fldCharType="end"/>
          </w:r>
        </w:p>
        <w:p w14:paraId="77DDA4E7">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_Toc7613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十一、</w:t>
          </w:r>
          <w:r>
            <w:rPr>
              <w:rFonts w:hint="default" w:ascii="黑体" w:hAnsi="黑体" w:cs="黑体"/>
              <w:bCs w:val="0"/>
              <w:szCs w:val="28"/>
              <w:lang w:val="en-US" w:eastAsia="zh-CN"/>
            </w:rPr>
            <w:t>常用法律法规、安全技术规范</w:t>
          </w:r>
          <w:r>
            <w:tab/>
          </w:r>
          <w:r>
            <w:fldChar w:fldCharType="begin"/>
          </w:r>
          <w:r>
            <w:instrText xml:space="preserve"> PAGEREF _Toc7613 \h </w:instrText>
          </w:r>
          <w:r>
            <w:fldChar w:fldCharType="separate"/>
          </w:r>
          <w:r>
            <w:t>22</w:t>
          </w:r>
          <w:r>
            <w:fldChar w:fldCharType="end"/>
          </w:r>
          <w:r>
            <w:rPr>
              <w:rFonts w:hint="default" w:ascii="Times New Roman" w:hAnsi="Times New Roman" w:cs="Times New Roman"/>
              <w:bCs w:val="0"/>
            </w:rPr>
            <w:fldChar w:fldCharType="end"/>
          </w:r>
        </w:p>
        <w:p w14:paraId="55161DA4">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_Toc10402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（一） </w:t>
          </w:r>
          <w:r>
            <w:rPr>
              <w:rFonts w:hint="default" w:ascii="Times New Roman" w:hAnsi="Times New Roman" w:cs="Times New Roman"/>
              <w:bCs w:val="0"/>
              <w:lang w:val="en-US" w:eastAsia="zh-CN"/>
            </w:rPr>
            <w:t>常用法律法规</w:t>
          </w:r>
          <w:r>
            <w:tab/>
          </w:r>
          <w:r>
            <w:fldChar w:fldCharType="begin"/>
          </w:r>
          <w:r>
            <w:instrText xml:space="preserve"> PAGEREF _Toc10402 \h </w:instrText>
          </w:r>
          <w:r>
            <w:fldChar w:fldCharType="separate"/>
          </w:r>
          <w:r>
            <w:t>22</w:t>
          </w:r>
          <w:r>
            <w:fldChar w:fldCharType="end"/>
          </w:r>
          <w:r>
            <w:rPr>
              <w:rFonts w:hint="default" w:ascii="Times New Roman" w:hAnsi="Times New Roman" w:cs="Times New Roman"/>
              <w:bCs w:val="0"/>
            </w:rPr>
            <w:fldChar w:fldCharType="end"/>
          </w:r>
        </w:p>
        <w:p w14:paraId="2B4992BD">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_Toc513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（二） </w:t>
          </w:r>
          <w:r>
            <w:rPr>
              <w:rFonts w:hint="default" w:ascii="Times New Roman" w:hAnsi="Times New Roman" w:cs="Times New Roman"/>
              <w:bCs w:val="0"/>
              <w:lang w:val="en-US" w:eastAsia="zh-CN"/>
            </w:rPr>
            <w:t>常用部门规章</w:t>
          </w:r>
          <w:r>
            <w:tab/>
          </w:r>
          <w:r>
            <w:fldChar w:fldCharType="begin"/>
          </w:r>
          <w:r>
            <w:instrText xml:space="preserve"> PAGEREF _Toc513 \h </w:instrText>
          </w:r>
          <w:r>
            <w:fldChar w:fldCharType="separate"/>
          </w:r>
          <w:r>
            <w:t>22</w:t>
          </w:r>
          <w:r>
            <w:fldChar w:fldCharType="end"/>
          </w:r>
          <w:r>
            <w:rPr>
              <w:rFonts w:hint="default" w:ascii="Times New Roman" w:hAnsi="Times New Roman" w:cs="Times New Roman"/>
              <w:bCs w:val="0"/>
            </w:rPr>
            <w:fldChar w:fldCharType="end"/>
          </w:r>
        </w:p>
        <w:p w14:paraId="285A10F1">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_Toc10286 </w:instrText>
          </w:r>
          <w:r>
            <w:rPr>
              <w:rFonts w:hint="default" w:ascii="Times New Roman" w:hAnsi="Times New Roman" w:cs="Times New Roman"/>
              <w:bCs w:val="0"/>
            </w:rPr>
            <w:fldChar w:fldCharType="separate"/>
          </w:r>
          <w:r>
            <w:rPr>
              <w:rFonts w:hint="eastAsia" w:ascii="Times New Roman" w:hAnsi="Times New Roman" w:cs="Times New Roman"/>
              <w:bCs w:val="0"/>
              <w:lang w:val="en-US" w:eastAsia="zh-CN"/>
            </w:rPr>
            <w:t xml:space="preserve">（三） </w:t>
          </w:r>
          <w:r>
            <w:rPr>
              <w:rFonts w:hint="default" w:ascii="Times New Roman" w:hAnsi="Times New Roman" w:cs="Times New Roman"/>
              <w:bCs w:val="0"/>
              <w:lang w:val="en-US" w:eastAsia="zh-CN"/>
            </w:rPr>
            <w:t>常用安全技术规范</w:t>
          </w:r>
          <w:r>
            <w:tab/>
          </w:r>
          <w:r>
            <w:fldChar w:fldCharType="begin"/>
          </w:r>
          <w:r>
            <w:instrText xml:space="preserve"> PAGEREF _Toc10286 \h </w:instrText>
          </w:r>
          <w:r>
            <w:fldChar w:fldCharType="separate"/>
          </w:r>
          <w:r>
            <w:t>22</w:t>
          </w:r>
          <w:r>
            <w:fldChar w:fldCharType="end"/>
          </w:r>
          <w:r>
            <w:rPr>
              <w:rFonts w:hint="default" w:ascii="Times New Roman" w:hAnsi="Times New Roman" w:cs="Times New Roman"/>
              <w:bCs w:val="0"/>
            </w:rPr>
            <w:fldChar w:fldCharType="end"/>
          </w:r>
        </w:p>
        <w:p w14:paraId="1292E7ED">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_Toc32126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十二、</w:t>
          </w:r>
          <w:r>
            <w:rPr>
              <w:rFonts w:hint="default" w:ascii="黑体" w:hAnsi="黑体" w:cs="黑体"/>
              <w:bCs w:val="0"/>
              <w:szCs w:val="28"/>
              <w:lang w:val="en-US" w:eastAsia="zh-CN"/>
            </w:rPr>
            <w:t>特种设备重大事故隐患判定标准</w:t>
          </w:r>
          <w:r>
            <w:tab/>
          </w:r>
          <w:r>
            <w:fldChar w:fldCharType="begin"/>
          </w:r>
          <w:r>
            <w:instrText xml:space="preserve"> PAGEREF _Toc32126 \h </w:instrText>
          </w:r>
          <w:r>
            <w:fldChar w:fldCharType="separate"/>
          </w:r>
          <w:r>
            <w:t>24</w:t>
          </w:r>
          <w:r>
            <w:fldChar w:fldCharType="end"/>
          </w:r>
          <w:r>
            <w:rPr>
              <w:rFonts w:hint="default" w:ascii="Times New Roman" w:hAnsi="Times New Roman" w:cs="Times New Roman"/>
              <w:bCs w:val="0"/>
            </w:rPr>
            <w:fldChar w:fldCharType="end"/>
          </w:r>
        </w:p>
        <w:p w14:paraId="34F577ED">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_Toc18932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十三、特种设备</w:t>
          </w:r>
          <w:r>
            <w:rPr>
              <w:rFonts w:hint="default" w:ascii="黑体" w:hAnsi="黑体" w:cs="黑体"/>
              <w:bCs w:val="0"/>
              <w:szCs w:val="28"/>
              <w:lang w:val="en-US" w:eastAsia="zh-CN"/>
            </w:rPr>
            <w:t>使用单位办事指南</w:t>
          </w:r>
          <w:r>
            <w:tab/>
          </w:r>
          <w:r>
            <w:fldChar w:fldCharType="begin"/>
          </w:r>
          <w:r>
            <w:instrText xml:space="preserve"> PAGEREF _Toc18932 \h </w:instrText>
          </w:r>
          <w:r>
            <w:fldChar w:fldCharType="separate"/>
          </w:r>
          <w:r>
            <w:t>26</w:t>
          </w:r>
          <w:r>
            <w:fldChar w:fldCharType="end"/>
          </w:r>
          <w:r>
            <w:rPr>
              <w:rFonts w:hint="default" w:ascii="Times New Roman" w:hAnsi="Times New Roman" w:cs="Times New Roman"/>
              <w:bCs w:val="0"/>
            </w:rPr>
            <w:fldChar w:fldCharType="end"/>
          </w:r>
        </w:p>
        <w:p w14:paraId="00878583">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_Toc21389 </w:instrText>
          </w:r>
          <w:r>
            <w:rPr>
              <w:rFonts w:hint="default" w:ascii="Times New Roman" w:hAnsi="Times New Roman" w:cs="Times New Roman"/>
              <w:bCs w:val="0"/>
            </w:rPr>
            <w:fldChar w:fldCharType="separate"/>
          </w:r>
          <w:r>
            <w:rPr>
              <w:rFonts w:hint="default" w:ascii="Times New Roman" w:hAnsi="Times New Roman" w:cs="Times New Roman"/>
              <w:bCs w:val="0"/>
            </w:rPr>
            <w:t>（一）办理施工告知</w:t>
          </w:r>
          <w:r>
            <w:tab/>
          </w:r>
          <w:r>
            <w:fldChar w:fldCharType="begin"/>
          </w:r>
          <w:r>
            <w:instrText xml:space="preserve"> PAGEREF _Toc21389 \h </w:instrText>
          </w:r>
          <w:r>
            <w:fldChar w:fldCharType="separate"/>
          </w:r>
          <w:r>
            <w:t>26</w:t>
          </w:r>
          <w:r>
            <w:fldChar w:fldCharType="end"/>
          </w:r>
          <w:r>
            <w:rPr>
              <w:rFonts w:hint="default" w:ascii="Times New Roman" w:hAnsi="Times New Roman" w:cs="Times New Roman"/>
              <w:bCs w:val="0"/>
            </w:rPr>
            <w:fldChar w:fldCharType="end"/>
          </w:r>
        </w:p>
        <w:p w14:paraId="2A437917">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_Toc11589 </w:instrText>
          </w:r>
          <w:r>
            <w:rPr>
              <w:rFonts w:hint="default" w:ascii="Times New Roman" w:hAnsi="Times New Roman" w:cs="Times New Roman"/>
              <w:bCs w:val="0"/>
            </w:rPr>
            <w:fldChar w:fldCharType="separate"/>
          </w:r>
          <w:r>
            <w:rPr>
              <w:rFonts w:hint="default" w:ascii="Times New Roman" w:hAnsi="Times New Roman" w:cs="Times New Roman"/>
              <w:bCs w:val="0"/>
            </w:rPr>
            <w:t>（二）办理使用登记</w:t>
          </w:r>
          <w:r>
            <w:tab/>
          </w:r>
          <w:r>
            <w:fldChar w:fldCharType="begin"/>
          </w:r>
          <w:r>
            <w:instrText xml:space="preserve"> PAGEREF _Toc11589 \h </w:instrText>
          </w:r>
          <w:r>
            <w:fldChar w:fldCharType="separate"/>
          </w:r>
          <w:r>
            <w:t>26</w:t>
          </w:r>
          <w:r>
            <w:fldChar w:fldCharType="end"/>
          </w:r>
          <w:r>
            <w:rPr>
              <w:rFonts w:hint="default" w:ascii="Times New Roman" w:hAnsi="Times New Roman" w:cs="Times New Roman"/>
              <w:bCs w:val="0"/>
            </w:rPr>
            <w:fldChar w:fldCharType="end"/>
          </w:r>
        </w:p>
        <w:p w14:paraId="0D9DB8EB">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_Toc12871 </w:instrText>
          </w:r>
          <w:r>
            <w:rPr>
              <w:rFonts w:hint="default" w:ascii="Times New Roman" w:hAnsi="Times New Roman" w:cs="Times New Roman"/>
              <w:bCs w:val="0"/>
            </w:rPr>
            <w:fldChar w:fldCharType="separate"/>
          </w:r>
          <w:r>
            <w:rPr>
              <w:rFonts w:hint="default" w:ascii="Times New Roman" w:hAnsi="Times New Roman" w:cs="Times New Roman"/>
              <w:bCs w:val="0"/>
            </w:rPr>
            <w:t>（三）</w:t>
          </w:r>
          <w:r>
            <w:rPr>
              <w:rFonts w:hint="default" w:ascii="Times New Roman" w:hAnsi="Times New Roman" w:cs="Times New Roman"/>
              <w:bCs w:val="0"/>
              <w:lang w:eastAsia="zh-CN"/>
            </w:rPr>
            <w:t>申报安装监检和定期</w:t>
          </w:r>
          <w:r>
            <w:rPr>
              <w:rFonts w:hint="default" w:ascii="Times New Roman" w:hAnsi="Times New Roman" w:cs="Times New Roman"/>
              <w:bCs w:val="0"/>
            </w:rPr>
            <w:t>检验</w:t>
          </w:r>
          <w:r>
            <w:tab/>
          </w:r>
          <w:r>
            <w:fldChar w:fldCharType="begin"/>
          </w:r>
          <w:r>
            <w:instrText xml:space="preserve"> PAGEREF _Toc12871 \h </w:instrText>
          </w:r>
          <w:r>
            <w:fldChar w:fldCharType="separate"/>
          </w:r>
          <w:r>
            <w:t>27</w:t>
          </w:r>
          <w:r>
            <w:fldChar w:fldCharType="end"/>
          </w:r>
          <w:r>
            <w:rPr>
              <w:rFonts w:hint="default" w:ascii="Times New Roman" w:hAnsi="Times New Roman" w:cs="Times New Roman"/>
              <w:bCs w:val="0"/>
            </w:rPr>
            <w:fldChar w:fldCharType="end"/>
          </w:r>
        </w:p>
        <w:p w14:paraId="6E4F0BEC">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_Toc19375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1.申报安装监检</w:t>
          </w:r>
          <w:r>
            <w:tab/>
          </w:r>
          <w:r>
            <w:fldChar w:fldCharType="begin"/>
          </w:r>
          <w:r>
            <w:instrText xml:space="preserve"> PAGEREF _Toc19375 \h </w:instrText>
          </w:r>
          <w:r>
            <w:fldChar w:fldCharType="separate"/>
          </w:r>
          <w:r>
            <w:t>27</w:t>
          </w:r>
          <w:r>
            <w:fldChar w:fldCharType="end"/>
          </w:r>
          <w:r>
            <w:rPr>
              <w:rFonts w:hint="default" w:ascii="Times New Roman" w:hAnsi="Times New Roman" w:cs="Times New Roman"/>
              <w:bCs w:val="0"/>
            </w:rPr>
            <w:fldChar w:fldCharType="end"/>
          </w:r>
        </w:p>
        <w:p w14:paraId="0073E6B3">
          <w:pPr>
            <w:pStyle w:val="8"/>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_Toc10586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2.申报定期检验</w:t>
          </w:r>
          <w:r>
            <w:tab/>
          </w:r>
          <w:r>
            <w:fldChar w:fldCharType="begin"/>
          </w:r>
          <w:r>
            <w:instrText xml:space="preserve"> PAGEREF _Toc10586 \h </w:instrText>
          </w:r>
          <w:r>
            <w:fldChar w:fldCharType="separate"/>
          </w:r>
          <w:r>
            <w:t>27</w:t>
          </w:r>
          <w:r>
            <w:fldChar w:fldCharType="end"/>
          </w:r>
          <w:r>
            <w:rPr>
              <w:rFonts w:hint="default" w:ascii="Times New Roman" w:hAnsi="Times New Roman" w:cs="Times New Roman"/>
              <w:bCs w:val="0"/>
            </w:rPr>
            <w:fldChar w:fldCharType="end"/>
          </w:r>
        </w:p>
        <w:p w14:paraId="1C38B890">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_Toc26913 </w:instrText>
          </w:r>
          <w:r>
            <w:rPr>
              <w:rFonts w:hint="default" w:ascii="Times New Roman" w:hAnsi="Times New Roman" w:cs="Times New Roman"/>
              <w:bCs w:val="0"/>
            </w:rPr>
            <w:fldChar w:fldCharType="separate"/>
          </w:r>
          <w:r>
            <w:rPr>
              <w:rFonts w:hint="default" w:ascii="Times New Roman" w:hAnsi="Times New Roman" w:cs="Times New Roman"/>
              <w:bCs w:val="0"/>
            </w:rPr>
            <w:t>（四）</w:t>
          </w:r>
          <w:r>
            <w:rPr>
              <w:rFonts w:hint="eastAsia" w:cs="Times New Roman"/>
              <w:bCs w:val="0"/>
              <w:lang w:eastAsia="zh-CN"/>
            </w:rPr>
            <w:t>安全管理和</w:t>
          </w:r>
          <w:r>
            <w:rPr>
              <w:rFonts w:hint="default" w:ascii="Times New Roman" w:hAnsi="Times New Roman" w:cs="Times New Roman"/>
              <w:bCs w:val="0"/>
            </w:rPr>
            <w:t>作业人员考核发证及复审</w:t>
          </w:r>
          <w:r>
            <w:tab/>
          </w:r>
          <w:r>
            <w:fldChar w:fldCharType="begin"/>
          </w:r>
          <w:r>
            <w:instrText xml:space="preserve"> PAGEREF _Toc26913 \h </w:instrText>
          </w:r>
          <w:r>
            <w:fldChar w:fldCharType="separate"/>
          </w:r>
          <w:r>
            <w:t>27</w:t>
          </w:r>
          <w:r>
            <w:fldChar w:fldCharType="end"/>
          </w:r>
          <w:r>
            <w:rPr>
              <w:rFonts w:hint="default" w:ascii="Times New Roman" w:hAnsi="Times New Roman" w:cs="Times New Roman"/>
              <w:bCs w:val="0"/>
            </w:rPr>
            <w:fldChar w:fldCharType="end"/>
          </w:r>
        </w:p>
        <w:p w14:paraId="6B428226">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_Toc23590 </w:instrText>
          </w:r>
          <w:r>
            <w:rPr>
              <w:rFonts w:hint="default" w:ascii="Times New Roman" w:hAnsi="Times New Roman" w:cs="Times New Roman"/>
              <w:bCs w:val="0"/>
            </w:rPr>
            <w:fldChar w:fldCharType="separate"/>
          </w:r>
          <w:r>
            <w:rPr>
              <w:rFonts w:hint="default" w:ascii="Times New Roman" w:hAnsi="Times New Roman" w:cs="Times New Roman"/>
              <w:bCs w:val="0"/>
            </w:rPr>
            <w:t>（</w:t>
          </w:r>
          <w:r>
            <w:rPr>
              <w:rFonts w:hint="eastAsia" w:ascii="Times New Roman" w:hAnsi="Times New Roman" w:cs="Times New Roman"/>
              <w:bCs w:val="0"/>
              <w:lang w:eastAsia="zh-CN"/>
            </w:rPr>
            <w:t>五</w:t>
          </w:r>
          <w:r>
            <w:rPr>
              <w:rFonts w:hint="default" w:ascii="Times New Roman" w:hAnsi="Times New Roman" w:cs="Times New Roman"/>
              <w:bCs w:val="0"/>
            </w:rPr>
            <w:t>）</w:t>
          </w:r>
          <w:r>
            <w:rPr>
              <w:rFonts w:hint="default" w:ascii="Times New Roman" w:hAnsi="Times New Roman" w:cs="Times New Roman"/>
              <w:bCs w:val="0"/>
              <w:lang w:eastAsia="zh-CN"/>
            </w:rPr>
            <w:t>安全管理和</w:t>
          </w:r>
          <w:r>
            <w:rPr>
              <w:rFonts w:hint="default" w:ascii="Times New Roman" w:hAnsi="Times New Roman" w:cs="Times New Roman"/>
              <w:bCs w:val="0"/>
            </w:rPr>
            <w:t>作业人员</w:t>
          </w:r>
          <w:r>
            <w:rPr>
              <w:rFonts w:hint="default" w:ascii="Times New Roman" w:hAnsi="Times New Roman" w:cs="Times New Roman"/>
              <w:bCs w:val="0"/>
              <w:lang w:eastAsia="zh-CN"/>
            </w:rPr>
            <w:t>考试发证流程图</w:t>
          </w:r>
          <w:r>
            <w:tab/>
          </w:r>
          <w:r>
            <w:fldChar w:fldCharType="begin"/>
          </w:r>
          <w:r>
            <w:instrText xml:space="preserve"> PAGEREF _Toc23590 \h </w:instrText>
          </w:r>
          <w:r>
            <w:fldChar w:fldCharType="separate"/>
          </w:r>
          <w:r>
            <w:t>29</w:t>
          </w:r>
          <w:r>
            <w:fldChar w:fldCharType="end"/>
          </w:r>
          <w:r>
            <w:rPr>
              <w:rFonts w:hint="default" w:ascii="Times New Roman" w:hAnsi="Times New Roman" w:cs="Times New Roman"/>
              <w:bCs w:val="0"/>
            </w:rPr>
            <w:fldChar w:fldCharType="end"/>
          </w:r>
        </w:p>
        <w:p w14:paraId="702B80D9">
          <w:pPr>
            <w:pStyle w:val="11"/>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_Toc30202 </w:instrText>
          </w:r>
          <w:r>
            <w:rPr>
              <w:rFonts w:hint="default" w:ascii="Times New Roman" w:hAnsi="Times New Roman" w:cs="Times New Roman"/>
              <w:bCs w:val="0"/>
            </w:rPr>
            <w:fldChar w:fldCharType="separate"/>
          </w:r>
          <w:r>
            <w:rPr>
              <w:rFonts w:hint="eastAsia" w:ascii="黑体" w:hAnsi="黑体" w:cs="黑体"/>
              <w:bCs w:val="0"/>
              <w:szCs w:val="28"/>
              <w:lang w:val="en-US" w:eastAsia="zh-CN"/>
            </w:rPr>
            <w:t>十四、</w:t>
          </w:r>
          <w:r>
            <w:rPr>
              <w:rFonts w:hint="default" w:ascii="黑体" w:hAnsi="黑体" w:cs="黑体"/>
              <w:bCs w:val="0"/>
              <w:szCs w:val="28"/>
              <w:lang w:val="en-US" w:eastAsia="zh-CN"/>
            </w:rPr>
            <w:t>附件</w:t>
          </w:r>
          <w:r>
            <w:tab/>
          </w:r>
          <w:r>
            <w:fldChar w:fldCharType="begin"/>
          </w:r>
          <w:r>
            <w:instrText xml:space="preserve"> PAGEREF _Toc30202 \h </w:instrText>
          </w:r>
          <w:r>
            <w:fldChar w:fldCharType="separate"/>
          </w:r>
          <w:r>
            <w:t>30</w:t>
          </w:r>
          <w:r>
            <w:fldChar w:fldCharType="end"/>
          </w:r>
          <w:r>
            <w:rPr>
              <w:rFonts w:hint="default" w:ascii="Times New Roman" w:hAnsi="Times New Roman" w:cs="Times New Roman"/>
              <w:bCs w:val="0"/>
            </w:rPr>
            <w:fldChar w:fldCharType="end"/>
          </w:r>
        </w:p>
        <w:p w14:paraId="3EF529C4">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_Toc29189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附件1</w:t>
          </w:r>
          <w:r>
            <w:rPr>
              <w:rFonts w:hint="eastAsia" w:cs="Times New Roman"/>
              <w:bCs w:val="0"/>
              <w:lang w:val="en-US" w:eastAsia="zh-CN"/>
            </w:rPr>
            <w:t>设置</w:t>
          </w:r>
          <w:r>
            <w:rPr>
              <w:rFonts w:hint="default" w:ascii="Times New Roman" w:hAnsi="Times New Roman" w:cs="Times New Roman"/>
              <w:bCs w:val="0"/>
              <w:lang w:val="en-US" w:eastAsia="zh-CN"/>
            </w:rPr>
            <w:t>安全管理机构和</w:t>
          </w:r>
          <w:r>
            <w:rPr>
              <w:rFonts w:hint="eastAsia" w:cs="Times New Roman"/>
              <w:bCs w:val="0"/>
              <w:lang w:val="en-US" w:eastAsia="zh-CN"/>
            </w:rPr>
            <w:t>任命</w:t>
          </w:r>
          <w:r>
            <w:rPr>
              <w:rFonts w:hint="default" w:ascii="Times New Roman" w:hAnsi="Times New Roman" w:cs="Times New Roman"/>
              <w:bCs w:val="0"/>
              <w:lang w:val="en-US" w:eastAsia="zh-CN"/>
            </w:rPr>
            <w:t>安全管理人员</w:t>
          </w:r>
          <w:r>
            <w:rPr>
              <w:rFonts w:hint="eastAsia" w:cs="Times New Roman"/>
              <w:bCs w:val="0"/>
              <w:lang w:val="en-US" w:eastAsia="zh-CN"/>
            </w:rPr>
            <w:t>（</w:t>
          </w:r>
          <w:r>
            <w:rPr>
              <w:rFonts w:hint="default" w:ascii="Times New Roman" w:hAnsi="Times New Roman" w:cs="Times New Roman"/>
              <w:bCs w:val="0"/>
              <w:lang w:val="en-US" w:eastAsia="zh-CN"/>
            </w:rPr>
            <w:t>参考模板</w:t>
          </w:r>
          <w:r>
            <w:rPr>
              <w:rFonts w:hint="eastAsia" w:cs="Times New Roman"/>
              <w:bCs w:val="0"/>
              <w:lang w:val="en-US" w:eastAsia="zh-CN"/>
            </w:rPr>
            <w:t>）</w:t>
          </w:r>
          <w:r>
            <w:tab/>
          </w:r>
          <w:r>
            <w:fldChar w:fldCharType="begin"/>
          </w:r>
          <w:r>
            <w:instrText xml:space="preserve"> PAGEREF _Toc29189 \h </w:instrText>
          </w:r>
          <w:r>
            <w:fldChar w:fldCharType="separate"/>
          </w:r>
          <w:r>
            <w:t>31</w:t>
          </w:r>
          <w:r>
            <w:fldChar w:fldCharType="end"/>
          </w:r>
          <w:r>
            <w:rPr>
              <w:rFonts w:hint="default" w:ascii="Times New Roman" w:hAnsi="Times New Roman" w:cs="Times New Roman"/>
              <w:bCs w:val="0"/>
            </w:rPr>
            <w:fldChar w:fldCharType="end"/>
          </w:r>
        </w:p>
        <w:p w14:paraId="0F9F216C">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_Toc31421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附件2</w:t>
          </w:r>
          <w:r>
            <w:rPr>
              <w:rFonts w:hint="eastAsia" w:ascii="Times New Roman" w:hAnsi="Times New Roman" w:cs="Times New Roman"/>
              <w:bCs w:val="0"/>
              <w:lang w:val="en-US" w:eastAsia="zh-CN"/>
            </w:rPr>
            <w:t xml:space="preserve"> </w:t>
          </w:r>
          <w:r>
            <w:rPr>
              <w:rFonts w:hint="default" w:ascii="Times New Roman" w:hAnsi="Times New Roman" w:cs="Times New Roman"/>
              <w:bCs w:val="0"/>
              <w:lang w:val="en-US" w:eastAsia="zh-CN"/>
            </w:rPr>
            <w:t>特种设备安全管理制度</w:t>
          </w:r>
          <w:r>
            <w:rPr>
              <w:rFonts w:hint="eastAsia" w:cs="Times New Roman"/>
              <w:bCs w:val="0"/>
              <w:lang w:val="en-US" w:eastAsia="zh-CN"/>
            </w:rPr>
            <w:t>汇编（</w:t>
          </w:r>
          <w:r>
            <w:rPr>
              <w:rFonts w:hint="default" w:ascii="Times New Roman" w:hAnsi="Times New Roman" w:cs="Times New Roman"/>
              <w:bCs w:val="0"/>
              <w:lang w:val="en-US" w:eastAsia="zh-CN"/>
            </w:rPr>
            <w:t>参考模板</w:t>
          </w:r>
          <w:r>
            <w:rPr>
              <w:rFonts w:hint="eastAsia" w:cs="Times New Roman"/>
              <w:bCs w:val="0"/>
              <w:lang w:val="en-US" w:eastAsia="zh-CN"/>
            </w:rPr>
            <w:t>）</w:t>
          </w:r>
          <w:r>
            <w:tab/>
          </w:r>
          <w:r>
            <w:fldChar w:fldCharType="begin"/>
          </w:r>
          <w:r>
            <w:instrText xml:space="preserve"> PAGEREF _Toc31421 \h </w:instrText>
          </w:r>
          <w:r>
            <w:fldChar w:fldCharType="separate"/>
          </w:r>
          <w:r>
            <w:t>33</w:t>
          </w:r>
          <w:r>
            <w:fldChar w:fldCharType="end"/>
          </w:r>
          <w:r>
            <w:rPr>
              <w:rFonts w:hint="default" w:ascii="Times New Roman" w:hAnsi="Times New Roman" w:cs="Times New Roman"/>
              <w:bCs w:val="0"/>
            </w:rPr>
            <w:fldChar w:fldCharType="end"/>
          </w:r>
        </w:p>
        <w:p w14:paraId="4EA0EBC4">
          <w:pPr>
            <w:pStyle w:val="12"/>
            <w:tabs>
              <w:tab w:val="right" w:leader="dot" w:pos="8306"/>
            </w:tabs>
          </w:pPr>
          <w:r>
            <w:rPr>
              <w:rFonts w:hint="default" w:ascii="Times New Roman" w:hAnsi="Times New Roman" w:cs="Times New Roman"/>
              <w:bCs w:val="0"/>
            </w:rPr>
            <w:fldChar w:fldCharType="begin"/>
          </w:r>
          <w:r>
            <w:rPr>
              <w:rFonts w:hint="default" w:ascii="Times New Roman" w:hAnsi="Times New Roman" w:cs="Times New Roman"/>
              <w:bCs w:val="0"/>
            </w:rPr>
            <w:instrText xml:space="preserve"> HYPERLINK \l _Toc7610 </w:instrText>
          </w:r>
          <w:r>
            <w:rPr>
              <w:rFonts w:hint="default" w:ascii="Times New Roman" w:hAnsi="Times New Roman" w:cs="Times New Roman"/>
              <w:bCs w:val="0"/>
            </w:rPr>
            <w:fldChar w:fldCharType="separate"/>
          </w:r>
          <w:r>
            <w:rPr>
              <w:rFonts w:hint="default" w:ascii="Times New Roman" w:hAnsi="Times New Roman" w:cs="Times New Roman"/>
              <w:bCs w:val="0"/>
              <w:lang w:val="en-US" w:eastAsia="zh-CN"/>
            </w:rPr>
            <w:t>附件3</w:t>
          </w:r>
          <w:r>
            <w:rPr>
              <w:rFonts w:hint="default" w:ascii="Times New Roman" w:hAnsi="Times New Roman" w:cs="Times New Roman"/>
              <w:bCs w:val="0"/>
              <w:lang w:eastAsia="zh-CN"/>
            </w:rPr>
            <w:t>特种设备安全风险管控清单</w:t>
          </w:r>
          <w:r>
            <w:rPr>
              <w:rFonts w:hint="eastAsia" w:cs="Times New Roman"/>
              <w:bCs w:val="0"/>
              <w:lang w:eastAsia="zh-CN"/>
            </w:rPr>
            <w:t>（</w:t>
          </w:r>
          <w:r>
            <w:rPr>
              <w:rFonts w:hint="default" w:ascii="Times New Roman" w:hAnsi="Times New Roman" w:cs="Times New Roman"/>
              <w:bCs w:val="0"/>
              <w:lang w:val="en-US" w:eastAsia="zh-CN"/>
            </w:rPr>
            <w:t>参考模板</w:t>
          </w:r>
          <w:r>
            <w:rPr>
              <w:rFonts w:hint="eastAsia" w:cs="Times New Roman"/>
              <w:bCs w:val="0"/>
              <w:lang w:eastAsia="zh-CN"/>
            </w:rPr>
            <w:t>）</w:t>
          </w:r>
          <w:r>
            <w:tab/>
          </w:r>
          <w:r>
            <w:fldChar w:fldCharType="begin"/>
          </w:r>
          <w:r>
            <w:instrText xml:space="preserve"> PAGEREF _Toc7610 \h </w:instrText>
          </w:r>
          <w:r>
            <w:fldChar w:fldCharType="separate"/>
          </w:r>
          <w:r>
            <w:t>49</w:t>
          </w:r>
          <w:r>
            <w:fldChar w:fldCharType="end"/>
          </w:r>
          <w:r>
            <w:rPr>
              <w:rFonts w:hint="default" w:ascii="Times New Roman" w:hAnsi="Times New Roman" w:cs="Times New Roman"/>
              <w:bCs w:val="0"/>
            </w:rPr>
            <w:fldChar w:fldCharType="end"/>
          </w:r>
        </w:p>
        <w:p w14:paraId="1AC680A7">
          <w:pPr>
            <w:rPr>
              <w:rFonts w:hint="default" w:ascii="Times New Roman" w:hAnsi="Times New Roman" w:cs="Times New Roman"/>
              <w:b w:val="0"/>
              <w:bCs w:val="0"/>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cs="Times New Roman"/>
              <w:bCs w:val="0"/>
            </w:rPr>
            <w:fldChar w:fldCharType="end"/>
          </w:r>
        </w:p>
      </w:sdtContent>
    </w:sdt>
    <w:p w14:paraId="5C659939">
      <w:pPr>
        <w:pStyle w:val="3"/>
        <w:bidi w:val="0"/>
        <w:rPr>
          <w:rFonts w:hint="eastAsia" w:ascii="黑体" w:hAnsi="黑体" w:eastAsia="黑体" w:cs="黑体"/>
          <w:b w:val="0"/>
          <w:bCs w:val="0"/>
          <w:sz w:val="28"/>
          <w:szCs w:val="28"/>
          <w:lang w:val="en-US" w:eastAsia="zh-CN"/>
        </w:rPr>
      </w:pPr>
      <w:bookmarkStart w:id="0" w:name="_Toc2026"/>
      <w:r>
        <w:rPr>
          <w:rFonts w:hint="eastAsia" w:ascii="黑体" w:hAnsi="黑体" w:eastAsia="黑体" w:cs="黑体"/>
          <w:b w:val="0"/>
          <w:bCs w:val="0"/>
          <w:sz w:val="28"/>
          <w:szCs w:val="28"/>
          <w:lang w:val="en-US" w:eastAsia="zh-CN"/>
        </w:rPr>
        <w:t>一、总体要求</w:t>
      </w:r>
      <w:bookmarkEnd w:id="0"/>
    </w:p>
    <w:p w14:paraId="768E1CE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根据《特种设备安全法》等法律法规、安全技术规范要求，特种设备使用单位总体应履行以下职责：</w:t>
      </w:r>
    </w:p>
    <w:p w14:paraId="6088A6C2">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依规设置特种设备安全管理机构，配备特种设备安全总监、安全员和作业人员，并按规定持证上岗；</w:t>
      </w:r>
    </w:p>
    <w:p w14:paraId="42D86C91">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建立并有效实施特种设备安全管理制度、高耗能特种设备节能管理制度、安全操作规程；</w:t>
      </w:r>
    </w:p>
    <w:p w14:paraId="66F1142E">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采购、使用取得许可生产（含设计、制造、安装、改造、修理），并且经检验合格的特种设备，禁止使用国家明令淘汰和已经报废的特种设备。</w:t>
      </w:r>
    </w:p>
    <w:p w14:paraId="45D3747E">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建立和更新特种设备安全管理台账、安全附件台账；</w:t>
      </w:r>
    </w:p>
    <w:p w14:paraId="7C61D78B">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建立特种设备安全管理人员和作业人员管理台账，开展安全与节能教育及考核，并保存相关记录；</w:t>
      </w:r>
    </w:p>
    <w:p w14:paraId="20B84DBD">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办理特种设备使用登记，建立特种设备安全技术档案；</w:t>
      </w:r>
    </w:p>
    <w:p w14:paraId="31FCFDB5">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对在用特种设备定期开展经常性维护保养、定期自行检查，记录工作开展情况；</w:t>
      </w:r>
    </w:p>
    <w:p w14:paraId="6F0AA435">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对在用特种设备进行定期检验；对在用特种设备安全附件、安全保护装置及其附属仪器仪表进行定期校验、检修；对在用锅炉、换热压力容器等进行能效测试；</w:t>
      </w:r>
    </w:p>
    <w:p w14:paraId="12E7EC12">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建立特种设备风险管控和隐患排查治理机制，结合本单位实际制定《特种设备风险管控清单》，落实特种设备“日管控、周排查、月调度”制度；</w:t>
      </w:r>
    </w:p>
    <w:p w14:paraId="212642E2">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加强特种设备作业人员的监督管理，及时制止、纠正“违章作业”行为，并给予批评教育或内部处分；</w:t>
      </w:r>
    </w:p>
    <w:p w14:paraId="272F002C">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落实高能耗特种设备节能工作要求；</w:t>
      </w:r>
    </w:p>
    <w:p w14:paraId="5BF51D2D">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制定特种设备应急预案，定期开展应急演练。发生事故及时上报，配合事故调查处理；</w:t>
      </w:r>
    </w:p>
    <w:p w14:paraId="49B2F7D6">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4"/>
          <w:szCs w:val="24"/>
          <w:lang w:val="en-US" w:eastAsia="zh-CN"/>
        </w:rPr>
        <w:t>保证特种设备安全、节能必要的投入。</w:t>
      </w:r>
    </w:p>
    <w:p w14:paraId="56DA6425">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br w:type="page"/>
      </w:r>
    </w:p>
    <w:p w14:paraId="6ECA7218">
      <w:pPr>
        <w:pStyle w:val="3"/>
        <w:bidi w:val="0"/>
        <w:rPr>
          <w:rFonts w:hint="eastAsia" w:ascii="黑体" w:hAnsi="黑体" w:eastAsia="黑体" w:cs="黑体"/>
          <w:b w:val="0"/>
          <w:bCs w:val="0"/>
          <w:sz w:val="28"/>
          <w:szCs w:val="28"/>
          <w:lang w:val="en-US" w:eastAsia="zh-CN"/>
        </w:rPr>
      </w:pPr>
      <w:bookmarkStart w:id="1" w:name="_Toc19113"/>
      <w:r>
        <w:rPr>
          <w:rFonts w:hint="eastAsia" w:ascii="黑体" w:hAnsi="黑体" w:eastAsia="黑体" w:cs="黑体"/>
          <w:b w:val="0"/>
          <w:bCs w:val="0"/>
          <w:sz w:val="28"/>
          <w:szCs w:val="28"/>
          <w:lang w:val="en-US" w:eastAsia="zh-CN"/>
        </w:rPr>
        <w:t>二、安全管理机构和安全管理人员</w:t>
      </w:r>
      <w:bookmarkEnd w:id="1"/>
    </w:p>
    <w:p w14:paraId="0A7DECCA">
      <w:pPr>
        <w:pStyle w:val="2"/>
        <w:numPr>
          <w:ilvl w:val="0"/>
          <w:numId w:val="0"/>
        </w:numPr>
        <w:bidi w:val="0"/>
        <w:ind w:leftChars="0" w:firstLine="480" w:firstLineChars="200"/>
        <w:rPr>
          <w:rFonts w:hint="default" w:ascii="Times New Roman" w:hAnsi="Times New Roman" w:cs="Times New Roman"/>
          <w:b w:val="0"/>
          <w:bCs w:val="0"/>
          <w:lang w:val="en-US" w:eastAsia="zh-CN"/>
        </w:rPr>
      </w:pPr>
      <w:bookmarkStart w:id="2" w:name="_Toc8811"/>
      <w:r>
        <w:rPr>
          <w:rFonts w:hint="default" w:ascii="Times New Roman" w:hAnsi="Times New Roman" w:cs="Times New Roman"/>
          <w:b w:val="0"/>
          <w:bCs w:val="0"/>
          <w:lang w:val="en-US" w:eastAsia="zh-CN"/>
        </w:rPr>
        <w:t>（一）需要设置安全管理机构的单位</w:t>
      </w:r>
      <w:bookmarkEnd w:id="2"/>
    </w:p>
    <w:p w14:paraId="1814394A">
      <w:pPr>
        <w:bidi w:val="0"/>
        <w:rPr>
          <w:rFonts w:hint="default"/>
          <w:lang w:val="en-US" w:eastAsia="zh-CN"/>
        </w:rPr>
      </w:pPr>
      <w:r>
        <w:rPr>
          <w:rFonts w:hint="default"/>
          <w:lang w:val="en-US" w:eastAsia="zh-CN"/>
        </w:rPr>
        <w:t>《特种设备使用管理规则》（TSG08-2026）2.3.2规定，符合下列条件之一的应当设置特种设备安全管理机构：</w:t>
      </w:r>
    </w:p>
    <w:p w14:paraId="6478256E">
      <w:pPr>
        <w:numPr>
          <w:ilvl w:val="0"/>
          <w:numId w:val="5"/>
        </w:numPr>
        <w:bidi w:val="0"/>
        <w:rPr>
          <w:rFonts w:hint="default"/>
          <w:lang w:val="en-US" w:eastAsia="zh-CN"/>
        </w:rPr>
      </w:pPr>
      <w:r>
        <w:rPr>
          <w:rFonts w:hint="default"/>
          <w:lang w:val="en-US" w:eastAsia="zh-CN"/>
        </w:rPr>
        <w:t>使用电站锅炉或者石化与化工成套装置的；</w:t>
      </w:r>
    </w:p>
    <w:p w14:paraId="6AA5F9D0">
      <w:pPr>
        <w:numPr>
          <w:ilvl w:val="0"/>
          <w:numId w:val="5"/>
        </w:numPr>
        <w:bidi w:val="0"/>
        <w:rPr>
          <w:rFonts w:hint="default"/>
          <w:lang w:val="en-US" w:eastAsia="zh-CN"/>
        </w:rPr>
      </w:pPr>
      <w:r>
        <w:rPr>
          <w:rFonts w:hint="default"/>
          <w:lang w:val="en-US" w:eastAsia="zh-CN"/>
        </w:rPr>
        <w:t>使用为公众提供运营服务电梯的，或者在公众聚集场所使用30台以上（含30台）电梯的；</w:t>
      </w:r>
    </w:p>
    <w:p w14:paraId="2E863D8F">
      <w:pPr>
        <w:numPr>
          <w:ilvl w:val="0"/>
          <w:numId w:val="5"/>
        </w:numPr>
        <w:bidi w:val="0"/>
        <w:rPr>
          <w:rFonts w:hint="default"/>
          <w:lang w:val="en-US" w:eastAsia="zh-CN"/>
        </w:rPr>
      </w:pPr>
      <w:r>
        <w:rPr>
          <w:rFonts w:hint="default"/>
          <w:lang w:val="en-US" w:eastAsia="zh-CN"/>
        </w:rPr>
        <w:t>使用10台以上（含10台）大型游乐设施的，或者10台以上（含10台）为公众提供运营服务非公路用旅游观光车辆的；</w:t>
      </w:r>
    </w:p>
    <w:p w14:paraId="18BE5B22">
      <w:pPr>
        <w:numPr>
          <w:ilvl w:val="0"/>
          <w:numId w:val="5"/>
        </w:numPr>
        <w:bidi w:val="0"/>
        <w:rPr>
          <w:rFonts w:hint="default"/>
          <w:lang w:val="en-US" w:eastAsia="zh-CN"/>
        </w:rPr>
      </w:pPr>
      <w:r>
        <w:rPr>
          <w:rFonts w:hint="default"/>
          <w:lang w:val="en-US" w:eastAsia="zh-CN"/>
        </w:rPr>
        <w:t xml:space="preserve">使用客运架空索道，或者客运缆车的； </w:t>
      </w:r>
    </w:p>
    <w:p w14:paraId="6AF42251">
      <w:pPr>
        <w:numPr>
          <w:ilvl w:val="0"/>
          <w:numId w:val="5"/>
        </w:numPr>
        <w:bidi w:val="0"/>
        <w:rPr>
          <w:rFonts w:hint="default"/>
          <w:color w:val="FF0000"/>
          <w:lang w:val="en-US" w:eastAsia="zh-CN"/>
        </w:rPr>
      </w:pPr>
      <w:r>
        <w:rPr>
          <w:rFonts w:hint="default"/>
          <w:color w:val="FF0000"/>
          <w:lang w:val="en-US" w:eastAsia="zh-CN"/>
        </w:rPr>
        <w:t>使用50km以上（含50km）压力管道的；</w:t>
      </w:r>
    </w:p>
    <w:p w14:paraId="6C04324D">
      <w:pPr>
        <w:numPr>
          <w:ilvl w:val="0"/>
          <w:numId w:val="5"/>
        </w:numPr>
        <w:bidi w:val="0"/>
        <w:rPr>
          <w:rFonts w:hint="default"/>
          <w:lang w:val="en-US" w:eastAsia="zh-CN"/>
        </w:rPr>
      </w:pPr>
      <w:r>
        <w:rPr>
          <w:rFonts w:hint="default"/>
          <w:lang w:val="en-US" w:eastAsia="zh-CN"/>
        </w:rPr>
        <w:t>使用特种设备(不含气瓶)总量50台以上（含50台）的。</w:t>
      </w:r>
    </w:p>
    <w:p w14:paraId="7D13B67C">
      <w:pPr>
        <w:pStyle w:val="2"/>
        <w:bidi w:val="0"/>
        <w:rPr>
          <w:rFonts w:hint="default" w:ascii="Times New Roman" w:hAnsi="Times New Roman" w:cs="Times New Roman"/>
          <w:b w:val="0"/>
          <w:bCs w:val="0"/>
          <w:lang w:val="en-US" w:eastAsia="zh-CN"/>
        </w:rPr>
      </w:pPr>
      <w:bookmarkStart w:id="3" w:name="_Toc15127"/>
      <w:r>
        <w:rPr>
          <w:rFonts w:hint="default" w:ascii="Times New Roman" w:hAnsi="Times New Roman" w:cs="Times New Roman"/>
          <w:b w:val="0"/>
          <w:bCs w:val="0"/>
          <w:lang w:val="en-US" w:eastAsia="zh-CN"/>
        </w:rPr>
        <w:t>（二）如何设置特种设备安全管理机构</w:t>
      </w:r>
      <w:bookmarkEnd w:id="3"/>
    </w:p>
    <w:p w14:paraId="2B2392DA">
      <w:pPr>
        <w:bidi w:val="0"/>
        <w:rPr>
          <w:rFonts w:hint="default"/>
          <w:lang w:val="en-US" w:eastAsia="zh-CN"/>
        </w:rPr>
      </w:pPr>
      <w:r>
        <w:rPr>
          <w:rFonts w:hint="default"/>
          <w:lang w:val="en-US" w:eastAsia="zh-CN"/>
        </w:rPr>
        <w:t>应以公司红头文件的形式明确本单位</w:t>
      </w:r>
      <w:r>
        <w:rPr>
          <w:rFonts w:hint="default"/>
          <w:color w:val="FF0000"/>
          <w:lang w:val="en-US" w:eastAsia="zh-CN"/>
        </w:rPr>
        <w:t>某一内设机构</w:t>
      </w:r>
      <w:r>
        <w:rPr>
          <w:rFonts w:hint="default"/>
          <w:lang w:val="en-US" w:eastAsia="zh-CN"/>
        </w:rPr>
        <w:t>为特种设备安全管理机构，比如：安全部、设备部。</w:t>
      </w:r>
    </w:p>
    <w:p w14:paraId="6DC8F4D3">
      <w:pPr>
        <w:pStyle w:val="2"/>
        <w:bidi w:val="0"/>
        <w:rPr>
          <w:rFonts w:hint="default" w:ascii="Times New Roman" w:hAnsi="Times New Roman" w:cs="Times New Roman"/>
          <w:b w:val="0"/>
          <w:bCs w:val="0"/>
          <w:lang w:val="en-US" w:eastAsia="zh-CN"/>
        </w:rPr>
      </w:pPr>
      <w:bookmarkStart w:id="4" w:name="_Toc20842"/>
      <w:r>
        <w:rPr>
          <w:rFonts w:hint="default" w:ascii="Times New Roman" w:hAnsi="Times New Roman" w:cs="Times New Roman"/>
          <w:b w:val="0"/>
          <w:bCs w:val="0"/>
          <w:lang w:val="en-US" w:eastAsia="zh-CN"/>
        </w:rPr>
        <w:t>（三）任命特种设备安全管理人员</w:t>
      </w:r>
      <w:bookmarkEnd w:id="4"/>
    </w:p>
    <w:p w14:paraId="7E35639E">
      <w:pPr>
        <w:bidi w:val="0"/>
        <w:rPr>
          <w:rFonts w:hint="default"/>
          <w:lang w:val="en-US" w:eastAsia="zh-CN"/>
        </w:rPr>
      </w:pPr>
      <w:r>
        <w:rPr>
          <w:rFonts w:hint="default"/>
          <w:lang w:val="en-US" w:eastAsia="zh-CN"/>
        </w:rPr>
        <w:t>《特种设备使用管理规则》（TSG08-2026）2.5规定，特种设备使用单位的安全管理人员包括安全总监、安全员和节能管理人员。特种设备安全总监由本单位</w:t>
      </w:r>
      <w:r>
        <w:rPr>
          <w:rFonts w:hint="eastAsia"/>
          <w:color w:val="FF0000"/>
          <w:lang w:val="en-US" w:eastAsia="zh-CN"/>
        </w:rPr>
        <w:t>高级</w:t>
      </w:r>
      <w:r>
        <w:rPr>
          <w:rFonts w:hint="default"/>
          <w:color w:val="FF0000"/>
          <w:lang w:val="en-US" w:eastAsia="zh-CN"/>
        </w:rPr>
        <w:t>管理层</w:t>
      </w:r>
      <w:r>
        <w:rPr>
          <w:rFonts w:hint="default"/>
          <w:lang w:val="en-US" w:eastAsia="zh-CN"/>
        </w:rPr>
        <w:t>中主管特种设备安全的领导担任。</w:t>
      </w:r>
    </w:p>
    <w:p w14:paraId="0B57878C">
      <w:pPr>
        <w:bidi w:val="0"/>
        <w:rPr>
          <w:rFonts w:hint="default"/>
          <w:lang w:val="en-US" w:eastAsia="zh-CN"/>
        </w:rPr>
      </w:pPr>
      <w:r>
        <w:rPr>
          <w:rFonts w:hint="default"/>
          <w:lang w:val="en-US" w:eastAsia="zh-CN"/>
        </w:rPr>
        <w:t>特种设备使用单位应当根据本单位特种设备的数量、特性等配备适当数量的安全员，并且</w:t>
      </w:r>
      <w:r>
        <w:rPr>
          <w:rFonts w:hint="default"/>
          <w:color w:val="FF0000"/>
          <w:lang w:val="en-US" w:eastAsia="zh-CN"/>
        </w:rPr>
        <w:t>逐台明确负责的安全员</w:t>
      </w:r>
      <w:r>
        <w:rPr>
          <w:rFonts w:hint="default"/>
          <w:lang w:val="en-US" w:eastAsia="zh-CN"/>
        </w:rPr>
        <w:t>。特种设备数量较少的单位，特种设备安全总监可以兼任安全员。</w:t>
      </w:r>
    </w:p>
    <w:p w14:paraId="25BDDDA0">
      <w:pPr>
        <w:bidi w:val="0"/>
        <w:rPr>
          <w:rFonts w:hint="default"/>
          <w:lang w:val="en-US" w:eastAsia="zh-CN"/>
        </w:rPr>
      </w:pPr>
      <w:r>
        <w:rPr>
          <w:rFonts w:hint="default"/>
          <w:lang w:val="en-US" w:eastAsia="zh-CN"/>
        </w:rPr>
        <w:t>使用单位要建立主要负责人全面负责，特种设备安全总监、安全员分级负责的责任体系。应以公司红头文件的形式任命特种设备安全总监和安全员。</w:t>
      </w:r>
    </w:p>
    <w:p w14:paraId="74A9EB10">
      <w:pPr>
        <w:pStyle w:val="2"/>
        <w:numPr>
          <w:ilvl w:val="0"/>
          <w:numId w:val="0"/>
        </w:numPr>
        <w:bidi w:val="0"/>
        <w:ind w:leftChars="200"/>
        <w:rPr>
          <w:rFonts w:hint="default" w:ascii="Times New Roman" w:hAnsi="Times New Roman" w:cs="Times New Roman"/>
          <w:b w:val="0"/>
          <w:bCs w:val="0"/>
          <w:lang w:val="en-US" w:eastAsia="zh-CN"/>
        </w:rPr>
      </w:pPr>
      <w:bookmarkStart w:id="5" w:name="_Toc27862"/>
      <w:r>
        <w:rPr>
          <w:rFonts w:hint="default" w:ascii="Times New Roman" w:hAnsi="Times New Roman" w:cs="Times New Roman"/>
          <w:b w:val="0"/>
          <w:bCs w:val="0"/>
          <w:lang w:val="en-US" w:eastAsia="zh-CN"/>
        </w:rPr>
        <w:t>（四）特种设备从业人员持证要求</w:t>
      </w:r>
      <w:bookmarkEnd w:id="5"/>
    </w:p>
    <w:p w14:paraId="687D5B57">
      <w:pPr>
        <w:pStyle w:val="4"/>
        <w:numPr>
          <w:ilvl w:val="0"/>
          <w:numId w:val="1"/>
        </w:numPr>
        <w:bidi w:val="0"/>
        <w:rPr>
          <w:rFonts w:hint="default" w:ascii="Times New Roman" w:hAnsi="Times New Roman" w:cs="Times New Roman"/>
          <w:b w:val="0"/>
          <w:bCs w:val="0"/>
          <w:lang w:val="en-US" w:eastAsia="zh-CN"/>
        </w:rPr>
      </w:pPr>
      <w:bookmarkStart w:id="6" w:name="_Toc16662"/>
      <w:r>
        <w:rPr>
          <w:rFonts w:hint="default" w:ascii="Times New Roman" w:hAnsi="Times New Roman" w:cs="Times New Roman"/>
          <w:b w:val="0"/>
          <w:bCs w:val="0"/>
          <w:lang w:val="en-US" w:eastAsia="zh-CN"/>
        </w:rPr>
        <w:t>特种设备安全总监持证要求</w:t>
      </w:r>
      <w:bookmarkEnd w:id="6"/>
    </w:p>
    <w:p w14:paraId="0CE08C93">
      <w:pPr>
        <w:bidi w:val="0"/>
        <w:rPr>
          <w:rFonts w:hint="default"/>
          <w:lang w:val="en-US" w:eastAsia="zh-CN"/>
        </w:rPr>
      </w:pPr>
      <w:r>
        <w:rPr>
          <w:rFonts w:hint="default"/>
          <w:lang w:val="en-US" w:eastAsia="zh-CN"/>
        </w:rPr>
        <w:t>《特种设备使用管理规则》（TSG08-2026）2.5.1.2规定，依规应当设置安全管理机构使用单位的</w:t>
      </w:r>
      <w:r>
        <w:rPr>
          <w:rFonts w:hint="default"/>
          <w:color w:val="FF0000"/>
          <w:lang w:val="en-US" w:eastAsia="zh-CN"/>
        </w:rPr>
        <w:t>特种设备安全总监应持特种设备安全管理员证（A证）</w:t>
      </w:r>
      <w:r>
        <w:rPr>
          <w:rFonts w:hint="default"/>
          <w:lang w:val="en-US" w:eastAsia="zh-CN"/>
        </w:rPr>
        <w:t>。</w:t>
      </w:r>
    </w:p>
    <w:p w14:paraId="37559F80">
      <w:pPr>
        <w:pStyle w:val="4"/>
        <w:bidi w:val="0"/>
        <w:rPr>
          <w:rFonts w:hint="default"/>
          <w:lang w:val="en-US" w:eastAsia="zh-CN"/>
        </w:rPr>
      </w:pPr>
      <w:bookmarkStart w:id="7" w:name="_Toc19392"/>
      <w:r>
        <w:rPr>
          <w:rFonts w:hint="default"/>
          <w:lang w:val="en-US" w:eastAsia="zh-CN"/>
        </w:rPr>
        <w:t>特种设备安全员持证要求</w:t>
      </w:r>
      <w:bookmarkEnd w:id="7"/>
    </w:p>
    <w:p w14:paraId="099A445E">
      <w:pPr>
        <w:bidi w:val="0"/>
        <w:rPr>
          <w:rFonts w:hint="default"/>
          <w:lang w:val="en-US" w:eastAsia="zh-CN"/>
        </w:rPr>
      </w:pPr>
      <w:r>
        <w:rPr>
          <w:rFonts w:hint="default"/>
          <w:lang w:val="en-US" w:eastAsia="zh-CN"/>
        </w:rPr>
        <w:t xml:space="preserve">《特种设备使用管理规则》（TSG08-2026）2.5.2.2规定，依规应当设置安全管理机构的使用单位以及符合下列条件之一的特种设备使用单位，特种设备安全员应持特种设备安全管理员证（A证）： </w:t>
      </w:r>
    </w:p>
    <w:p w14:paraId="795ECF10">
      <w:pPr>
        <w:numPr>
          <w:ilvl w:val="0"/>
          <w:numId w:val="6"/>
        </w:numPr>
        <w:bidi w:val="0"/>
        <w:ind w:left="0" w:leftChars="0" w:firstLine="480" w:firstLineChars="200"/>
        <w:rPr>
          <w:rFonts w:hint="default"/>
          <w:lang w:val="en-US" w:eastAsia="zh-CN"/>
        </w:rPr>
      </w:pPr>
      <w:r>
        <w:rPr>
          <w:rFonts w:hint="default"/>
          <w:lang w:val="en-US" w:eastAsia="zh-CN"/>
        </w:rPr>
        <w:t>使用额定工作压力大于或者等于2.5 MPa锅炉的；</w:t>
      </w:r>
    </w:p>
    <w:p w14:paraId="37F61775">
      <w:pPr>
        <w:numPr>
          <w:ilvl w:val="0"/>
          <w:numId w:val="6"/>
        </w:numPr>
        <w:bidi w:val="0"/>
        <w:ind w:left="0" w:leftChars="0" w:firstLine="480" w:firstLineChars="200"/>
        <w:rPr>
          <w:rFonts w:hint="default"/>
          <w:lang w:val="en-US" w:eastAsia="zh-CN"/>
        </w:rPr>
      </w:pPr>
      <w:r>
        <w:rPr>
          <w:rFonts w:hint="default"/>
          <w:lang w:val="en-US" w:eastAsia="zh-CN"/>
        </w:rPr>
        <w:t>使用5台以上（含5台）第Ш类固定式压力容器的；</w:t>
      </w:r>
    </w:p>
    <w:p w14:paraId="5A1D2C33">
      <w:pPr>
        <w:numPr>
          <w:ilvl w:val="0"/>
          <w:numId w:val="6"/>
        </w:numPr>
        <w:bidi w:val="0"/>
        <w:ind w:left="0" w:leftChars="0" w:firstLine="480" w:firstLineChars="200"/>
        <w:rPr>
          <w:rFonts w:hint="default"/>
          <w:lang w:val="en-US" w:eastAsia="zh-CN"/>
        </w:rPr>
      </w:pPr>
      <w:r>
        <w:rPr>
          <w:rFonts w:hint="default"/>
          <w:lang w:val="en-US" w:eastAsia="zh-CN"/>
        </w:rPr>
        <w:t>从事移动式压力容器或者气瓶充装的；</w:t>
      </w:r>
    </w:p>
    <w:p w14:paraId="1F6899D8">
      <w:pPr>
        <w:numPr>
          <w:ilvl w:val="0"/>
          <w:numId w:val="6"/>
        </w:numPr>
        <w:bidi w:val="0"/>
        <w:ind w:left="0" w:leftChars="0" w:firstLine="480" w:firstLineChars="200"/>
        <w:rPr>
          <w:rFonts w:hint="default"/>
          <w:lang w:val="en-US" w:eastAsia="zh-CN"/>
        </w:rPr>
      </w:pPr>
      <w:r>
        <w:rPr>
          <w:rFonts w:hint="default"/>
          <w:lang w:val="en-US" w:eastAsia="zh-CN"/>
        </w:rPr>
        <w:t>使用10公里以上（含10公里）工业管道的；</w:t>
      </w:r>
    </w:p>
    <w:p w14:paraId="17367590">
      <w:pPr>
        <w:numPr>
          <w:ilvl w:val="0"/>
          <w:numId w:val="6"/>
        </w:numPr>
        <w:bidi w:val="0"/>
        <w:ind w:left="0" w:leftChars="0" w:firstLine="480" w:firstLineChars="200"/>
        <w:rPr>
          <w:rFonts w:hint="default"/>
          <w:lang w:val="en-US" w:eastAsia="zh-CN"/>
        </w:rPr>
      </w:pPr>
      <w:r>
        <w:rPr>
          <w:rFonts w:hint="default"/>
          <w:lang w:val="en-US" w:eastAsia="zh-CN"/>
        </w:rPr>
        <w:t>使用移动式压力容器，或者客运拖牵索道，或者大型游乐设施，</w:t>
      </w:r>
      <w:r>
        <w:rPr>
          <w:rFonts w:hint="default"/>
          <w:color w:val="FF0000"/>
          <w:lang w:val="en-US" w:eastAsia="zh-CN"/>
        </w:rPr>
        <w:t>或者为公众提供运营服务的非公路旅游观光车辆的</w:t>
      </w:r>
      <w:r>
        <w:rPr>
          <w:rFonts w:hint="default"/>
          <w:lang w:val="en-US" w:eastAsia="zh-CN"/>
        </w:rPr>
        <w:t>；</w:t>
      </w:r>
    </w:p>
    <w:p w14:paraId="4C70361C">
      <w:pPr>
        <w:numPr>
          <w:ilvl w:val="0"/>
          <w:numId w:val="6"/>
        </w:numPr>
        <w:bidi w:val="0"/>
        <w:ind w:left="0" w:leftChars="0" w:firstLine="480" w:firstLineChars="200"/>
        <w:rPr>
          <w:rFonts w:hint="default"/>
          <w:color w:val="FF0000"/>
          <w:lang w:val="en-US" w:eastAsia="zh-CN"/>
        </w:rPr>
      </w:pPr>
      <w:r>
        <w:rPr>
          <w:rFonts w:hint="default"/>
          <w:color w:val="FF0000"/>
          <w:lang w:val="en-US" w:eastAsia="zh-CN"/>
        </w:rPr>
        <w:t>使用10台以上车辆的车用气瓶的使用单位（个人产权除外）；</w:t>
      </w:r>
    </w:p>
    <w:p w14:paraId="62039256">
      <w:pPr>
        <w:numPr>
          <w:ilvl w:val="0"/>
          <w:numId w:val="6"/>
        </w:numPr>
        <w:bidi w:val="0"/>
        <w:ind w:left="0" w:leftChars="0" w:firstLine="480" w:firstLineChars="200"/>
        <w:rPr>
          <w:rFonts w:hint="default"/>
          <w:lang w:val="en-US" w:eastAsia="zh-CN"/>
        </w:rPr>
      </w:pPr>
      <w:r>
        <w:rPr>
          <w:rFonts w:hint="default"/>
          <w:lang w:val="en-US" w:eastAsia="zh-CN"/>
        </w:rPr>
        <w:t>使用各类特种设备（不含气瓶)总量20台以上（含20台）的。</w:t>
      </w:r>
    </w:p>
    <w:p w14:paraId="63011423">
      <w:pPr>
        <w:pStyle w:val="4"/>
        <w:numPr>
          <w:ilvl w:val="0"/>
          <w:numId w:val="1"/>
        </w:numPr>
        <w:bidi w:val="0"/>
        <w:rPr>
          <w:rFonts w:hint="default" w:ascii="Times New Roman" w:hAnsi="Times New Roman" w:cs="Times New Roman"/>
          <w:b w:val="0"/>
          <w:bCs w:val="0"/>
          <w:lang w:val="en-US" w:eastAsia="zh-CN"/>
        </w:rPr>
      </w:pPr>
      <w:bookmarkStart w:id="8" w:name="_Toc25779"/>
      <w:r>
        <w:rPr>
          <w:rFonts w:hint="default" w:ascii="Times New Roman" w:hAnsi="Times New Roman" w:cs="Times New Roman"/>
          <w:b w:val="0"/>
          <w:bCs w:val="0"/>
          <w:lang w:val="en-US" w:eastAsia="zh-CN"/>
        </w:rPr>
        <w:t>特种设备作业人员持证要求</w:t>
      </w:r>
      <w:bookmarkEnd w:id="8"/>
    </w:p>
    <w:p w14:paraId="66ECABE2">
      <w:pPr>
        <w:bidi w:val="0"/>
        <w:rPr>
          <w:rFonts w:hint="default"/>
          <w:lang w:val="en-US" w:eastAsia="zh-CN"/>
        </w:rPr>
      </w:pPr>
      <w:r>
        <w:rPr>
          <w:rFonts w:hint="default"/>
          <w:lang w:val="en-US" w:eastAsia="zh-CN"/>
        </w:rPr>
        <w:t>《特种设备使用管理规则》（TSG08-2026）2.6.2规定，使用单位应当根据本单位特种设备数量、特性等配备相应的作业人员，并按规定持证上岗。</w:t>
      </w:r>
    </w:p>
    <w:p w14:paraId="3E228D6E">
      <w:pPr>
        <w:pStyle w:val="2"/>
        <w:bidi w:val="0"/>
        <w:rPr>
          <w:rFonts w:hint="default"/>
          <w:lang w:val="en-US" w:eastAsia="zh-CN"/>
        </w:rPr>
      </w:pPr>
      <w:bookmarkStart w:id="9" w:name="_Toc16758"/>
      <w:r>
        <w:rPr>
          <w:rFonts w:hint="default"/>
          <w:lang w:val="en-US" w:eastAsia="zh-CN"/>
        </w:rPr>
        <w:t>（五）特种设备从业人员职责</w:t>
      </w:r>
      <w:bookmarkEnd w:id="9"/>
    </w:p>
    <w:p w14:paraId="072A7528">
      <w:pPr>
        <w:pStyle w:val="4"/>
        <w:numPr>
          <w:ilvl w:val="0"/>
          <w:numId w:val="7"/>
        </w:numPr>
        <w:bidi w:val="0"/>
        <w:rPr>
          <w:rFonts w:hint="default" w:ascii="Times New Roman" w:hAnsi="Times New Roman" w:cs="Times New Roman"/>
          <w:b w:val="0"/>
          <w:bCs w:val="0"/>
          <w:lang w:val="en-US" w:eastAsia="zh-CN"/>
        </w:rPr>
      </w:pPr>
      <w:bookmarkStart w:id="10" w:name="_Toc32013"/>
      <w:r>
        <w:rPr>
          <w:rFonts w:hint="default" w:ascii="Times New Roman" w:hAnsi="Times New Roman" w:cs="Times New Roman"/>
          <w:b w:val="0"/>
          <w:bCs w:val="0"/>
          <w:lang w:val="en-US" w:eastAsia="zh-CN"/>
        </w:rPr>
        <w:t>主要负责人职责</w:t>
      </w:r>
      <w:bookmarkEnd w:id="10"/>
    </w:p>
    <w:p w14:paraId="2BC1A5C3">
      <w:pPr>
        <w:bidi w:val="0"/>
        <w:rPr>
          <w:rFonts w:hint="default"/>
        </w:rPr>
      </w:pPr>
      <w:r>
        <w:rPr>
          <w:rFonts w:hint="default"/>
          <w:lang w:val="en-US" w:eastAsia="zh-CN"/>
        </w:rPr>
        <w:t>《特种设备使用管理规则》（TSG08-2026）2.4规定，主要负责人是指特种设备使用单位的实际最高管理者，对其单位所使用的特种设备安全与节能全面负责。</w:t>
      </w:r>
    </w:p>
    <w:p w14:paraId="244D65A9">
      <w:pPr>
        <w:bidi w:val="0"/>
        <w:rPr>
          <w:rFonts w:hint="default" w:ascii="Times New Roman" w:hAnsi="Times New Roman" w:cs="Times New Roman"/>
          <w:b w:val="0"/>
          <w:bCs w:val="0"/>
        </w:rPr>
      </w:pPr>
      <w:r>
        <w:rPr>
          <w:rFonts w:hint="default" w:ascii="Times New Roman" w:hAnsi="Times New Roman" w:cs="Times New Roman"/>
          <w:b w:val="0"/>
          <w:bCs w:val="0"/>
        </w:rPr>
        <w:t>（1）</w:t>
      </w:r>
      <w:r>
        <w:rPr>
          <w:rFonts w:hint="default" w:ascii="Times New Roman" w:hAnsi="Times New Roman" w:cs="Times New Roman"/>
          <w:b w:val="0"/>
          <w:bCs w:val="0"/>
          <w:lang w:eastAsia="zh-CN"/>
        </w:rPr>
        <w:t>建立并落实特种设备使用安全主体责任的长效机制</w:t>
      </w:r>
      <w:r>
        <w:rPr>
          <w:rFonts w:hint="default" w:ascii="Times New Roman" w:hAnsi="Times New Roman" w:cs="Times New Roman"/>
          <w:b w:val="0"/>
          <w:bCs w:val="0"/>
        </w:rPr>
        <w:t>；</w:t>
      </w:r>
    </w:p>
    <w:p w14:paraId="4936E254">
      <w:pPr>
        <w:bidi w:val="0"/>
        <w:rPr>
          <w:rFonts w:hint="default" w:ascii="Times New Roman" w:hAnsi="Times New Roman" w:cs="Times New Roman"/>
          <w:b w:val="0"/>
          <w:bCs w:val="0"/>
        </w:rPr>
      </w:pPr>
      <w:r>
        <w:rPr>
          <w:rFonts w:hint="default" w:ascii="Times New Roman" w:hAnsi="Times New Roman" w:cs="Times New Roman"/>
          <w:b w:val="0"/>
          <w:bCs w:val="0"/>
        </w:rPr>
        <w:t>（2）</w:t>
      </w:r>
      <w:r>
        <w:rPr>
          <w:rFonts w:hint="default" w:ascii="Times New Roman" w:hAnsi="Times New Roman" w:cs="Times New Roman"/>
          <w:b w:val="0"/>
          <w:bCs w:val="0"/>
          <w:lang w:eastAsia="zh-CN"/>
        </w:rPr>
        <w:t>落实特种设备安全管理机构设置、安全总监和安全员配备</w:t>
      </w:r>
      <w:r>
        <w:rPr>
          <w:rFonts w:hint="default" w:ascii="Times New Roman" w:hAnsi="Times New Roman" w:cs="Times New Roman"/>
          <w:b w:val="0"/>
          <w:bCs w:val="0"/>
        </w:rPr>
        <w:t>；</w:t>
      </w:r>
    </w:p>
    <w:p w14:paraId="339210F1">
      <w:pPr>
        <w:bidi w:val="0"/>
        <w:rPr>
          <w:rFonts w:hint="default" w:ascii="Times New Roman" w:hAnsi="Times New Roman" w:cs="Times New Roman"/>
          <w:b w:val="0"/>
          <w:bCs w:val="0"/>
        </w:rPr>
      </w:pPr>
      <w:r>
        <w:rPr>
          <w:rFonts w:hint="default" w:ascii="Times New Roman" w:hAnsi="Times New Roman" w:cs="Times New Roman"/>
          <w:b w:val="0"/>
          <w:bCs w:val="0"/>
        </w:rPr>
        <w:t>（3）</w:t>
      </w:r>
      <w:r>
        <w:rPr>
          <w:rFonts w:hint="default" w:ascii="Times New Roman" w:hAnsi="Times New Roman" w:cs="Times New Roman"/>
          <w:b w:val="0"/>
          <w:bCs w:val="0"/>
          <w:lang w:eastAsia="zh-CN"/>
        </w:rPr>
        <w:t>支持和保障安全总监、安全员依法履行工作职责</w:t>
      </w:r>
      <w:r>
        <w:rPr>
          <w:rFonts w:hint="default" w:ascii="Times New Roman" w:hAnsi="Times New Roman" w:cs="Times New Roman"/>
          <w:b w:val="0"/>
          <w:bCs w:val="0"/>
        </w:rPr>
        <w:t>。</w:t>
      </w:r>
    </w:p>
    <w:p w14:paraId="7A764F7A">
      <w:pPr>
        <w:pStyle w:val="4"/>
        <w:numPr>
          <w:ilvl w:val="0"/>
          <w:numId w:val="7"/>
        </w:numPr>
        <w:bidi w:val="0"/>
        <w:rPr>
          <w:rFonts w:hint="default" w:ascii="Times New Roman" w:hAnsi="Times New Roman" w:cs="Times New Roman"/>
          <w:b w:val="0"/>
          <w:bCs w:val="0"/>
          <w:lang w:val="en-US" w:eastAsia="zh-CN"/>
        </w:rPr>
      </w:pPr>
      <w:bookmarkStart w:id="11" w:name="_Toc14997"/>
      <w:r>
        <w:rPr>
          <w:rFonts w:hint="default" w:ascii="Times New Roman" w:hAnsi="Times New Roman" w:cs="Times New Roman"/>
          <w:b w:val="0"/>
          <w:bCs w:val="0"/>
          <w:lang w:val="en-US" w:eastAsia="zh-CN"/>
        </w:rPr>
        <w:t>特种设备安全总监职责</w:t>
      </w:r>
      <w:bookmarkEnd w:id="11"/>
    </w:p>
    <w:p w14:paraId="51148B1F">
      <w:pPr>
        <w:bidi w:val="0"/>
        <w:rPr>
          <w:rFonts w:hint="default"/>
          <w:lang w:val="en-US" w:eastAsia="zh-CN"/>
        </w:rPr>
      </w:pPr>
      <w:r>
        <w:rPr>
          <w:rFonts w:hint="default"/>
          <w:lang w:val="en-US" w:eastAsia="zh-CN"/>
        </w:rPr>
        <w:t>《特种设备使用管理规则》（TSG08-2026）2.5.1.1规定，特种设备安全总监负有以下职责：</w:t>
      </w:r>
    </w:p>
    <w:p w14:paraId="2DCCBFA9">
      <w:pPr>
        <w:numPr>
          <w:ilvl w:val="0"/>
          <w:numId w:val="8"/>
        </w:numPr>
        <w:bidi w:val="0"/>
        <w:rPr>
          <w:rFonts w:hint="default"/>
          <w:lang w:val="en-US" w:eastAsia="zh-CN"/>
        </w:rPr>
      </w:pPr>
      <w:r>
        <w:rPr>
          <w:rFonts w:hint="default"/>
          <w:lang w:val="en-US" w:eastAsia="zh-CN"/>
        </w:rPr>
        <w:t>组织宣传、贯彻特种设备有关的法律、法规、规章、安全技术规范及相关标准；</w:t>
      </w:r>
    </w:p>
    <w:p w14:paraId="4593F991">
      <w:pPr>
        <w:numPr>
          <w:ilvl w:val="0"/>
          <w:numId w:val="8"/>
        </w:numPr>
        <w:bidi w:val="0"/>
        <w:rPr>
          <w:rFonts w:hint="default"/>
          <w:lang w:val="en-US" w:eastAsia="zh-CN"/>
        </w:rPr>
      </w:pPr>
      <w:r>
        <w:rPr>
          <w:rFonts w:hint="default"/>
          <w:lang w:val="en-US" w:eastAsia="zh-CN"/>
        </w:rPr>
        <w:t>组织制定本单位特种设备使用（含充装）安全管理制度，落实特种设备使用安全责任制；</w:t>
      </w:r>
    </w:p>
    <w:p w14:paraId="4D47A7F7">
      <w:pPr>
        <w:numPr>
          <w:ilvl w:val="0"/>
          <w:numId w:val="8"/>
        </w:numPr>
        <w:bidi w:val="0"/>
        <w:rPr>
          <w:rFonts w:hint="default"/>
          <w:lang w:val="en-US" w:eastAsia="zh-CN"/>
        </w:rPr>
      </w:pPr>
      <w:r>
        <w:rPr>
          <w:rFonts w:hint="default"/>
          <w:lang w:val="en-US" w:eastAsia="zh-CN"/>
        </w:rPr>
        <w:t>组织制定特种设备事故应急专项预案，并且定期组织演练；</w:t>
      </w:r>
    </w:p>
    <w:p w14:paraId="7D311BA1">
      <w:pPr>
        <w:numPr>
          <w:ilvl w:val="0"/>
          <w:numId w:val="8"/>
        </w:numPr>
        <w:bidi w:val="0"/>
        <w:rPr>
          <w:rFonts w:hint="default"/>
          <w:lang w:val="en-US" w:eastAsia="zh-CN"/>
        </w:rPr>
      </w:pPr>
      <w:r>
        <w:rPr>
          <w:rFonts w:hint="default"/>
          <w:lang w:val="en-US" w:eastAsia="zh-CN"/>
        </w:rPr>
        <w:t>落实特种设备安全事故报告和救援义务，采取措施防止事故扩大；</w:t>
      </w:r>
    </w:p>
    <w:p w14:paraId="30CDAAC4">
      <w:pPr>
        <w:numPr>
          <w:ilvl w:val="0"/>
          <w:numId w:val="8"/>
        </w:numPr>
        <w:bidi w:val="0"/>
        <w:rPr>
          <w:rFonts w:hint="default"/>
          <w:lang w:val="en-US" w:eastAsia="zh-CN"/>
        </w:rPr>
      </w:pPr>
      <w:r>
        <w:rPr>
          <w:rFonts w:hint="default"/>
          <w:lang w:val="en-US" w:eastAsia="zh-CN"/>
        </w:rPr>
        <w:t>对特种设备安全员、高耗能特种设备使用单位的节能管理人员进行安全教育和技术培训，监督、指导特种设备安全员、节能管理人员做好相关工作；</w:t>
      </w:r>
    </w:p>
    <w:p w14:paraId="7296C35F">
      <w:pPr>
        <w:numPr>
          <w:ilvl w:val="0"/>
          <w:numId w:val="8"/>
        </w:numPr>
        <w:bidi w:val="0"/>
        <w:rPr>
          <w:rFonts w:hint="default"/>
          <w:lang w:val="en-US" w:eastAsia="zh-CN"/>
        </w:rPr>
      </w:pPr>
      <w:r>
        <w:rPr>
          <w:rFonts w:hint="default"/>
          <w:lang w:val="en-US" w:eastAsia="zh-CN"/>
        </w:rPr>
        <w:t>按照规定组织开展特种设备使用安全风险评价工作，制定并且落实特种设备使用安全风险防控措施；</w:t>
      </w:r>
    </w:p>
    <w:p w14:paraId="63BBC759">
      <w:pPr>
        <w:numPr>
          <w:ilvl w:val="0"/>
          <w:numId w:val="8"/>
        </w:numPr>
        <w:bidi w:val="0"/>
        <w:rPr>
          <w:rFonts w:hint="default"/>
          <w:lang w:val="en-US" w:eastAsia="zh-CN"/>
        </w:rPr>
      </w:pPr>
      <w:r>
        <w:rPr>
          <w:rFonts w:hint="default"/>
          <w:lang w:val="en-US" w:eastAsia="zh-CN"/>
        </w:rPr>
        <w:t>对本单位特种设备使用安全管理工作进行检查，并且组织开展特种设备风险隐患排查，及时向主要负责人报告有关情况，提出改进措施；</w:t>
      </w:r>
    </w:p>
    <w:p w14:paraId="179F7134">
      <w:pPr>
        <w:numPr>
          <w:ilvl w:val="0"/>
          <w:numId w:val="8"/>
        </w:numPr>
        <w:bidi w:val="0"/>
        <w:rPr>
          <w:rFonts w:hint="default"/>
          <w:lang w:val="en-US" w:eastAsia="zh-CN"/>
        </w:rPr>
      </w:pPr>
      <w:r>
        <w:rPr>
          <w:rFonts w:hint="default"/>
          <w:lang w:val="en-US" w:eastAsia="zh-CN"/>
        </w:rPr>
        <w:t>当特种设备安全员报告特种设备存在严重（重大）事故隐患应当停止使用时，应当组织分析研判，采取处置措施，并且及时报告本单位主要负责人；</w:t>
      </w:r>
    </w:p>
    <w:p w14:paraId="2320FA16">
      <w:pPr>
        <w:numPr>
          <w:ilvl w:val="0"/>
          <w:numId w:val="8"/>
        </w:numPr>
        <w:bidi w:val="0"/>
        <w:rPr>
          <w:rFonts w:hint="default"/>
          <w:lang w:val="en-US" w:eastAsia="zh-CN"/>
        </w:rPr>
      </w:pPr>
      <w:r>
        <w:rPr>
          <w:rFonts w:hint="default"/>
          <w:lang w:val="en-US" w:eastAsia="zh-CN"/>
        </w:rPr>
        <w:t>配合有关部门开展特种设备安全监督检查、监督检验、定期检验和事故调查等工作，如实提供有关材料。</w:t>
      </w:r>
    </w:p>
    <w:p w14:paraId="49EE7073">
      <w:pPr>
        <w:pStyle w:val="4"/>
        <w:numPr>
          <w:ilvl w:val="0"/>
          <w:numId w:val="7"/>
        </w:numPr>
        <w:bidi w:val="0"/>
        <w:ind w:left="0" w:leftChars="0" w:firstLine="480" w:firstLineChars="200"/>
        <w:rPr>
          <w:rFonts w:hint="default" w:ascii="Times New Roman" w:hAnsi="Times New Roman" w:cs="Times New Roman"/>
          <w:b w:val="0"/>
          <w:bCs w:val="0"/>
          <w:lang w:val="en-US" w:eastAsia="zh-CN"/>
        </w:rPr>
      </w:pPr>
      <w:bookmarkStart w:id="12" w:name="_Toc16196"/>
      <w:r>
        <w:rPr>
          <w:rFonts w:hint="default" w:ascii="Times New Roman" w:hAnsi="Times New Roman" w:cs="Times New Roman"/>
          <w:b w:val="0"/>
          <w:bCs w:val="0"/>
          <w:lang w:val="en-US" w:eastAsia="zh-CN"/>
        </w:rPr>
        <w:t>特种设备安全员职责</w:t>
      </w:r>
      <w:bookmarkEnd w:id="12"/>
    </w:p>
    <w:p w14:paraId="1ED28885">
      <w:pPr>
        <w:bidi w:val="0"/>
        <w:rPr>
          <w:rFonts w:hint="default"/>
          <w:lang w:val="en-US" w:eastAsia="zh-CN"/>
        </w:rPr>
      </w:pPr>
      <w:r>
        <w:rPr>
          <w:rFonts w:hint="default"/>
          <w:lang w:val="en-US" w:eastAsia="zh-CN"/>
        </w:rPr>
        <w:t>《特种设备使用管理规则》（TSG08-2026）2.5.2.1规定，特种设备安全员负有以下职责：</w:t>
      </w:r>
    </w:p>
    <w:p w14:paraId="45AC400D">
      <w:pPr>
        <w:numPr>
          <w:ilvl w:val="0"/>
          <w:numId w:val="9"/>
        </w:numPr>
        <w:bidi w:val="0"/>
        <w:rPr>
          <w:rFonts w:hint="default"/>
        </w:rPr>
      </w:pPr>
      <w:r>
        <w:rPr>
          <w:rFonts w:hint="default"/>
        </w:rPr>
        <w:t>组织建立特种设备安全技术档案，办理特种设备使用登记</w:t>
      </w:r>
      <w:r>
        <w:rPr>
          <w:rFonts w:hint="default"/>
          <w:lang w:eastAsia="zh-CN"/>
        </w:rPr>
        <w:t>；</w:t>
      </w:r>
    </w:p>
    <w:p w14:paraId="492599EF">
      <w:pPr>
        <w:numPr>
          <w:ilvl w:val="0"/>
          <w:numId w:val="9"/>
        </w:numPr>
        <w:bidi w:val="0"/>
        <w:rPr>
          <w:rFonts w:hint="default"/>
        </w:rPr>
      </w:pPr>
      <w:r>
        <w:rPr>
          <w:rFonts w:hint="default"/>
        </w:rPr>
        <w:t>组织制定特种设备安全操作规程</w:t>
      </w:r>
      <w:r>
        <w:rPr>
          <w:rFonts w:hint="default"/>
          <w:lang w:eastAsia="zh-CN"/>
        </w:rPr>
        <w:t>；</w:t>
      </w:r>
    </w:p>
    <w:p w14:paraId="0B64E2CF">
      <w:pPr>
        <w:numPr>
          <w:ilvl w:val="0"/>
          <w:numId w:val="9"/>
        </w:numPr>
        <w:bidi w:val="0"/>
        <w:rPr>
          <w:rFonts w:hint="default"/>
        </w:rPr>
      </w:pPr>
      <w:r>
        <w:rPr>
          <w:rFonts w:hint="default"/>
        </w:rPr>
        <w:t>组织对特种设备作业人员和技术人员进行安全教育和技能培训</w:t>
      </w:r>
      <w:r>
        <w:rPr>
          <w:rFonts w:hint="default"/>
          <w:lang w:eastAsia="zh-CN"/>
        </w:rPr>
        <w:t>；</w:t>
      </w:r>
    </w:p>
    <w:p w14:paraId="1E450A09">
      <w:pPr>
        <w:numPr>
          <w:ilvl w:val="0"/>
          <w:numId w:val="9"/>
        </w:numPr>
        <w:bidi w:val="0"/>
        <w:rPr>
          <w:rFonts w:hint="default"/>
        </w:rPr>
      </w:pPr>
      <w:r>
        <w:rPr>
          <w:rFonts w:hint="default"/>
        </w:rPr>
        <w:t>根据《特种设备安全风险管控清单》，按照相关安全技术规范和本单位安全管理制度的要求</w:t>
      </w:r>
      <w:r>
        <w:rPr>
          <w:rFonts w:hint="default"/>
          <w:lang w:eastAsia="zh-CN"/>
        </w:rPr>
        <w:t>，</w:t>
      </w:r>
      <w:r>
        <w:rPr>
          <w:rFonts w:hint="default"/>
        </w:rPr>
        <w:t>组织对特种设备进行巡检并且形成检查记录，监督检查特种设备作业人员到岗值守、巡回检查以及安全操作等工作情况，纠正和制止违章作业行为</w:t>
      </w:r>
      <w:r>
        <w:rPr>
          <w:rFonts w:hint="default"/>
          <w:lang w:eastAsia="zh-CN"/>
        </w:rPr>
        <w:t>；</w:t>
      </w:r>
      <w:r>
        <w:rPr>
          <w:rFonts w:hint="default"/>
        </w:rPr>
        <w:t>对发现的风险隐患立即采取防范措施，及时上报安全总监或者单位主要负责人</w:t>
      </w:r>
      <w:r>
        <w:rPr>
          <w:rFonts w:hint="default"/>
          <w:lang w:eastAsia="zh-CN"/>
        </w:rPr>
        <w:t>；</w:t>
      </w:r>
    </w:p>
    <w:p w14:paraId="0BDF8F60">
      <w:pPr>
        <w:numPr>
          <w:ilvl w:val="0"/>
          <w:numId w:val="9"/>
        </w:numPr>
        <w:bidi w:val="0"/>
        <w:rPr>
          <w:rFonts w:hint="default"/>
        </w:rPr>
      </w:pPr>
      <w:r>
        <w:rPr>
          <w:rFonts w:hint="default"/>
        </w:rPr>
        <w:t>编制特种设备定期检验、自行检查计划，督促落实定期检验、自行检查和后续整改工作</w:t>
      </w:r>
      <w:r>
        <w:rPr>
          <w:rFonts w:hint="default"/>
          <w:lang w:eastAsia="zh-CN"/>
        </w:rPr>
        <w:t>；</w:t>
      </w:r>
    </w:p>
    <w:p w14:paraId="330E5E4C">
      <w:pPr>
        <w:numPr>
          <w:ilvl w:val="0"/>
          <w:numId w:val="9"/>
        </w:numPr>
        <w:bidi w:val="0"/>
        <w:rPr>
          <w:rFonts w:hint="default"/>
        </w:rPr>
      </w:pPr>
      <w:r>
        <w:rPr>
          <w:rFonts w:hint="default"/>
        </w:rPr>
        <w:t>按照规定报告特种设备事故，参加特种设备事故救援，协助进行事故调查和善后处理。</w:t>
      </w:r>
    </w:p>
    <w:p w14:paraId="37651100">
      <w:pPr>
        <w:pStyle w:val="4"/>
        <w:numPr>
          <w:ilvl w:val="0"/>
          <w:numId w:val="7"/>
        </w:numPr>
        <w:bidi w:val="0"/>
        <w:ind w:left="0" w:leftChars="0" w:firstLine="480" w:firstLineChars="200"/>
        <w:rPr>
          <w:rFonts w:hint="default" w:ascii="Times New Roman" w:hAnsi="Times New Roman" w:cs="Times New Roman"/>
          <w:b w:val="0"/>
          <w:bCs w:val="0"/>
          <w:lang w:val="en-US" w:eastAsia="zh-CN"/>
        </w:rPr>
      </w:pPr>
      <w:bookmarkStart w:id="13" w:name="_Toc3796"/>
      <w:r>
        <w:rPr>
          <w:rFonts w:hint="default" w:ascii="Times New Roman" w:hAnsi="Times New Roman" w:cs="Times New Roman"/>
          <w:b w:val="0"/>
          <w:bCs w:val="0"/>
          <w:lang w:val="en-US" w:eastAsia="zh-CN"/>
        </w:rPr>
        <w:t>特种设备作业人员职责</w:t>
      </w:r>
      <w:bookmarkEnd w:id="13"/>
    </w:p>
    <w:p w14:paraId="45999510">
      <w:pPr>
        <w:bidi w:val="0"/>
        <w:rPr>
          <w:rFonts w:hint="default"/>
          <w:lang w:val="en-US" w:eastAsia="zh-CN"/>
        </w:rPr>
      </w:pPr>
      <w:r>
        <w:rPr>
          <w:rFonts w:hint="default"/>
          <w:lang w:val="en-US" w:eastAsia="zh-CN"/>
        </w:rPr>
        <w:t>《特种设备使用管理规则》（TSG08-2026）2.6.1规定，特种设备作业人员负有以下职责：</w:t>
      </w:r>
    </w:p>
    <w:p w14:paraId="6605F019">
      <w:pPr>
        <w:numPr>
          <w:ilvl w:val="0"/>
          <w:numId w:val="10"/>
        </w:numPr>
        <w:bidi w:val="0"/>
        <w:rPr>
          <w:rFonts w:hint="default"/>
          <w:lang w:eastAsia="zh-CN"/>
        </w:rPr>
      </w:pPr>
      <w:r>
        <w:rPr>
          <w:rFonts w:hint="default"/>
        </w:rPr>
        <w:t>严格执行特种设备有关安全管理制度，并且按照操作规程进行操作</w:t>
      </w:r>
      <w:r>
        <w:rPr>
          <w:rFonts w:hint="default"/>
          <w:lang w:eastAsia="zh-CN"/>
        </w:rPr>
        <w:t>；</w:t>
      </w:r>
    </w:p>
    <w:p w14:paraId="0AB058F8">
      <w:pPr>
        <w:numPr>
          <w:ilvl w:val="0"/>
          <w:numId w:val="10"/>
        </w:numPr>
        <w:bidi w:val="0"/>
        <w:rPr>
          <w:rFonts w:hint="default"/>
        </w:rPr>
      </w:pPr>
      <w:r>
        <w:rPr>
          <w:rFonts w:hint="default"/>
        </w:rPr>
        <w:t>按照规定填写作业、交接班等记录</w:t>
      </w:r>
      <w:r>
        <w:rPr>
          <w:rFonts w:hint="default"/>
          <w:lang w:eastAsia="zh-CN"/>
        </w:rPr>
        <w:t>；</w:t>
      </w:r>
    </w:p>
    <w:p w14:paraId="29AABF06">
      <w:pPr>
        <w:numPr>
          <w:ilvl w:val="0"/>
          <w:numId w:val="10"/>
        </w:numPr>
        <w:bidi w:val="0"/>
        <w:rPr>
          <w:rFonts w:hint="default"/>
        </w:rPr>
      </w:pPr>
      <w:r>
        <w:rPr>
          <w:rFonts w:hint="default"/>
        </w:rPr>
        <w:t>参加安全教育和技能培训</w:t>
      </w:r>
      <w:r>
        <w:rPr>
          <w:rFonts w:hint="default"/>
          <w:lang w:eastAsia="zh-CN"/>
        </w:rPr>
        <w:t>；</w:t>
      </w:r>
    </w:p>
    <w:p w14:paraId="327EB24E">
      <w:pPr>
        <w:numPr>
          <w:ilvl w:val="0"/>
          <w:numId w:val="10"/>
        </w:numPr>
        <w:bidi w:val="0"/>
        <w:rPr>
          <w:rFonts w:hint="default"/>
        </w:rPr>
      </w:pPr>
      <w:r>
        <w:rPr>
          <w:rFonts w:hint="default"/>
        </w:rPr>
        <w:t>进行经常性维护保养，对发现的异常情况及时处理，并且做出记录</w:t>
      </w:r>
      <w:r>
        <w:rPr>
          <w:rFonts w:hint="default"/>
          <w:lang w:eastAsia="zh-CN"/>
        </w:rPr>
        <w:t>；</w:t>
      </w:r>
    </w:p>
    <w:p w14:paraId="10B6C346">
      <w:pPr>
        <w:numPr>
          <w:ilvl w:val="0"/>
          <w:numId w:val="10"/>
        </w:numPr>
        <w:bidi w:val="0"/>
        <w:rPr>
          <w:rFonts w:hint="default"/>
        </w:rPr>
      </w:pPr>
      <w:r>
        <w:rPr>
          <w:rFonts w:hint="default"/>
        </w:rPr>
        <w:t>作业过程中发现事故隐患或者其他不安全因素，应当立即采取紧急措施，并且按照规定的程序向特种设备安全管理人员和单位有关负责人报告</w:t>
      </w:r>
      <w:r>
        <w:rPr>
          <w:rFonts w:hint="default"/>
          <w:lang w:eastAsia="zh-CN"/>
        </w:rPr>
        <w:t>；</w:t>
      </w:r>
    </w:p>
    <w:p w14:paraId="20AD7D6D">
      <w:pPr>
        <w:numPr>
          <w:ilvl w:val="0"/>
          <w:numId w:val="10"/>
        </w:numPr>
        <w:bidi w:val="0"/>
        <w:rPr>
          <w:rFonts w:hint="default"/>
        </w:rPr>
      </w:pPr>
      <w:r>
        <w:rPr>
          <w:rFonts w:hint="default"/>
        </w:rPr>
        <w:t>参加应急演练，掌握相应的应急处置技能</w:t>
      </w:r>
      <w:r>
        <w:rPr>
          <w:rFonts w:hint="default"/>
          <w:lang w:eastAsia="zh-CN"/>
        </w:rPr>
        <w:t>；</w:t>
      </w:r>
    </w:p>
    <w:p w14:paraId="52388DA9">
      <w:pPr>
        <w:numPr>
          <w:ilvl w:val="0"/>
          <w:numId w:val="10"/>
        </w:numPr>
        <w:bidi w:val="0"/>
        <w:rPr>
          <w:rFonts w:hint="default"/>
        </w:rPr>
      </w:pPr>
      <w:r>
        <w:rPr>
          <w:rFonts w:hint="default"/>
        </w:rPr>
        <w:t>锅炉作业人员应当严格执行锅炉节能管理制度，参加锅炉节能教育和技术培训。</w:t>
      </w:r>
    </w:p>
    <w:p w14:paraId="6A18B871">
      <w:pPr>
        <w:pStyle w:val="2"/>
        <w:numPr>
          <w:ilvl w:val="0"/>
          <w:numId w:val="0"/>
        </w:numPr>
        <w:bidi w:val="0"/>
        <w:ind w:leftChars="200"/>
        <w:rPr>
          <w:rFonts w:hint="default" w:ascii="Times New Roman" w:hAnsi="Times New Roman" w:cs="Times New Roman"/>
          <w:b w:val="0"/>
          <w:bCs w:val="0"/>
          <w:lang w:val="en-US" w:eastAsia="zh-CN"/>
        </w:rPr>
      </w:pPr>
      <w:bookmarkStart w:id="14" w:name="_Toc1790"/>
      <w:r>
        <w:rPr>
          <w:rFonts w:hint="default" w:ascii="Times New Roman" w:hAnsi="Times New Roman" w:cs="Times New Roman"/>
          <w:b w:val="0"/>
          <w:bCs w:val="0"/>
          <w:lang w:val="en-US" w:eastAsia="zh-CN"/>
        </w:rPr>
        <w:t>（六）设置安全管理机构和安全管理人员参考模板</w:t>
      </w:r>
      <w:bookmarkEnd w:id="14"/>
    </w:p>
    <w:p w14:paraId="1379E320">
      <w:pPr>
        <w:bidi w:val="0"/>
        <w:rPr>
          <w:rFonts w:hint="default"/>
          <w:lang w:val="en-US" w:eastAsia="zh-CN"/>
        </w:rPr>
      </w:pPr>
      <w:r>
        <w:rPr>
          <w:rFonts w:hint="default"/>
          <w:lang w:val="en-US" w:eastAsia="zh-CN"/>
        </w:rPr>
        <w:t>依规应当设置安全管理机构单位的参考模板见附件1-1。</w:t>
      </w:r>
    </w:p>
    <w:p w14:paraId="2211A4DC">
      <w:pPr>
        <w:bidi w:val="0"/>
        <w:rPr>
          <w:rFonts w:hint="default" w:ascii="Times New Roman" w:hAnsi="Times New Roman" w:cs="Times New Roman"/>
          <w:b w:val="0"/>
          <w:bCs w:val="0"/>
          <w:lang w:val="en-US" w:eastAsia="zh-CN"/>
        </w:rPr>
      </w:pPr>
      <w:r>
        <w:rPr>
          <w:rFonts w:hint="default"/>
          <w:lang w:val="en-US" w:eastAsia="zh-CN"/>
        </w:rPr>
        <w:t>依规无需设置安全管理机构单位的参考模板见附件1-2。</w:t>
      </w:r>
      <w:r>
        <w:rPr>
          <w:rFonts w:hint="default" w:ascii="Times New Roman" w:hAnsi="Times New Roman" w:cs="Times New Roman"/>
          <w:b w:val="0"/>
          <w:bCs w:val="0"/>
          <w:lang w:val="en-US" w:eastAsia="zh-CN"/>
        </w:rPr>
        <w:br w:type="page"/>
      </w:r>
    </w:p>
    <w:p w14:paraId="1E58B994">
      <w:pPr>
        <w:pStyle w:val="3"/>
        <w:bidi w:val="0"/>
        <w:rPr>
          <w:rFonts w:hint="default" w:ascii="黑体" w:hAnsi="黑体" w:eastAsia="黑体" w:cs="黑体"/>
          <w:b w:val="0"/>
          <w:bCs w:val="0"/>
          <w:sz w:val="28"/>
          <w:szCs w:val="28"/>
          <w:lang w:val="en-US" w:eastAsia="zh-CN"/>
        </w:rPr>
      </w:pPr>
      <w:bookmarkStart w:id="15" w:name="_Toc10975"/>
      <w:r>
        <w:rPr>
          <w:rFonts w:hint="default" w:ascii="黑体" w:hAnsi="黑体" w:eastAsia="黑体" w:cs="黑体"/>
          <w:b w:val="0"/>
          <w:bCs w:val="0"/>
          <w:sz w:val="28"/>
          <w:szCs w:val="28"/>
          <w:lang w:val="en-US" w:eastAsia="zh-CN"/>
        </w:rPr>
        <w:t>三、特种设备安全</w:t>
      </w:r>
      <w:r>
        <w:rPr>
          <w:rFonts w:hint="eastAsia" w:ascii="黑体" w:hAnsi="黑体" w:eastAsia="黑体" w:cs="黑体"/>
          <w:b w:val="0"/>
          <w:bCs w:val="0"/>
          <w:sz w:val="28"/>
          <w:szCs w:val="28"/>
          <w:lang w:val="en-US" w:eastAsia="zh-CN"/>
        </w:rPr>
        <w:t>与节能</w:t>
      </w:r>
      <w:r>
        <w:rPr>
          <w:rFonts w:hint="default" w:ascii="黑体" w:hAnsi="黑体" w:eastAsia="黑体" w:cs="黑体"/>
          <w:b w:val="0"/>
          <w:bCs w:val="0"/>
          <w:sz w:val="28"/>
          <w:szCs w:val="28"/>
          <w:lang w:val="en-US" w:eastAsia="zh-CN"/>
        </w:rPr>
        <w:t>管理制度和安全操作规程</w:t>
      </w:r>
      <w:bookmarkEnd w:id="15"/>
    </w:p>
    <w:p w14:paraId="06E80FB3">
      <w:pPr>
        <w:pStyle w:val="2"/>
        <w:bidi w:val="0"/>
        <w:rPr>
          <w:rFonts w:hint="default" w:ascii="Times New Roman" w:hAnsi="Times New Roman" w:cs="Times New Roman"/>
          <w:b w:val="0"/>
          <w:bCs w:val="0"/>
          <w:lang w:val="en-US" w:eastAsia="zh-CN"/>
        </w:rPr>
      </w:pPr>
      <w:bookmarkStart w:id="16" w:name="_Toc5971"/>
      <w:r>
        <w:rPr>
          <w:rFonts w:hint="default" w:ascii="Times New Roman" w:hAnsi="Times New Roman" w:cs="Times New Roman"/>
          <w:b w:val="0"/>
          <w:bCs w:val="0"/>
          <w:lang w:val="en-US" w:eastAsia="zh-CN"/>
        </w:rPr>
        <w:t>（一）特种设备安全</w:t>
      </w:r>
      <w:r>
        <w:rPr>
          <w:rFonts w:hint="eastAsia" w:cs="Times New Roman"/>
          <w:b w:val="0"/>
          <w:bCs w:val="0"/>
          <w:lang w:val="en-US" w:eastAsia="zh-CN"/>
        </w:rPr>
        <w:t>与节能</w:t>
      </w:r>
      <w:r>
        <w:rPr>
          <w:rFonts w:hint="default" w:ascii="Times New Roman" w:hAnsi="Times New Roman" w:cs="Times New Roman"/>
          <w:b w:val="0"/>
          <w:bCs w:val="0"/>
          <w:lang w:val="en-US" w:eastAsia="zh-CN"/>
        </w:rPr>
        <w:t>管理制度及参考模板</w:t>
      </w:r>
      <w:bookmarkEnd w:id="16"/>
    </w:p>
    <w:p w14:paraId="53E63A1F">
      <w:pPr>
        <w:bidi w:val="0"/>
        <w:rPr>
          <w:rFonts w:hint="default"/>
          <w:lang w:val="en-US" w:eastAsia="zh-CN"/>
        </w:rPr>
      </w:pPr>
      <w:r>
        <w:rPr>
          <w:rFonts w:hint="default"/>
          <w:lang w:val="en-US" w:eastAsia="zh-CN"/>
        </w:rPr>
        <w:t>《特种设备使用管理规则》（TSG08-2026）3.1规定，使用单位应当至少建立以下安全</w:t>
      </w:r>
      <w:r>
        <w:rPr>
          <w:rFonts w:hint="eastAsia"/>
          <w:lang w:val="en-US" w:eastAsia="zh-CN"/>
        </w:rPr>
        <w:t>与节能</w:t>
      </w:r>
      <w:r>
        <w:rPr>
          <w:rFonts w:hint="default"/>
          <w:lang w:val="en-US" w:eastAsia="zh-CN"/>
        </w:rPr>
        <w:t>管理制度：</w:t>
      </w:r>
    </w:p>
    <w:p w14:paraId="3B14D5A8">
      <w:pPr>
        <w:bidi w:val="0"/>
        <w:rPr>
          <w:rFonts w:hint="default"/>
        </w:rPr>
      </w:pPr>
      <w:r>
        <w:rPr>
          <w:rFonts w:hint="default"/>
          <w:lang w:eastAsia="zh-CN"/>
        </w:rPr>
        <w:t>（</w:t>
      </w:r>
      <w:r>
        <w:rPr>
          <w:rFonts w:hint="default"/>
          <w:lang w:val="en-US" w:eastAsia="zh-CN"/>
        </w:rPr>
        <w:t>1</w:t>
      </w:r>
      <w:r>
        <w:rPr>
          <w:rFonts w:hint="default"/>
          <w:lang w:eastAsia="zh-CN"/>
        </w:rPr>
        <w:t>）</w:t>
      </w:r>
      <w:r>
        <w:rPr>
          <w:rFonts w:hint="default"/>
        </w:rPr>
        <w:t>特种设备经常性维护保养、定期自行检查和有关记录制度；</w:t>
      </w:r>
    </w:p>
    <w:p w14:paraId="64E5DC6D">
      <w:pPr>
        <w:bidi w:val="0"/>
        <w:rPr>
          <w:rFonts w:hint="default"/>
        </w:rPr>
      </w:pPr>
      <w:r>
        <w:rPr>
          <w:rFonts w:hint="default"/>
          <w:lang w:eastAsia="zh-CN"/>
        </w:rPr>
        <w:t>（</w:t>
      </w:r>
      <w:r>
        <w:rPr>
          <w:rFonts w:hint="default"/>
          <w:lang w:val="en-US" w:eastAsia="zh-CN"/>
        </w:rPr>
        <w:t>2</w:t>
      </w:r>
      <w:r>
        <w:rPr>
          <w:rFonts w:hint="default"/>
          <w:lang w:eastAsia="zh-CN"/>
        </w:rPr>
        <w:t>）</w:t>
      </w:r>
      <w:r>
        <w:rPr>
          <w:rFonts w:hint="default"/>
        </w:rPr>
        <w:t>特种设备使用登记、定期检验、锅炉能效测试申请实施制度；</w:t>
      </w:r>
    </w:p>
    <w:p w14:paraId="1F8E5746">
      <w:pPr>
        <w:bidi w:val="0"/>
        <w:rPr>
          <w:rFonts w:hint="default"/>
        </w:rPr>
      </w:pPr>
      <w:r>
        <w:rPr>
          <w:rFonts w:hint="default"/>
          <w:lang w:eastAsia="zh-CN"/>
        </w:rPr>
        <w:t>（</w:t>
      </w:r>
      <w:r>
        <w:rPr>
          <w:rFonts w:hint="default"/>
          <w:lang w:val="en-US" w:eastAsia="zh-CN"/>
        </w:rPr>
        <w:t>3</w:t>
      </w:r>
      <w:r>
        <w:rPr>
          <w:rFonts w:hint="default"/>
          <w:lang w:eastAsia="zh-CN"/>
        </w:rPr>
        <w:t>）</w:t>
      </w:r>
      <w:r>
        <w:rPr>
          <w:rFonts w:hint="default"/>
        </w:rPr>
        <w:t>特种设备</w:t>
      </w:r>
      <w:r>
        <w:rPr>
          <w:rFonts w:hint="default"/>
          <w:lang w:eastAsia="zh-CN"/>
        </w:rPr>
        <w:t>安全风险管控、隐患排查、隐患治理以及“日管控、周排查、月调度”要求的相关</w:t>
      </w:r>
      <w:r>
        <w:rPr>
          <w:rFonts w:hint="default"/>
        </w:rPr>
        <w:t>制度；</w:t>
      </w:r>
    </w:p>
    <w:p w14:paraId="0C8CDA0A">
      <w:pPr>
        <w:bidi w:val="0"/>
        <w:rPr>
          <w:rFonts w:hint="default"/>
        </w:rPr>
      </w:pPr>
      <w:r>
        <w:rPr>
          <w:rFonts w:hint="default"/>
          <w:lang w:eastAsia="zh-CN"/>
        </w:rPr>
        <w:t>（</w:t>
      </w:r>
      <w:r>
        <w:rPr>
          <w:rFonts w:hint="default"/>
          <w:lang w:val="en-US" w:eastAsia="zh-CN"/>
        </w:rPr>
        <w:t>4</w:t>
      </w:r>
      <w:r>
        <w:rPr>
          <w:rFonts w:hint="default"/>
          <w:lang w:eastAsia="zh-CN"/>
        </w:rPr>
        <w:t>）</w:t>
      </w:r>
      <w:r>
        <w:rPr>
          <w:rFonts w:hint="default"/>
        </w:rPr>
        <w:t>特种设备安全管理人员与作业人员管理和培训制度；</w:t>
      </w:r>
    </w:p>
    <w:p w14:paraId="65C9EB69">
      <w:pPr>
        <w:bidi w:val="0"/>
        <w:rPr>
          <w:rFonts w:hint="default"/>
        </w:rPr>
      </w:pPr>
      <w:r>
        <w:rPr>
          <w:rFonts w:hint="default"/>
          <w:lang w:eastAsia="zh-CN"/>
        </w:rPr>
        <w:t>（</w:t>
      </w:r>
      <w:r>
        <w:rPr>
          <w:rFonts w:hint="default"/>
          <w:lang w:val="en-US" w:eastAsia="zh-CN"/>
        </w:rPr>
        <w:t>5</w:t>
      </w:r>
      <w:r>
        <w:rPr>
          <w:rFonts w:hint="default"/>
          <w:lang w:eastAsia="zh-CN"/>
        </w:rPr>
        <w:t>）</w:t>
      </w:r>
      <w:r>
        <w:rPr>
          <w:rFonts w:hint="default"/>
        </w:rPr>
        <w:t>特种设备采购、安装、改造、修理、报废等管理制度；</w:t>
      </w:r>
    </w:p>
    <w:p w14:paraId="545D9BE9">
      <w:pPr>
        <w:bidi w:val="0"/>
        <w:rPr>
          <w:rFonts w:hint="default"/>
        </w:rPr>
      </w:pPr>
      <w:r>
        <w:rPr>
          <w:rFonts w:hint="default"/>
          <w:lang w:eastAsia="zh-CN"/>
        </w:rPr>
        <w:t>（</w:t>
      </w:r>
      <w:r>
        <w:rPr>
          <w:rFonts w:hint="default"/>
          <w:lang w:val="en-US" w:eastAsia="zh-CN"/>
        </w:rPr>
        <w:t>6</w:t>
      </w:r>
      <w:r>
        <w:rPr>
          <w:rFonts w:hint="default"/>
          <w:lang w:eastAsia="zh-CN"/>
        </w:rPr>
        <w:t>）</w:t>
      </w:r>
      <w:r>
        <w:rPr>
          <w:rFonts w:hint="default"/>
        </w:rPr>
        <w:t>特种设备应急救援管理制度；</w:t>
      </w:r>
    </w:p>
    <w:p w14:paraId="1FC6A893">
      <w:pPr>
        <w:bidi w:val="0"/>
        <w:rPr>
          <w:rFonts w:hint="default"/>
        </w:rPr>
      </w:pPr>
      <w:r>
        <w:rPr>
          <w:rFonts w:hint="default"/>
          <w:lang w:eastAsia="zh-CN"/>
        </w:rPr>
        <w:t>（</w:t>
      </w:r>
      <w:r>
        <w:rPr>
          <w:rFonts w:hint="default"/>
          <w:lang w:val="en-US" w:eastAsia="zh-CN"/>
        </w:rPr>
        <w:t>7</w:t>
      </w:r>
      <w:r>
        <w:rPr>
          <w:rFonts w:hint="default"/>
          <w:lang w:eastAsia="zh-CN"/>
        </w:rPr>
        <w:t>）</w:t>
      </w:r>
      <w:r>
        <w:rPr>
          <w:rFonts w:hint="default"/>
        </w:rPr>
        <w:t>特种设备事故报告和处理制度；</w:t>
      </w:r>
    </w:p>
    <w:p w14:paraId="51EB7551">
      <w:pPr>
        <w:bidi w:val="0"/>
        <w:rPr>
          <w:rFonts w:hint="default"/>
        </w:rPr>
      </w:pPr>
      <w:r>
        <w:rPr>
          <w:rFonts w:hint="default"/>
          <w:lang w:eastAsia="zh-CN"/>
        </w:rPr>
        <w:t>（</w:t>
      </w:r>
      <w:r>
        <w:rPr>
          <w:rFonts w:hint="default"/>
          <w:lang w:val="en-US" w:eastAsia="zh-CN"/>
        </w:rPr>
        <w:t>8</w:t>
      </w:r>
      <w:r>
        <w:rPr>
          <w:rFonts w:hint="default"/>
          <w:lang w:eastAsia="zh-CN"/>
        </w:rPr>
        <w:t>）</w:t>
      </w:r>
      <w:r>
        <w:rPr>
          <w:rFonts w:hint="default"/>
        </w:rPr>
        <w:t>高耗能特种设备节能管理制度。</w:t>
      </w:r>
    </w:p>
    <w:p w14:paraId="3C51526F">
      <w:pPr>
        <w:bidi w:val="0"/>
        <w:rPr>
          <w:rFonts w:hint="eastAsia" w:eastAsia="宋体"/>
          <w:color w:val="FF0000"/>
          <w:lang w:eastAsia="zh-CN"/>
        </w:rPr>
      </w:pPr>
      <w:r>
        <w:rPr>
          <w:rFonts w:hint="eastAsia"/>
          <w:color w:val="FF0000"/>
          <w:lang w:eastAsia="zh-CN"/>
        </w:rPr>
        <w:t>注意：没有锅炉、热交换器等高耗能特种设备的使用单位无需建立</w:t>
      </w:r>
      <w:r>
        <w:rPr>
          <w:rFonts w:hint="default"/>
          <w:color w:val="FF0000"/>
        </w:rPr>
        <w:t>高耗能特种设备节能管理制度</w:t>
      </w:r>
      <w:r>
        <w:rPr>
          <w:rFonts w:hint="eastAsia"/>
          <w:color w:val="FF0000"/>
          <w:lang w:eastAsia="zh-CN"/>
        </w:rPr>
        <w:t>。</w:t>
      </w:r>
    </w:p>
    <w:p w14:paraId="01525A97">
      <w:pPr>
        <w:bidi w:val="0"/>
        <w:rPr>
          <w:rFonts w:hint="default"/>
          <w:lang w:val="en-US" w:eastAsia="zh-CN"/>
        </w:rPr>
      </w:pPr>
      <w:r>
        <w:rPr>
          <w:rFonts w:hint="default"/>
          <w:lang w:eastAsia="zh-CN"/>
        </w:rPr>
        <w:t>特种设备安全管理制度参考模板见附件</w:t>
      </w:r>
      <w:r>
        <w:rPr>
          <w:rFonts w:hint="default"/>
          <w:lang w:val="en-US" w:eastAsia="zh-CN"/>
        </w:rPr>
        <w:t>2，</w:t>
      </w:r>
      <w:r>
        <w:rPr>
          <w:rFonts w:hint="default"/>
          <w:color w:val="FF0000"/>
          <w:lang w:val="en-US" w:eastAsia="zh-CN"/>
        </w:rPr>
        <w:t>各使用单位不得照抄照搬模板，应根据本企业实际制定</w:t>
      </w:r>
      <w:r>
        <w:rPr>
          <w:rFonts w:hint="default"/>
          <w:lang w:val="en-US" w:eastAsia="zh-CN"/>
        </w:rPr>
        <w:t>。</w:t>
      </w:r>
    </w:p>
    <w:p w14:paraId="178827A0">
      <w:pPr>
        <w:pStyle w:val="2"/>
        <w:bidi w:val="0"/>
        <w:rPr>
          <w:rFonts w:hint="default" w:ascii="Times New Roman" w:hAnsi="Times New Roman" w:cs="Times New Roman"/>
          <w:b w:val="0"/>
          <w:bCs w:val="0"/>
          <w:lang w:val="en-US" w:eastAsia="zh-CN"/>
        </w:rPr>
      </w:pPr>
      <w:bookmarkStart w:id="17" w:name="_Toc4640"/>
      <w:r>
        <w:rPr>
          <w:rFonts w:hint="default" w:ascii="Times New Roman" w:hAnsi="Times New Roman" w:cs="Times New Roman"/>
          <w:b w:val="0"/>
          <w:bCs w:val="0"/>
          <w:lang w:val="en-US" w:eastAsia="zh-CN"/>
        </w:rPr>
        <w:t>（二）特种设备安全操作规程</w:t>
      </w:r>
      <w:bookmarkEnd w:id="17"/>
    </w:p>
    <w:p w14:paraId="4CAF684F">
      <w:pPr>
        <w:bidi w:val="0"/>
        <w:rPr>
          <w:rFonts w:hint="default"/>
          <w:lang w:val="en-US" w:eastAsia="zh-CN"/>
        </w:rPr>
      </w:pPr>
      <w:r>
        <w:rPr>
          <w:rFonts w:hint="default"/>
          <w:lang w:val="en-US" w:eastAsia="zh-CN"/>
        </w:rPr>
        <w:t>《特种设备使用管理规则》（TSG08-2026）3.2规定，使用单位应当根据所使用设备运行特点等，制定操作规程。操作规程一般包括设备运行参数、操作程序和方法、维护保养要求、安全注意事项、巡回检查和异常情况处置规定，以及相应记录等。</w:t>
      </w:r>
    </w:p>
    <w:p w14:paraId="6778E8E7">
      <w:pPr>
        <w:bidi w:val="0"/>
        <w:rPr>
          <w:rFonts w:hint="default"/>
          <w:lang w:eastAsia="zh-CN"/>
        </w:rPr>
      </w:pPr>
      <w:r>
        <w:rPr>
          <w:rFonts w:hint="default"/>
          <w:lang w:eastAsia="zh-CN"/>
        </w:rPr>
        <w:t>使用单位应根据特种设备使用说明书，在设备制造厂家的指导下，逐台或逐类制定安全操作规程。</w:t>
      </w:r>
    </w:p>
    <w:p w14:paraId="33089589">
      <w:pPr>
        <w:pStyle w:val="2"/>
        <w:bidi w:val="0"/>
        <w:rPr>
          <w:rFonts w:hint="default" w:ascii="Times New Roman" w:hAnsi="Times New Roman" w:cs="Times New Roman"/>
          <w:b w:val="0"/>
          <w:bCs w:val="0"/>
          <w:lang w:eastAsia="zh-CN"/>
        </w:rPr>
      </w:pPr>
      <w:bookmarkStart w:id="18" w:name="_Toc18411"/>
      <w:r>
        <w:rPr>
          <w:rFonts w:hint="default" w:ascii="Times New Roman" w:hAnsi="Times New Roman" w:cs="Times New Roman"/>
          <w:b w:val="0"/>
          <w:bCs w:val="0"/>
          <w:lang w:eastAsia="zh-CN"/>
        </w:rPr>
        <w:t>（三）规章制度标准化建设</w:t>
      </w:r>
      <w:bookmarkEnd w:id="18"/>
    </w:p>
    <w:p w14:paraId="33AC2517">
      <w:pPr>
        <w:bidi w:val="0"/>
        <w:rPr>
          <w:rFonts w:hint="default" w:ascii="Times New Roman" w:hAnsi="Times New Roman" w:cs="Times New Roman"/>
          <w:b w:val="0"/>
          <w:bCs w:val="0"/>
          <w:lang w:eastAsia="zh-CN"/>
        </w:rPr>
      </w:pPr>
      <w:r>
        <w:rPr>
          <w:rFonts w:hint="default" w:ascii="Times New Roman" w:hAnsi="Times New Roman" w:cs="Times New Roman"/>
          <w:b w:val="0"/>
          <w:bCs w:val="0"/>
          <w:lang w:eastAsia="zh-CN"/>
        </w:rPr>
        <w:t>为加强安全生产标准化建设，特种设备安全</w:t>
      </w:r>
      <w:r>
        <w:rPr>
          <w:rFonts w:hint="eastAsia" w:cs="Times New Roman"/>
          <w:b w:val="0"/>
          <w:bCs w:val="0"/>
          <w:lang w:eastAsia="zh-CN"/>
        </w:rPr>
        <w:t>与节能</w:t>
      </w:r>
      <w:r>
        <w:rPr>
          <w:rFonts w:hint="default" w:ascii="Times New Roman" w:hAnsi="Times New Roman" w:cs="Times New Roman"/>
          <w:b w:val="0"/>
          <w:bCs w:val="0"/>
          <w:lang w:eastAsia="zh-CN"/>
        </w:rPr>
        <w:t>管理制度、安全操作规程、应急预案、特种设备风险管控清单（参考模板见附件</w:t>
      </w:r>
      <w:r>
        <w:rPr>
          <w:rFonts w:hint="default" w:ascii="Times New Roman" w:hAnsi="Times New Roman" w:cs="Times New Roman"/>
          <w:b w:val="0"/>
          <w:bCs w:val="0"/>
          <w:lang w:val="en-US" w:eastAsia="zh-CN"/>
        </w:rPr>
        <w:t>3</w:t>
      </w:r>
      <w:r>
        <w:rPr>
          <w:rFonts w:hint="default" w:ascii="Times New Roman" w:hAnsi="Times New Roman" w:cs="Times New Roman"/>
          <w:b w:val="0"/>
          <w:bCs w:val="0"/>
          <w:lang w:eastAsia="zh-CN"/>
        </w:rPr>
        <w:t>）等相关规章制度文件</w:t>
      </w:r>
      <w:r>
        <w:rPr>
          <w:rFonts w:hint="default" w:ascii="Times New Roman" w:hAnsi="Times New Roman" w:eastAsia="方正楷体简体" w:cs="Times New Roman"/>
          <w:b w:val="0"/>
          <w:bCs w:val="0"/>
          <w:color w:val="FF0000"/>
          <w:lang w:eastAsia="zh-CN"/>
        </w:rPr>
        <w:t>应汇编成册、统一存档</w:t>
      </w:r>
      <w:r>
        <w:rPr>
          <w:rFonts w:hint="default" w:ascii="Times New Roman" w:hAnsi="Times New Roman" w:cs="Times New Roman"/>
          <w:b w:val="0"/>
          <w:bCs w:val="0"/>
          <w:lang w:eastAsia="zh-CN"/>
        </w:rPr>
        <w:t>。</w:t>
      </w:r>
    </w:p>
    <w:p w14:paraId="611D02C8">
      <w:pPr>
        <w:bidi w:val="0"/>
        <w:rPr>
          <w:rFonts w:hint="default"/>
          <w:lang w:val="en-US" w:eastAsia="zh-CN"/>
        </w:rPr>
      </w:pPr>
      <w:r>
        <w:rPr>
          <w:rFonts w:hint="default"/>
          <w:lang w:eastAsia="zh-CN"/>
        </w:rPr>
        <w:t>特种设备安全</w:t>
      </w:r>
      <w:r>
        <w:rPr>
          <w:rFonts w:hint="eastAsia"/>
          <w:lang w:eastAsia="zh-CN"/>
        </w:rPr>
        <w:t>与节能</w:t>
      </w:r>
      <w:r>
        <w:rPr>
          <w:rFonts w:hint="default"/>
          <w:lang w:eastAsia="zh-CN"/>
        </w:rPr>
        <w:t>管理制度、安全操作规程应固定在作业场所的显著位置。</w:t>
      </w:r>
    </w:p>
    <w:p w14:paraId="1A1C12B6">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br w:type="page"/>
      </w:r>
    </w:p>
    <w:p w14:paraId="6C2C9A72">
      <w:pPr>
        <w:pStyle w:val="3"/>
        <w:bidi w:val="0"/>
        <w:rPr>
          <w:rFonts w:hint="default" w:ascii="黑体" w:hAnsi="黑体" w:eastAsia="黑体" w:cs="黑体"/>
          <w:b w:val="0"/>
          <w:bCs w:val="0"/>
          <w:sz w:val="28"/>
          <w:szCs w:val="28"/>
          <w:lang w:val="en-US" w:eastAsia="zh-CN"/>
        </w:rPr>
      </w:pPr>
      <w:bookmarkStart w:id="19" w:name="_Toc16355"/>
      <w:r>
        <w:rPr>
          <w:rFonts w:hint="eastAsia" w:ascii="黑体" w:hAnsi="黑体" w:cs="黑体"/>
          <w:b w:val="0"/>
          <w:bCs w:val="0"/>
          <w:sz w:val="28"/>
          <w:szCs w:val="28"/>
          <w:lang w:val="en-US" w:eastAsia="zh-CN"/>
        </w:rPr>
        <w:t>四、</w:t>
      </w:r>
      <w:r>
        <w:rPr>
          <w:rFonts w:hint="default" w:ascii="黑体" w:hAnsi="黑体" w:eastAsia="黑体" w:cs="黑体"/>
          <w:b w:val="0"/>
          <w:bCs w:val="0"/>
          <w:sz w:val="28"/>
          <w:szCs w:val="28"/>
          <w:lang w:val="en-US" w:eastAsia="zh-CN"/>
        </w:rPr>
        <w:t>高能耗特种设备节能要求</w:t>
      </w:r>
      <w:bookmarkEnd w:id="19"/>
    </w:p>
    <w:p w14:paraId="4419D66D">
      <w:pPr>
        <w:bidi w:val="0"/>
        <w:rPr>
          <w:rFonts w:hint="default"/>
          <w:lang w:val="en-US" w:eastAsia="zh-CN"/>
        </w:rPr>
      </w:pPr>
      <w:r>
        <w:rPr>
          <w:rFonts w:hint="default"/>
          <w:lang w:val="en-US" w:eastAsia="zh-CN"/>
        </w:rPr>
        <w:t>高耗能特种设备，是指在使用过程中能源消耗量或者转换量大，并具有较大节能空间的锅炉、换热压力容器等特种设备。</w:t>
      </w:r>
    </w:p>
    <w:p w14:paraId="3B32A2A0">
      <w:pPr>
        <w:bidi w:val="0"/>
        <w:rPr>
          <w:rFonts w:hint="default"/>
          <w:color w:val="FF0000"/>
          <w:lang w:val="en-US" w:eastAsia="zh-CN"/>
        </w:rPr>
      </w:pPr>
      <w:r>
        <w:rPr>
          <w:rFonts w:hint="default"/>
          <w:color w:val="FF0000"/>
          <w:lang w:val="en-US" w:eastAsia="zh-CN"/>
        </w:rPr>
        <w:t>高耗能特种设备使用单位应按照安全技术规范的要求进行能效测试，锅炉使用单位还要进行水（介）质检验、水质化验、锅炉清洗工作。</w:t>
      </w:r>
    </w:p>
    <w:p w14:paraId="72589656">
      <w:pPr>
        <w:pStyle w:val="2"/>
        <w:numPr>
          <w:ilvl w:val="0"/>
          <w:numId w:val="11"/>
        </w:numPr>
        <w:bidi w:val="0"/>
        <w:ind w:left="0" w:leftChars="0" w:firstLine="480" w:firstLineChars="200"/>
        <w:rPr>
          <w:rFonts w:hint="default" w:ascii="Times New Roman" w:hAnsi="Times New Roman" w:cs="Times New Roman"/>
          <w:b w:val="0"/>
          <w:bCs w:val="0"/>
          <w:lang w:val="en-US" w:eastAsia="zh-CN"/>
        </w:rPr>
      </w:pPr>
      <w:bookmarkStart w:id="20" w:name="_Toc10271"/>
      <w:r>
        <w:rPr>
          <w:rFonts w:hint="default" w:ascii="Times New Roman" w:hAnsi="Times New Roman" w:cs="Times New Roman"/>
          <w:b w:val="0"/>
          <w:bCs w:val="0"/>
          <w:lang w:val="en-US" w:eastAsia="zh-CN"/>
        </w:rPr>
        <w:t>能效测试</w:t>
      </w:r>
      <w:bookmarkEnd w:id="20"/>
    </w:p>
    <w:p w14:paraId="65CB5CCA">
      <w:pPr>
        <w:bidi w:val="0"/>
        <w:rPr>
          <w:rFonts w:hint="default"/>
          <w:lang w:val="en-US" w:eastAsia="zh-CN"/>
        </w:rPr>
      </w:pPr>
      <w:r>
        <w:rPr>
          <w:rFonts w:hint="default"/>
          <w:lang w:val="en-US" w:eastAsia="zh-CN"/>
        </w:rPr>
        <w:t>锅炉使用单位应当自行（或者委托有能力的测试机构）进行定期能效测试，一般每两年进行一次，测试工作可结合锅炉外部检验进行。通过锅炉产品能效测试的新建锅炉，在使用登记的六年内可以不进行定期能效测试。电加热锅炉、余热锅炉和垃圾焚烧锅炉可以不进行定期能效测试。</w:t>
      </w:r>
    </w:p>
    <w:p w14:paraId="73438B7E">
      <w:pPr>
        <w:bidi w:val="0"/>
        <w:rPr>
          <w:rFonts w:hint="default"/>
          <w:lang w:val="en-US" w:eastAsia="zh-CN"/>
        </w:rPr>
      </w:pPr>
      <w:r>
        <w:rPr>
          <w:rFonts w:hint="default"/>
          <w:lang w:val="en-US" w:eastAsia="zh-CN"/>
        </w:rPr>
        <w:t>热交换器的能效测试按相关安全技术规范要求执行。</w:t>
      </w:r>
    </w:p>
    <w:p w14:paraId="79276B42">
      <w:pPr>
        <w:pStyle w:val="2"/>
        <w:numPr>
          <w:ilvl w:val="0"/>
          <w:numId w:val="11"/>
        </w:numPr>
        <w:bidi w:val="0"/>
        <w:ind w:left="0" w:leftChars="0" w:firstLine="480" w:firstLineChars="200"/>
        <w:rPr>
          <w:rFonts w:hint="default" w:ascii="Times New Roman" w:hAnsi="Times New Roman" w:cs="Times New Roman"/>
          <w:b w:val="0"/>
          <w:bCs w:val="0"/>
          <w:lang w:val="en-US" w:eastAsia="zh-CN"/>
        </w:rPr>
      </w:pPr>
      <w:bookmarkStart w:id="21" w:name="_Toc27248"/>
      <w:r>
        <w:rPr>
          <w:rFonts w:hint="default" w:ascii="Times New Roman" w:hAnsi="Times New Roman" w:cs="Times New Roman"/>
          <w:b w:val="0"/>
          <w:bCs w:val="0"/>
          <w:lang w:val="en-US" w:eastAsia="zh-CN"/>
        </w:rPr>
        <w:t>锅炉水（介）质定期检验</w:t>
      </w:r>
      <w:bookmarkEnd w:id="21"/>
    </w:p>
    <w:p w14:paraId="3CC87DD1">
      <w:pPr>
        <w:bidi w:val="0"/>
        <w:rPr>
          <w:rFonts w:hint="default"/>
          <w:lang w:val="en-US" w:eastAsia="zh-CN"/>
        </w:rPr>
      </w:pPr>
      <w:r>
        <w:rPr>
          <w:rFonts w:hint="default"/>
          <w:lang w:val="en-US" w:eastAsia="zh-CN"/>
        </w:rPr>
        <w:t>水（介）质处理定期检验结合锅炉外部检验进行。有机</w:t>
      </w:r>
      <w:r>
        <w:rPr>
          <w:rFonts w:hint="eastAsia"/>
          <w:lang w:val="en-US" w:eastAsia="zh-CN"/>
        </w:rPr>
        <w:t>热</w:t>
      </w:r>
      <w:r>
        <w:rPr>
          <w:rFonts w:hint="default"/>
          <w:lang w:val="en-US" w:eastAsia="zh-CN"/>
        </w:rPr>
        <w:t>载体注入系统并完成系统调试后应在3个月内进行首次检验，在用有机热载体应当每年至少取样检验1次。</w:t>
      </w:r>
    </w:p>
    <w:p w14:paraId="6DE6276F">
      <w:pPr>
        <w:pStyle w:val="2"/>
        <w:numPr>
          <w:ilvl w:val="0"/>
          <w:numId w:val="11"/>
        </w:numPr>
        <w:bidi w:val="0"/>
        <w:ind w:left="0" w:leftChars="0" w:firstLine="480" w:firstLineChars="200"/>
        <w:rPr>
          <w:rFonts w:hint="default" w:ascii="Times New Roman" w:hAnsi="Times New Roman" w:cs="Times New Roman"/>
          <w:b w:val="0"/>
          <w:bCs w:val="0"/>
          <w:lang w:val="en-US" w:eastAsia="zh-CN"/>
        </w:rPr>
      </w:pPr>
      <w:bookmarkStart w:id="22" w:name="_Toc12323"/>
      <w:r>
        <w:rPr>
          <w:rFonts w:hint="default" w:ascii="Times New Roman" w:hAnsi="Times New Roman" w:cs="Times New Roman"/>
          <w:b w:val="0"/>
          <w:bCs w:val="0"/>
          <w:lang w:val="en-US" w:eastAsia="zh-CN"/>
        </w:rPr>
        <w:t>锅炉水汽常规化验</w:t>
      </w:r>
      <w:bookmarkEnd w:id="22"/>
    </w:p>
    <w:p w14:paraId="19BF6E84">
      <w:pPr>
        <w:bidi w:val="0"/>
        <w:rPr>
          <w:rFonts w:hint="default"/>
          <w:lang w:val="en-US" w:eastAsia="zh-CN"/>
        </w:rPr>
      </w:pPr>
      <w:r>
        <w:rPr>
          <w:rFonts w:hint="default"/>
          <w:lang w:val="en-US" w:eastAsia="zh-CN"/>
        </w:rPr>
        <w:t>《锅炉安全技术规程》（TSG11-2020）8.9规定，使用单位应当做好水（介）质处理工作，保证水汽或者有机热载体的质量符合标准要求。采取必要的检测手段监测水汽质量，每班至少化验1次水汽质量，当水汽质量不符合标准要求时，应当及时查找原因并处理至合格。</w:t>
      </w:r>
    </w:p>
    <w:p w14:paraId="38900F89">
      <w:pPr>
        <w:bidi w:val="0"/>
        <w:rPr>
          <w:rFonts w:hint="default"/>
          <w:lang w:val="en-US" w:eastAsia="zh-CN"/>
        </w:rPr>
      </w:pPr>
      <w:r>
        <w:rPr>
          <w:rFonts w:hint="default"/>
          <w:lang w:val="en-US" w:eastAsia="zh-CN"/>
        </w:rPr>
        <w:t>由企业取得锅炉水处理资格证的职工实施，每次化验应当记录并存档。</w:t>
      </w:r>
    </w:p>
    <w:p w14:paraId="71220625">
      <w:pPr>
        <w:pStyle w:val="2"/>
        <w:numPr>
          <w:ilvl w:val="0"/>
          <w:numId w:val="11"/>
        </w:numPr>
        <w:bidi w:val="0"/>
        <w:ind w:left="0" w:leftChars="0" w:firstLine="480" w:firstLineChars="200"/>
        <w:rPr>
          <w:rFonts w:hint="default" w:ascii="Times New Roman" w:hAnsi="Times New Roman" w:cs="Times New Roman"/>
          <w:b w:val="0"/>
          <w:bCs w:val="0"/>
          <w:lang w:val="en-US" w:eastAsia="zh-CN"/>
        </w:rPr>
      </w:pPr>
      <w:bookmarkStart w:id="23" w:name="_Toc10"/>
      <w:r>
        <w:rPr>
          <w:rFonts w:hint="default" w:ascii="Times New Roman" w:hAnsi="Times New Roman" w:cs="Times New Roman"/>
          <w:b w:val="0"/>
          <w:bCs w:val="0"/>
          <w:lang w:val="en-US" w:eastAsia="zh-CN"/>
        </w:rPr>
        <w:t>节能安全技术档案</w:t>
      </w:r>
      <w:bookmarkEnd w:id="23"/>
    </w:p>
    <w:p w14:paraId="53DDA838">
      <w:pPr>
        <w:bidi w:val="0"/>
        <w:rPr>
          <w:rFonts w:hint="default"/>
        </w:rPr>
      </w:pPr>
      <w:r>
        <w:rPr>
          <w:rFonts w:hint="default"/>
        </w:rPr>
        <w:t>至少包括：含有设计能效指标的设计文件；能效测试报告；设备经济运行文件和操作说明书；日常运行能效监控记录、能耗状况记录；节能改造技术资料；能效定期检查记录。</w:t>
      </w:r>
    </w:p>
    <w:p w14:paraId="0A641DD3">
      <w:pPr>
        <w:bidi w:val="0"/>
        <w:rPr>
          <w:rFonts w:hint="default"/>
          <w:lang w:val="en-US" w:eastAsia="zh-CN"/>
        </w:rPr>
      </w:pPr>
      <w:r>
        <w:rPr>
          <w:rFonts w:hint="default"/>
          <w:lang w:val="en-US" w:eastAsia="zh-CN"/>
        </w:rPr>
        <w:br w:type="page"/>
      </w:r>
    </w:p>
    <w:p w14:paraId="29C9E335">
      <w:pPr>
        <w:pStyle w:val="3"/>
        <w:bidi w:val="0"/>
        <w:rPr>
          <w:rFonts w:hint="default" w:ascii="黑体" w:hAnsi="黑体" w:cs="黑体"/>
          <w:b w:val="0"/>
          <w:bCs w:val="0"/>
          <w:sz w:val="28"/>
          <w:szCs w:val="28"/>
          <w:lang w:val="en-US" w:eastAsia="zh-CN"/>
        </w:rPr>
      </w:pPr>
      <w:bookmarkStart w:id="24" w:name="_Toc6274"/>
      <w:r>
        <w:rPr>
          <w:rFonts w:hint="eastAsia" w:ascii="黑体" w:hAnsi="黑体" w:cs="黑体"/>
          <w:b w:val="0"/>
          <w:bCs w:val="0"/>
          <w:sz w:val="28"/>
          <w:szCs w:val="28"/>
          <w:lang w:val="en-US" w:eastAsia="zh-CN"/>
        </w:rPr>
        <w:t>五、</w:t>
      </w:r>
      <w:r>
        <w:rPr>
          <w:rFonts w:hint="default" w:ascii="黑体" w:hAnsi="黑体" w:cs="黑体"/>
          <w:b w:val="0"/>
          <w:bCs w:val="0"/>
          <w:sz w:val="28"/>
          <w:szCs w:val="28"/>
          <w:lang w:val="en-US" w:eastAsia="zh-CN"/>
        </w:rPr>
        <w:t>特种设备安全</w:t>
      </w:r>
      <w:r>
        <w:rPr>
          <w:rFonts w:hint="eastAsia" w:ascii="黑体" w:hAnsi="黑体" w:cs="黑体"/>
          <w:b w:val="0"/>
          <w:bCs w:val="0"/>
          <w:sz w:val="28"/>
          <w:szCs w:val="28"/>
          <w:lang w:val="en-US" w:eastAsia="zh-CN"/>
        </w:rPr>
        <w:t>与节能</w:t>
      </w:r>
      <w:r>
        <w:rPr>
          <w:rFonts w:hint="default" w:ascii="黑体" w:hAnsi="黑体" w:cs="黑体"/>
          <w:b w:val="0"/>
          <w:bCs w:val="0"/>
          <w:sz w:val="28"/>
          <w:szCs w:val="28"/>
          <w:lang w:val="en-US" w:eastAsia="zh-CN"/>
        </w:rPr>
        <w:t>技术档案</w:t>
      </w:r>
      <w:bookmarkEnd w:id="24"/>
    </w:p>
    <w:p w14:paraId="7D56059C">
      <w:pPr>
        <w:bidi w:val="0"/>
        <w:rPr>
          <w:rFonts w:hint="default"/>
        </w:rPr>
      </w:pPr>
      <w:r>
        <w:rPr>
          <w:rFonts w:hint="default"/>
          <w:lang w:val="en-US" w:eastAsia="zh-CN"/>
        </w:rPr>
        <w:t>《特种设备使用管理规则》（TSG08-2026）3.3.1规定，</w:t>
      </w:r>
      <w:r>
        <w:rPr>
          <w:rFonts w:hint="default"/>
        </w:rPr>
        <w:t>使用单位应当建立特种设备安全与节能技术档案。至少包括以下内容：</w:t>
      </w:r>
    </w:p>
    <w:p w14:paraId="51D8C514">
      <w:pPr>
        <w:numPr>
          <w:ilvl w:val="0"/>
          <w:numId w:val="12"/>
        </w:numPr>
        <w:bidi w:val="0"/>
        <w:rPr>
          <w:rFonts w:hint="default"/>
        </w:rPr>
      </w:pPr>
      <w:r>
        <w:rPr>
          <w:rFonts w:hint="default"/>
        </w:rPr>
        <w:t>使用登记证；</w:t>
      </w:r>
    </w:p>
    <w:p w14:paraId="311BBC3C">
      <w:pPr>
        <w:numPr>
          <w:ilvl w:val="0"/>
          <w:numId w:val="12"/>
        </w:numPr>
        <w:bidi w:val="0"/>
        <w:rPr>
          <w:rFonts w:hint="default"/>
        </w:rPr>
      </w:pPr>
      <w:r>
        <w:rPr>
          <w:rFonts w:hint="default"/>
        </w:rPr>
        <w:t>特种设备使用登记表》</w:t>
      </w:r>
      <w:r>
        <w:rPr>
          <w:rFonts w:hint="default"/>
          <w:lang w:eastAsia="zh-CN"/>
        </w:rPr>
        <w:t>；</w:t>
      </w:r>
    </w:p>
    <w:p w14:paraId="482B04EB">
      <w:pPr>
        <w:numPr>
          <w:ilvl w:val="0"/>
          <w:numId w:val="12"/>
        </w:numPr>
        <w:bidi w:val="0"/>
        <w:rPr>
          <w:rFonts w:hint="default"/>
        </w:rPr>
      </w:pPr>
      <w:r>
        <w:rPr>
          <w:rFonts w:hint="default"/>
        </w:rPr>
        <w:t>特种设备设计、制造技术资料和文件，包括设计文件、产品质量合格证明（含合格证及其数据表、质量证明书）、安装及使用维护保养说明、监督检验证书、型式试验证书等；</w:t>
      </w:r>
    </w:p>
    <w:p w14:paraId="45321F63">
      <w:pPr>
        <w:numPr>
          <w:ilvl w:val="0"/>
          <w:numId w:val="12"/>
        </w:numPr>
        <w:bidi w:val="0"/>
        <w:rPr>
          <w:rFonts w:hint="default"/>
        </w:rPr>
      </w:pPr>
      <w:r>
        <w:rPr>
          <w:rFonts w:hint="default"/>
        </w:rPr>
        <w:t>特种设备安装、改造和修理的方案、图样、材料质量证明书和施工质量证明文件、安装改造维修监督检验报告、验收报告等技术资料；</w:t>
      </w:r>
    </w:p>
    <w:p w14:paraId="301E1FCF">
      <w:pPr>
        <w:numPr>
          <w:ilvl w:val="0"/>
          <w:numId w:val="12"/>
        </w:numPr>
        <w:bidi w:val="0"/>
        <w:rPr>
          <w:rFonts w:hint="default"/>
        </w:rPr>
      </w:pPr>
      <w:r>
        <w:rPr>
          <w:rFonts w:hint="default"/>
        </w:rPr>
        <w:t>特种设备日常使用状况记录；</w:t>
      </w:r>
    </w:p>
    <w:p w14:paraId="55B74572">
      <w:pPr>
        <w:numPr>
          <w:ilvl w:val="0"/>
          <w:numId w:val="12"/>
        </w:numPr>
        <w:bidi w:val="0"/>
        <w:rPr>
          <w:rFonts w:hint="default"/>
        </w:rPr>
      </w:pPr>
      <w:r>
        <w:rPr>
          <w:rFonts w:hint="default"/>
        </w:rPr>
        <w:t>特种设备及其附属仪器仪表维护保养记录；</w:t>
      </w:r>
    </w:p>
    <w:p w14:paraId="41DE38E5">
      <w:pPr>
        <w:numPr>
          <w:ilvl w:val="0"/>
          <w:numId w:val="12"/>
        </w:numPr>
        <w:bidi w:val="0"/>
        <w:rPr>
          <w:rFonts w:hint="default"/>
        </w:rPr>
      </w:pPr>
      <w:r>
        <w:rPr>
          <w:rFonts w:hint="default"/>
        </w:rPr>
        <w:t>特种设备安全附件和安全保护装置校验、检修、更换记录和有关报告；</w:t>
      </w:r>
    </w:p>
    <w:p w14:paraId="33EEA852">
      <w:pPr>
        <w:numPr>
          <w:ilvl w:val="0"/>
          <w:numId w:val="12"/>
        </w:numPr>
        <w:bidi w:val="0"/>
        <w:rPr>
          <w:rFonts w:hint="default"/>
        </w:rPr>
      </w:pPr>
      <w:r>
        <w:rPr>
          <w:rFonts w:hint="default"/>
        </w:rPr>
        <w:t>特种设备运行故障和事故记录及事故处理报告</w:t>
      </w:r>
      <w:r>
        <w:rPr>
          <w:rFonts w:hint="default"/>
          <w:lang w:eastAsia="zh-CN"/>
        </w:rPr>
        <w:t>；</w:t>
      </w:r>
    </w:p>
    <w:p w14:paraId="104EC87D">
      <w:pPr>
        <w:numPr>
          <w:ilvl w:val="0"/>
          <w:numId w:val="12"/>
        </w:numPr>
        <w:bidi w:val="0"/>
        <w:rPr>
          <w:rFonts w:hint="default"/>
        </w:rPr>
      </w:pPr>
      <w:r>
        <w:rPr>
          <w:rFonts w:hint="default"/>
          <w:lang w:eastAsia="zh-CN"/>
        </w:rPr>
        <w:t>《特种设备风险管控清单》及相关工作记录；</w:t>
      </w:r>
    </w:p>
    <w:p w14:paraId="62FDD700">
      <w:pPr>
        <w:numPr>
          <w:ilvl w:val="0"/>
          <w:numId w:val="12"/>
        </w:numPr>
        <w:bidi w:val="0"/>
        <w:rPr>
          <w:rFonts w:hint="default"/>
        </w:rPr>
      </w:pPr>
      <w:r>
        <w:rPr>
          <w:rFonts w:hint="default"/>
          <w:lang w:eastAsia="zh-CN"/>
        </w:rPr>
        <w:t>特种设备定期检验报告、定期自行检查记录（报告）或者自行检测报告</w:t>
      </w:r>
      <w:r>
        <w:rPr>
          <w:rFonts w:hint="default"/>
        </w:rPr>
        <w:t>。</w:t>
      </w:r>
    </w:p>
    <w:p w14:paraId="340B3F70">
      <w:pPr>
        <w:numPr>
          <w:ilvl w:val="0"/>
          <w:numId w:val="12"/>
        </w:numPr>
        <w:bidi w:val="0"/>
        <w:rPr>
          <w:rFonts w:hint="default"/>
          <w:lang w:val="en-US" w:eastAsia="zh-CN"/>
        </w:rPr>
      </w:pPr>
      <w:r>
        <w:rPr>
          <w:rFonts w:hint="default"/>
        </w:rPr>
        <w:t>特种设备节能技术档案包括锅炉能效测试报告、高耗能特种设备节能改造技术资料等。</w:t>
      </w:r>
    </w:p>
    <w:p w14:paraId="2204A3D7">
      <w:pPr>
        <w:numPr>
          <w:ilvl w:val="0"/>
          <w:numId w:val="0"/>
        </w:numPr>
        <w:bidi w:val="0"/>
        <w:ind w:firstLine="480" w:firstLineChars="200"/>
        <w:rPr>
          <w:rFonts w:hint="default"/>
        </w:rPr>
      </w:pPr>
      <w:r>
        <w:rPr>
          <w:rFonts w:hint="default"/>
        </w:rPr>
        <w:t>使用单位应当在设备使用地保存</w:t>
      </w:r>
      <w:r>
        <w:rPr>
          <w:rFonts w:hint="default"/>
          <w:lang w:val="en-US" w:eastAsia="zh-CN"/>
        </w:rPr>
        <w:t>1~2</w:t>
      </w:r>
      <w:r>
        <w:rPr>
          <w:rFonts w:hint="default"/>
        </w:rPr>
        <w:t>、</w:t>
      </w:r>
      <w:r>
        <w:rPr>
          <w:rFonts w:hint="default"/>
          <w:lang w:val="en-US" w:eastAsia="zh-CN"/>
        </w:rPr>
        <w:t>5~10项</w:t>
      </w:r>
      <w:r>
        <w:rPr>
          <w:rFonts w:hint="default"/>
        </w:rPr>
        <w:t>规定的资料和特种设备节能技术档案的原件或者复印件，以便备查。</w:t>
      </w:r>
    </w:p>
    <w:p w14:paraId="613A9BDD">
      <w:pPr>
        <w:numPr>
          <w:ilvl w:val="0"/>
          <w:numId w:val="0"/>
        </w:numPr>
        <w:bidi w:val="0"/>
        <w:ind w:firstLine="480" w:firstLineChars="200"/>
        <w:rPr>
          <w:rFonts w:hint="eastAsia"/>
          <w:color w:val="FF0000"/>
          <w:lang w:val="en-US" w:eastAsia="zh-CN"/>
        </w:rPr>
      </w:pPr>
      <w:r>
        <w:rPr>
          <w:rFonts w:hint="eastAsia"/>
          <w:color w:val="FF0000"/>
          <w:lang w:val="en-US" w:eastAsia="zh-CN"/>
        </w:rPr>
        <w:t>注意：新版《特种设备使用管理规则》（TSG08-2026）取消了“一台一档”的要求。</w:t>
      </w:r>
    </w:p>
    <w:p w14:paraId="2EB757BA">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br w:type="page"/>
      </w:r>
    </w:p>
    <w:p w14:paraId="0A8764FA">
      <w:pPr>
        <w:pStyle w:val="3"/>
        <w:bidi w:val="0"/>
        <w:rPr>
          <w:rFonts w:hint="default" w:ascii="黑体" w:hAnsi="黑体" w:cs="黑体"/>
          <w:b w:val="0"/>
          <w:bCs w:val="0"/>
          <w:sz w:val="28"/>
          <w:szCs w:val="28"/>
          <w:lang w:val="en-US" w:eastAsia="zh-CN"/>
        </w:rPr>
      </w:pPr>
      <w:bookmarkStart w:id="25" w:name="_Toc13572"/>
      <w:r>
        <w:rPr>
          <w:rFonts w:hint="eastAsia" w:ascii="黑体" w:hAnsi="黑体" w:cs="黑体"/>
          <w:b w:val="0"/>
          <w:bCs w:val="0"/>
          <w:sz w:val="28"/>
          <w:szCs w:val="28"/>
          <w:lang w:val="en-US" w:eastAsia="zh-CN"/>
        </w:rPr>
        <w:t>六、</w:t>
      </w:r>
      <w:r>
        <w:rPr>
          <w:rFonts w:hint="default" w:ascii="黑体" w:hAnsi="黑体" w:cs="黑体"/>
          <w:b w:val="0"/>
          <w:bCs w:val="0"/>
          <w:sz w:val="28"/>
          <w:szCs w:val="28"/>
          <w:lang w:val="en-US" w:eastAsia="zh-CN"/>
        </w:rPr>
        <w:t>特种设备及其安全附件</w:t>
      </w:r>
      <w:r>
        <w:rPr>
          <w:rFonts w:hint="eastAsia" w:ascii="黑体" w:hAnsi="黑体" w:cs="黑体"/>
          <w:b w:val="0"/>
          <w:bCs w:val="0"/>
          <w:sz w:val="28"/>
          <w:szCs w:val="28"/>
          <w:lang w:val="en-US" w:eastAsia="zh-CN"/>
        </w:rPr>
        <w:t>台账化</w:t>
      </w:r>
      <w:r>
        <w:rPr>
          <w:rFonts w:hint="default" w:ascii="黑体" w:hAnsi="黑体" w:cs="黑体"/>
          <w:b w:val="0"/>
          <w:bCs w:val="0"/>
          <w:sz w:val="28"/>
          <w:szCs w:val="28"/>
          <w:lang w:val="en-US" w:eastAsia="zh-CN"/>
        </w:rPr>
        <w:t>管理</w:t>
      </w:r>
      <w:bookmarkEnd w:id="25"/>
    </w:p>
    <w:p w14:paraId="21C34B06">
      <w:pPr>
        <w:pStyle w:val="2"/>
        <w:bidi w:val="0"/>
        <w:rPr>
          <w:rFonts w:hint="default"/>
          <w:lang w:val="en-US" w:eastAsia="zh-CN"/>
        </w:rPr>
      </w:pPr>
      <w:bookmarkStart w:id="26" w:name="_Toc29297"/>
      <w:r>
        <w:rPr>
          <w:rFonts w:hint="eastAsia"/>
          <w:lang w:val="en-US" w:eastAsia="zh-CN"/>
        </w:rPr>
        <w:t>（一）</w:t>
      </w:r>
      <w:r>
        <w:rPr>
          <w:rFonts w:hint="default"/>
          <w:lang w:val="en-US" w:eastAsia="zh-CN"/>
        </w:rPr>
        <w:t>特种设备</w:t>
      </w:r>
      <w:r>
        <w:rPr>
          <w:rFonts w:hint="eastAsia"/>
          <w:lang w:val="en-US" w:eastAsia="zh-CN"/>
        </w:rPr>
        <w:t>安全</w:t>
      </w:r>
      <w:r>
        <w:rPr>
          <w:rFonts w:hint="default"/>
          <w:lang w:val="en-US" w:eastAsia="zh-CN"/>
        </w:rPr>
        <w:t>管理台账</w:t>
      </w:r>
      <w:bookmarkEnd w:id="26"/>
    </w:p>
    <w:p w14:paraId="3F9698E0">
      <w:pPr>
        <w:bidi w:val="0"/>
        <w:rPr>
          <w:rFonts w:hint="default"/>
          <w:lang w:val="en-US" w:eastAsia="zh-CN"/>
        </w:rPr>
      </w:pPr>
      <w:r>
        <w:rPr>
          <w:rFonts w:hint="default"/>
          <w:lang w:val="en-US" w:eastAsia="zh-CN"/>
        </w:rPr>
        <w:t>《特种设备使用管理规则》（TSG08-2026）2.2（5）规定，使用单位应建立特种设备台账并</w:t>
      </w:r>
      <w:r>
        <w:rPr>
          <w:rFonts w:hint="default"/>
          <w:color w:val="FF0000"/>
          <w:lang w:val="en-US" w:eastAsia="zh-CN"/>
        </w:rPr>
        <w:t>动态更新</w:t>
      </w:r>
      <w:r>
        <w:rPr>
          <w:rFonts w:hint="default"/>
          <w:lang w:val="en-US" w:eastAsia="zh-CN"/>
        </w:rPr>
        <w:t>。</w:t>
      </w:r>
    </w:p>
    <w:p w14:paraId="1702DFF6">
      <w:pPr>
        <w:keepNext w:val="0"/>
        <w:keepLines w:val="0"/>
        <w:pageBreakBefore w:val="0"/>
        <w:widowControl w:val="0"/>
        <w:kinsoku/>
        <w:wordWrap/>
        <w:overflowPunct/>
        <w:topLinePunct w:val="0"/>
        <w:autoSpaceDE/>
        <w:autoSpaceDN/>
        <w:bidi w:val="0"/>
        <w:adjustRightInd/>
        <w:snapToGrid/>
        <w:spacing w:before="157" w:beforeLines="50" w:after="157" w:afterLines="50"/>
        <w:ind w:left="0" w:leftChars="0" w:firstLine="0" w:firstLineChars="0"/>
        <w:jc w:val="center"/>
        <w:textAlignment w:val="auto"/>
        <w:rPr>
          <w:rFonts w:hint="default"/>
          <w:lang w:val="en-US" w:eastAsia="zh-CN"/>
        </w:rPr>
      </w:pPr>
      <w:r>
        <w:rPr>
          <w:rFonts w:hint="default"/>
          <w:lang w:val="en-US" w:eastAsia="zh-CN"/>
        </w:rPr>
        <w:t>XXX公司特种设备管理台账（参考模板）</w:t>
      </w:r>
    </w:p>
    <w:tbl>
      <w:tblPr>
        <w:tblStyle w:val="17"/>
        <w:tblW w:w="10123" w:type="dxa"/>
        <w:tblInd w:w="-7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65"/>
        <w:gridCol w:w="870"/>
        <w:gridCol w:w="1080"/>
        <w:gridCol w:w="1065"/>
        <w:gridCol w:w="1065"/>
        <w:gridCol w:w="860"/>
        <w:gridCol w:w="900"/>
        <w:gridCol w:w="950"/>
        <w:gridCol w:w="888"/>
        <w:gridCol w:w="900"/>
      </w:tblGrid>
      <w:tr w14:paraId="7BCB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0D1FF9C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序号</w:t>
            </w:r>
          </w:p>
        </w:tc>
        <w:tc>
          <w:tcPr>
            <w:tcW w:w="1065" w:type="dxa"/>
            <w:vAlign w:val="center"/>
          </w:tcPr>
          <w:p w14:paraId="10926459">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设备名称</w:t>
            </w:r>
          </w:p>
        </w:tc>
        <w:tc>
          <w:tcPr>
            <w:tcW w:w="870" w:type="dxa"/>
            <w:vAlign w:val="center"/>
          </w:tcPr>
          <w:p w14:paraId="6D8F361E">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设备</w:t>
            </w:r>
          </w:p>
          <w:p w14:paraId="0E319361">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型号</w:t>
            </w:r>
          </w:p>
        </w:tc>
        <w:tc>
          <w:tcPr>
            <w:tcW w:w="1080" w:type="dxa"/>
            <w:vAlign w:val="center"/>
          </w:tcPr>
          <w:p w14:paraId="314D8C39">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使用登记证号</w:t>
            </w:r>
          </w:p>
        </w:tc>
        <w:tc>
          <w:tcPr>
            <w:tcW w:w="1065" w:type="dxa"/>
            <w:vAlign w:val="center"/>
          </w:tcPr>
          <w:p w14:paraId="6038124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设备代码</w:t>
            </w:r>
          </w:p>
        </w:tc>
        <w:tc>
          <w:tcPr>
            <w:tcW w:w="1065" w:type="dxa"/>
            <w:vAlign w:val="center"/>
          </w:tcPr>
          <w:p w14:paraId="4EB3AB2D">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设备使用地点</w:t>
            </w:r>
          </w:p>
        </w:tc>
        <w:tc>
          <w:tcPr>
            <w:tcW w:w="860" w:type="dxa"/>
            <w:vAlign w:val="center"/>
          </w:tcPr>
          <w:p w14:paraId="7173CDE3">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设计使用年限</w:t>
            </w:r>
          </w:p>
        </w:tc>
        <w:tc>
          <w:tcPr>
            <w:tcW w:w="900" w:type="dxa"/>
            <w:vAlign w:val="center"/>
          </w:tcPr>
          <w:p w14:paraId="6E7FE2F5">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投入使用时间</w:t>
            </w:r>
          </w:p>
        </w:tc>
        <w:tc>
          <w:tcPr>
            <w:tcW w:w="950" w:type="dxa"/>
            <w:vAlign w:val="center"/>
          </w:tcPr>
          <w:p w14:paraId="23C399BD">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FF0000"/>
                <w:sz w:val="21"/>
                <w:szCs w:val="21"/>
                <w:vertAlign w:val="baseline"/>
                <w:lang w:val="en-US" w:eastAsia="zh-CN"/>
              </w:rPr>
            </w:pPr>
            <w:r>
              <w:rPr>
                <w:rFonts w:hint="default" w:ascii="Times New Roman" w:hAnsi="Times New Roman" w:eastAsia="方正楷体简体" w:cs="Times New Roman"/>
                <w:b w:val="0"/>
                <w:bCs w:val="0"/>
                <w:color w:val="FF0000"/>
                <w:sz w:val="21"/>
                <w:szCs w:val="21"/>
                <w:vertAlign w:val="baseline"/>
                <w:lang w:val="en-US" w:eastAsia="zh-CN"/>
              </w:rPr>
              <w:t>责任</w:t>
            </w:r>
          </w:p>
          <w:p w14:paraId="7B3FDFF2">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FF0000"/>
                <w:sz w:val="21"/>
                <w:szCs w:val="21"/>
                <w:vertAlign w:val="baseline"/>
                <w:lang w:val="en-US" w:eastAsia="zh-CN"/>
              </w:rPr>
              <w:t>安全员</w:t>
            </w:r>
          </w:p>
        </w:tc>
        <w:tc>
          <w:tcPr>
            <w:tcW w:w="888" w:type="dxa"/>
            <w:vAlign w:val="center"/>
          </w:tcPr>
          <w:p w14:paraId="5D2F838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上次检验日期</w:t>
            </w:r>
          </w:p>
        </w:tc>
        <w:tc>
          <w:tcPr>
            <w:tcW w:w="900" w:type="dxa"/>
            <w:vAlign w:val="center"/>
          </w:tcPr>
          <w:p w14:paraId="51C09608">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下次检验日期</w:t>
            </w:r>
          </w:p>
        </w:tc>
      </w:tr>
      <w:tr w14:paraId="7301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42CDF9F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746D851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3E6E00A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4BFF102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7305246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4BC8A5E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60" w:type="dxa"/>
            <w:vAlign w:val="center"/>
          </w:tcPr>
          <w:p w14:paraId="38ADE48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1F16B3C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50" w:type="dxa"/>
            <w:vAlign w:val="center"/>
          </w:tcPr>
          <w:p w14:paraId="4BB90CC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88" w:type="dxa"/>
            <w:vAlign w:val="center"/>
          </w:tcPr>
          <w:p w14:paraId="702CB49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61C988A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7611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0C0303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7DB8941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66CF0ED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1D34F17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2CB4026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3616DD4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60" w:type="dxa"/>
            <w:vAlign w:val="center"/>
          </w:tcPr>
          <w:p w14:paraId="7A45995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5205840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50" w:type="dxa"/>
            <w:vAlign w:val="center"/>
          </w:tcPr>
          <w:p w14:paraId="50CA195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88" w:type="dxa"/>
            <w:vAlign w:val="center"/>
          </w:tcPr>
          <w:p w14:paraId="1B1FC44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2A7CD9C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50D6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1CDE869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56DA7A5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3C03FA3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7ED65BB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185DF50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18177D1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60" w:type="dxa"/>
            <w:vAlign w:val="center"/>
          </w:tcPr>
          <w:p w14:paraId="479EBD3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6556970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50" w:type="dxa"/>
            <w:vAlign w:val="center"/>
          </w:tcPr>
          <w:p w14:paraId="1442563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88" w:type="dxa"/>
            <w:vAlign w:val="center"/>
          </w:tcPr>
          <w:p w14:paraId="698EAC2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6ABC039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4B44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7BDC000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2C2151D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43A8098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6E09508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2698D4E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5699AF1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60" w:type="dxa"/>
            <w:vAlign w:val="center"/>
          </w:tcPr>
          <w:p w14:paraId="33721C6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2577623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50" w:type="dxa"/>
            <w:vAlign w:val="center"/>
          </w:tcPr>
          <w:p w14:paraId="1B4845D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88" w:type="dxa"/>
            <w:vAlign w:val="center"/>
          </w:tcPr>
          <w:p w14:paraId="1BC5192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5C5995B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1BA7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FB70A8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539ABA0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180FB63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218EE75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007A8B3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2FADC35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60" w:type="dxa"/>
            <w:vAlign w:val="center"/>
          </w:tcPr>
          <w:p w14:paraId="6586638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5201565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50" w:type="dxa"/>
            <w:vAlign w:val="center"/>
          </w:tcPr>
          <w:p w14:paraId="6E8E38B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88" w:type="dxa"/>
            <w:vAlign w:val="center"/>
          </w:tcPr>
          <w:p w14:paraId="0879419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4679E49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1325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5A8ACF0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5311F27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4D9EDE6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0D39024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1ADA169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43984E1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60" w:type="dxa"/>
            <w:vAlign w:val="center"/>
          </w:tcPr>
          <w:p w14:paraId="45F88DA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0BF0ABF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50" w:type="dxa"/>
            <w:vAlign w:val="center"/>
          </w:tcPr>
          <w:p w14:paraId="0E3286F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88" w:type="dxa"/>
            <w:vAlign w:val="center"/>
          </w:tcPr>
          <w:p w14:paraId="32F7C59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2B4997F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bl>
    <w:p w14:paraId="28A55496">
      <w:pPr>
        <w:bidi w:val="0"/>
        <w:rPr>
          <w:rFonts w:hint="default"/>
          <w:lang w:val="en-US" w:eastAsia="zh-CN"/>
        </w:rPr>
      </w:pPr>
      <w:r>
        <w:rPr>
          <w:rFonts w:hint="default"/>
          <w:lang w:val="en-US" w:eastAsia="zh-CN"/>
        </w:rPr>
        <w:t>注意：</w:t>
      </w:r>
      <w:r>
        <w:rPr>
          <w:rFonts w:hint="eastAsia"/>
          <w:lang w:val="en-US" w:eastAsia="zh-CN"/>
        </w:rPr>
        <w:t>1.</w:t>
      </w:r>
      <w:r>
        <w:rPr>
          <w:rFonts w:hint="default"/>
          <w:lang w:val="en-US" w:eastAsia="zh-CN"/>
        </w:rPr>
        <w:t>D级锅炉、简单压力容器等无需办理使用登记的设备应列入台账纳入管理，压力管道、气瓶等也应纳入台账。</w:t>
      </w:r>
    </w:p>
    <w:p w14:paraId="2BDDBAD5">
      <w:pPr>
        <w:bidi w:val="0"/>
        <w:rPr>
          <w:rFonts w:hint="default"/>
          <w:color w:val="FF0000"/>
          <w:lang w:val="en-US" w:eastAsia="zh-CN"/>
        </w:rPr>
      </w:pPr>
      <w:r>
        <w:rPr>
          <w:rFonts w:hint="eastAsia"/>
          <w:color w:val="FF0000"/>
          <w:lang w:val="en-US" w:eastAsia="zh-CN"/>
        </w:rPr>
        <w:t>2.使用单位应逐台（套）明确负责的特种设备安全员。</w:t>
      </w:r>
    </w:p>
    <w:p w14:paraId="06DD0CD1">
      <w:pPr>
        <w:pStyle w:val="2"/>
        <w:bidi w:val="0"/>
        <w:rPr>
          <w:rFonts w:hint="default"/>
          <w:lang w:val="en-US" w:eastAsia="zh-CN"/>
        </w:rPr>
      </w:pPr>
      <w:bookmarkStart w:id="27" w:name="_Toc29503"/>
      <w:r>
        <w:rPr>
          <w:rFonts w:hint="eastAsia"/>
          <w:lang w:val="en-US" w:eastAsia="zh-CN"/>
        </w:rPr>
        <w:t>（二）</w:t>
      </w:r>
      <w:r>
        <w:rPr>
          <w:rFonts w:hint="default"/>
          <w:lang w:val="en-US" w:eastAsia="zh-CN"/>
        </w:rPr>
        <w:t>特种设备</w:t>
      </w:r>
      <w:r>
        <w:rPr>
          <w:rFonts w:hint="eastAsia"/>
          <w:lang w:val="en-US" w:eastAsia="zh-CN"/>
        </w:rPr>
        <w:t>安全附件</w:t>
      </w:r>
      <w:r>
        <w:rPr>
          <w:rFonts w:hint="default"/>
          <w:lang w:val="en-US" w:eastAsia="zh-CN"/>
        </w:rPr>
        <w:t>台账</w:t>
      </w:r>
      <w:bookmarkEnd w:id="27"/>
    </w:p>
    <w:p w14:paraId="5D9470D9">
      <w:pPr>
        <w:keepNext w:val="0"/>
        <w:keepLines w:val="0"/>
        <w:pageBreakBefore w:val="0"/>
        <w:widowControl w:val="0"/>
        <w:kinsoku/>
        <w:wordWrap/>
        <w:overflowPunct/>
        <w:topLinePunct w:val="0"/>
        <w:autoSpaceDE/>
        <w:autoSpaceDN/>
        <w:bidi w:val="0"/>
        <w:adjustRightInd/>
        <w:snapToGrid/>
        <w:spacing w:after="157" w:afterLines="50"/>
        <w:ind w:left="0" w:leftChars="0" w:firstLine="0" w:firstLineChars="0"/>
        <w:jc w:val="center"/>
        <w:textAlignment w:val="auto"/>
        <w:rPr>
          <w:rFonts w:hint="default"/>
          <w:lang w:val="en-US" w:eastAsia="zh-CN"/>
        </w:rPr>
      </w:pPr>
      <w:r>
        <w:rPr>
          <w:rFonts w:hint="default"/>
          <w:lang w:val="en-US" w:eastAsia="zh-CN"/>
        </w:rPr>
        <w:t>XXX公司特种设备安全附件台账（参考模板）</w:t>
      </w:r>
    </w:p>
    <w:tbl>
      <w:tblPr>
        <w:tblStyle w:val="17"/>
        <w:tblW w:w="9135"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65"/>
        <w:gridCol w:w="870"/>
        <w:gridCol w:w="1080"/>
        <w:gridCol w:w="1065"/>
        <w:gridCol w:w="1125"/>
        <w:gridCol w:w="960"/>
        <w:gridCol w:w="1590"/>
        <w:gridCol w:w="900"/>
      </w:tblGrid>
      <w:tr w14:paraId="1961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448AFE6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序号</w:t>
            </w:r>
          </w:p>
        </w:tc>
        <w:tc>
          <w:tcPr>
            <w:tcW w:w="1065" w:type="dxa"/>
            <w:vAlign w:val="center"/>
          </w:tcPr>
          <w:p w14:paraId="28764EE3">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名称</w:t>
            </w:r>
          </w:p>
        </w:tc>
        <w:tc>
          <w:tcPr>
            <w:tcW w:w="870" w:type="dxa"/>
            <w:vAlign w:val="center"/>
          </w:tcPr>
          <w:p w14:paraId="6A91A892">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型号</w:t>
            </w:r>
          </w:p>
        </w:tc>
        <w:tc>
          <w:tcPr>
            <w:tcW w:w="1080" w:type="dxa"/>
            <w:vAlign w:val="center"/>
          </w:tcPr>
          <w:p w14:paraId="1BA9FAF1">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出厂编号</w:t>
            </w:r>
          </w:p>
        </w:tc>
        <w:tc>
          <w:tcPr>
            <w:tcW w:w="1065" w:type="dxa"/>
            <w:vAlign w:val="center"/>
          </w:tcPr>
          <w:p w14:paraId="1994C6F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所属设备及位置</w:t>
            </w:r>
          </w:p>
        </w:tc>
        <w:tc>
          <w:tcPr>
            <w:tcW w:w="1125" w:type="dxa"/>
            <w:vAlign w:val="center"/>
          </w:tcPr>
          <w:p w14:paraId="7922BFF4">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校验日期</w:t>
            </w:r>
          </w:p>
        </w:tc>
        <w:tc>
          <w:tcPr>
            <w:tcW w:w="960" w:type="dxa"/>
            <w:vAlign w:val="center"/>
          </w:tcPr>
          <w:p w14:paraId="0712A92A">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下次校验日期</w:t>
            </w:r>
          </w:p>
        </w:tc>
        <w:tc>
          <w:tcPr>
            <w:tcW w:w="1590" w:type="dxa"/>
            <w:vAlign w:val="center"/>
          </w:tcPr>
          <w:p w14:paraId="7B314B57">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校验单位</w:t>
            </w:r>
          </w:p>
        </w:tc>
        <w:tc>
          <w:tcPr>
            <w:tcW w:w="900" w:type="dxa"/>
            <w:vAlign w:val="center"/>
          </w:tcPr>
          <w:p w14:paraId="0D79FD30">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备注</w:t>
            </w:r>
          </w:p>
        </w:tc>
      </w:tr>
      <w:tr w14:paraId="1154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23864E0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4B96E8B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50F37D2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6B94C9A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108058C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3D1DF41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60" w:type="dxa"/>
            <w:vAlign w:val="center"/>
          </w:tcPr>
          <w:p w14:paraId="0AA29DC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590" w:type="dxa"/>
            <w:vAlign w:val="center"/>
          </w:tcPr>
          <w:p w14:paraId="3B99C61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50CB67D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68F4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4335B0B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6D8234B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3A5FC24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4390CD6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500623A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7D510FA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60" w:type="dxa"/>
            <w:vAlign w:val="center"/>
          </w:tcPr>
          <w:p w14:paraId="2900582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590" w:type="dxa"/>
            <w:vAlign w:val="center"/>
          </w:tcPr>
          <w:p w14:paraId="52813B0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3B1EAEC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3968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1DC565A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41E0F94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14212D6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46F671F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2178866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1EF8637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60" w:type="dxa"/>
            <w:vAlign w:val="center"/>
          </w:tcPr>
          <w:p w14:paraId="63FB32C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590" w:type="dxa"/>
            <w:vAlign w:val="center"/>
          </w:tcPr>
          <w:p w14:paraId="7F6CEE1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02A97E7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4B48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5E5E498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3145C8C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02D7F9A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4DD1975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66895A0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11CF87E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60" w:type="dxa"/>
            <w:vAlign w:val="center"/>
          </w:tcPr>
          <w:p w14:paraId="242A13C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590" w:type="dxa"/>
            <w:vAlign w:val="center"/>
          </w:tcPr>
          <w:p w14:paraId="6AE9C6F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346A5C7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48EF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1FF59B0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3DA3411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35CC363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175F02D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09A219A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1ABA50A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60" w:type="dxa"/>
            <w:vAlign w:val="center"/>
          </w:tcPr>
          <w:p w14:paraId="7DDDDCA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590" w:type="dxa"/>
            <w:vAlign w:val="center"/>
          </w:tcPr>
          <w:p w14:paraId="04B12DD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42E2580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573A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0C5675F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6ADEAAB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870" w:type="dxa"/>
            <w:vAlign w:val="center"/>
          </w:tcPr>
          <w:p w14:paraId="1040D9D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0CDF59A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2C35EA6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326AD12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60" w:type="dxa"/>
            <w:vAlign w:val="center"/>
          </w:tcPr>
          <w:p w14:paraId="037F368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590" w:type="dxa"/>
            <w:vAlign w:val="center"/>
          </w:tcPr>
          <w:p w14:paraId="561E798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900" w:type="dxa"/>
            <w:vAlign w:val="center"/>
          </w:tcPr>
          <w:p w14:paraId="7491B7F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bl>
    <w:p w14:paraId="69B91BCE">
      <w:pPr>
        <w:bidi w:val="0"/>
        <w:rPr>
          <w:rFonts w:hint="default"/>
          <w:lang w:val="en-US" w:eastAsia="zh-CN"/>
        </w:rPr>
      </w:pPr>
      <w:r>
        <w:rPr>
          <w:rFonts w:hint="default"/>
          <w:lang w:val="en-US" w:eastAsia="zh-CN"/>
        </w:rPr>
        <w:t>注：安全附件包括安全阀、爆破片等。</w:t>
      </w:r>
      <w:r>
        <w:rPr>
          <w:rFonts w:hint="eastAsia"/>
          <w:lang w:val="en-US" w:eastAsia="zh-CN"/>
        </w:rPr>
        <w:t>压力表、温度计、液位计等属于计量器具，按照计量器具相关要求管理。</w:t>
      </w:r>
    </w:p>
    <w:p w14:paraId="3BA59AA3">
      <w:pPr>
        <w:pStyle w:val="3"/>
        <w:bidi w:val="0"/>
        <w:rPr>
          <w:rFonts w:hint="default" w:ascii="黑体" w:hAnsi="黑体" w:cs="黑体"/>
          <w:b w:val="0"/>
          <w:bCs w:val="0"/>
          <w:sz w:val="28"/>
          <w:szCs w:val="28"/>
          <w:lang w:val="en-US" w:eastAsia="zh-CN"/>
        </w:rPr>
      </w:pPr>
      <w:bookmarkStart w:id="28" w:name="_Toc12229"/>
      <w:r>
        <w:rPr>
          <w:rFonts w:hint="eastAsia" w:ascii="黑体" w:hAnsi="黑体" w:cs="黑体"/>
          <w:b w:val="0"/>
          <w:bCs w:val="0"/>
          <w:sz w:val="28"/>
          <w:szCs w:val="28"/>
          <w:lang w:val="en-US" w:eastAsia="zh-CN"/>
        </w:rPr>
        <w:t>七、</w:t>
      </w:r>
      <w:r>
        <w:rPr>
          <w:rFonts w:hint="default" w:ascii="黑体" w:hAnsi="黑体" w:cs="黑体"/>
          <w:b w:val="0"/>
          <w:bCs w:val="0"/>
          <w:sz w:val="28"/>
          <w:szCs w:val="28"/>
          <w:lang w:val="en-US" w:eastAsia="zh-CN"/>
        </w:rPr>
        <w:t>特种设备相关人员</w:t>
      </w:r>
      <w:r>
        <w:rPr>
          <w:rFonts w:hint="eastAsia" w:ascii="黑体" w:hAnsi="黑体" w:cs="黑体"/>
          <w:b w:val="0"/>
          <w:bCs w:val="0"/>
          <w:sz w:val="28"/>
          <w:szCs w:val="28"/>
          <w:lang w:val="en-US" w:eastAsia="zh-CN"/>
        </w:rPr>
        <w:t>管理</w:t>
      </w:r>
      <w:r>
        <w:rPr>
          <w:rFonts w:hint="default" w:ascii="黑体" w:hAnsi="黑体" w:cs="黑体"/>
          <w:b w:val="0"/>
          <w:bCs w:val="0"/>
          <w:sz w:val="28"/>
          <w:szCs w:val="28"/>
          <w:lang w:val="en-US" w:eastAsia="zh-CN"/>
        </w:rPr>
        <w:t>和培训考核</w:t>
      </w:r>
      <w:bookmarkEnd w:id="28"/>
    </w:p>
    <w:p w14:paraId="2C88C0C4">
      <w:pPr>
        <w:pStyle w:val="2"/>
        <w:numPr>
          <w:ilvl w:val="0"/>
          <w:numId w:val="13"/>
        </w:numPr>
        <w:bidi w:val="0"/>
        <w:ind w:left="0" w:leftChars="0" w:firstLine="480" w:firstLineChars="200"/>
        <w:rPr>
          <w:rFonts w:hint="default" w:ascii="Times New Roman" w:hAnsi="Times New Roman" w:cs="Times New Roman"/>
          <w:b w:val="0"/>
          <w:bCs w:val="0"/>
          <w:lang w:val="en-US" w:eastAsia="zh-CN"/>
        </w:rPr>
      </w:pPr>
      <w:bookmarkStart w:id="29" w:name="_Toc16078"/>
      <w:r>
        <w:rPr>
          <w:rFonts w:hint="default" w:ascii="Times New Roman" w:hAnsi="Times New Roman" w:cs="Times New Roman"/>
          <w:b w:val="0"/>
          <w:bCs w:val="0"/>
          <w:lang w:val="en-US" w:eastAsia="zh-CN"/>
        </w:rPr>
        <w:t>安全管理人员和作业人员</w:t>
      </w:r>
      <w:r>
        <w:rPr>
          <w:rFonts w:hint="eastAsia" w:cs="Times New Roman"/>
          <w:b w:val="0"/>
          <w:bCs w:val="0"/>
          <w:lang w:val="en-US" w:eastAsia="zh-CN"/>
        </w:rPr>
        <w:t>项目分类</w:t>
      </w:r>
      <w:bookmarkEnd w:id="29"/>
    </w:p>
    <w:p w14:paraId="416A82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lang w:val="en-US" w:eastAsia="zh-CN"/>
        </w:rPr>
      </w:pPr>
      <w:r>
        <w:drawing>
          <wp:inline distT="0" distB="0" distL="114300" distR="114300">
            <wp:extent cx="4358640" cy="5860415"/>
            <wp:effectExtent l="0" t="0" r="381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358640" cy="5860415"/>
                    </a:xfrm>
                    <a:prstGeom prst="rect">
                      <a:avLst/>
                    </a:prstGeom>
                    <a:noFill/>
                    <a:ln>
                      <a:noFill/>
                    </a:ln>
                  </pic:spPr>
                </pic:pic>
              </a:graphicData>
            </a:graphic>
          </wp:inline>
        </w:drawing>
      </w:r>
    </w:p>
    <w:p w14:paraId="02573C67">
      <w:pPr>
        <w:pStyle w:val="2"/>
        <w:numPr>
          <w:ilvl w:val="0"/>
          <w:numId w:val="13"/>
        </w:numPr>
        <w:bidi w:val="0"/>
        <w:ind w:left="0" w:leftChars="0" w:firstLine="480" w:firstLineChars="200"/>
        <w:rPr>
          <w:rFonts w:hint="default" w:ascii="Times New Roman" w:hAnsi="Times New Roman" w:cs="Times New Roman"/>
          <w:b w:val="0"/>
          <w:bCs w:val="0"/>
          <w:lang w:val="en-US" w:eastAsia="zh-CN"/>
        </w:rPr>
      </w:pPr>
      <w:bookmarkStart w:id="30" w:name="_Toc32659"/>
      <w:r>
        <w:rPr>
          <w:rFonts w:hint="default" w:ascii="Times New Roman" w:hAnsi="Times New Roman" w:cs="Times New Roman"/>
          <w:b w:val="0"/>
          <w:bCs w:val="0"/>
          <w:lang w:val="en-US" w:eastAsia="zh-CN"/>
        </w:rPr>
        <w:t>安全管理人员和作业人员数量要求</w:t>
      </w:r>
      <w:bookmarkEnd w:id="30"/>
    </w:p>
    <w:p w14:paraId="6B2F8A37">
      <w:pPr>
        <w:bidi w:val="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山东省地方标准《特种设备作业人员配备要求》（DB37/T 3080—2022）规定，相关人员应满足以下要求：</w:t>
      </w:r>
    </w:p>
    <w:p w14:paraId="71A4EAA7">
      <w:pPr>
        <w:bidi w:val="0"/>
        <w:rPr>
          <w:rFonts w:hint="default" w:ascii="Times New Roman" w:hAnsi="Times New Roman" w:cs="Times New Roman"/>
          <w:b w:val="0"/>
          <w:bCs w:val="0"/>
        </w:rPr>
      </w:pPr>
      <w:r>
        <w:rPr>
          <w:rFonts w:hint="eastAsia" w:cs="Times New Roman"/>
          <w:b w:val="0"/>
          <w:bCs w:val="0"/>
          <w:lang w:val="en-US" w:eastAsia="zh-CN"/>
        </w:rPr>
        <w:t>注意：由于《特种设备使用管理规则》修订后，</w:t>
      </w:r>
      <w:r>
        <w:rPr>
          <w:rFonts w:hint="default" w:ascii="Times New Roman" w:hAnsi="Times New Roman" w:cs="Times New Roman"/>
          <w:b w:val="0"/>
          <w:bCs w:val="0"/>
          <w:lang w:val="en-US" w:eastAsia="zh-CN"/>
        </w:rPr>
        <w:t>《特种设备作业人员配备要求》（DB37/T 3080—2022）</w:t>
      </w:r>
      <w:r>
        <w:rPr>
          <w:rFonts w:hint="eastAsia" w:cs="Times New Roman"/>
          <w:b w:val="0"/>
          <w:bCs w:val="0"/>
          <w:lang w:val="en-US" w:eastAsia="zh-CN"/>
        </w:rPr>
        <w:t>尚未跟进修订，表中的</w:t>
      </w:r>
      <w:r>
        <w:rPr>
          <w:rFonts w:hint="eastAsia" w:cs="Times New Roman"/>
          <w:b w:val="0"/>
          <w:bCs w:val="0"/>
          <w:color w:val="FF0000"/>
          <w:lang w:val="en-US" w:eastAsia="zh-CN"/>
        </w:rPr>
        <w:t>特种设备安全管理负责人对应现在的特种设备安全总监，特种设备安全管理员对应现在的特种设备安全员</w:t>
      </w:r>
      <w:r>
        <w:rPr>
          <w:rFonts w:hint="eastAsia" w:cs="Times New Roman"/>
          <w:b w:val="0"/>
          <w:bCs w:val="0"/>
          <w:lang w:val="en-US" w:eastAsia="zh-CN"/>
        </w:rPr>
        <w:t>。</w:t>
      </w:r>
    </w:p>
    <w:p w14:paraId="4C75B4F0">
      <w:pPr>
        <w:keepNext w:val="0"/>
        <w:keepLines w:val="0"/>
        <w:pageBreakBefore w:val="0"/>
        <w:widowControl w:val="0"/>
        <w:kinsoku/>
        <w:wordWrap/>
        <w:overflowPunct/>
        <w:topLinePunct w:val="0"/>
        <w:autoSpaceDE/>
        <w:autoSpaceDN/>
        <w:bidi w:val="0"/>
        <w:adjustRightInd/>
        <w:snapToGrid/>
        <w:spacing w:line="240" w:lineRule="auto"/>
        <w:ind w:left="-3" w:leftChars="0" w:hanging="3"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rPr>
        <w:drawing>
          <wp:inline distT="0" distB="0" distL="114300" distR="114300">
            <wp:extent cx="5324475" cy="4263390"/>
            <wp:effectExtent l="0" t="0" r="952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324475" cy="4263390"/>
                    </a:xfrm>
                    <a:prstGeom prst="rect">
                      <a:avLst/>
                    </a:prstGeom>
                    <a:noFill/>
                    <a:ln>
                      <a:noFill/>
                    </a:ln>
                  </pic:spPr>
                </pic:pic>
              </a:graphicData>
            </a:graphic>
          </wp:inline>
        </w:drawing>
      </w:r>
      <w:r>
        <w:rPr>
          <w:rFonts w:hint="default" w:ascii="Times New Roman" w:hAnsi="Times New Roman" w:cs="Times New Roman"/>
          <w:b w:val="0"/>
          <w:bCs w:val="0"/>
        </w:rPr>
        <w:drawing>
          <wp:inline distT="0" distB="0" distL="114300" distR="114300">
            <wp:extent cx="5331460" cy="3548380"/>
            <wp:effectExtent l="0" t="0" r="2540" b="139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rcRect b="42126"/>
                    <a:stretch>
                      <a:fillRect/>
                    </a:stretch>
                  </pic:blipFill>
                  <pic:spPr>
                    <a:xfrm>
                      <a:off x="0" y="0"/>
                      <a:ext cx="5331460" cy="3548380"/>
                    </a:xfrm>
                    <a:prstGeom prst="rect">
                      <a:avLst/>
                    </a:prstGeom>
                    <a:noFill/>
                    <a:ln>
                      <a:noFill/>
                    </a:ln>
                  </pic:spPr>
                </pic:pic>
              </a:graphicData>
            </a:graphic>
          </wp:inline>
        </w:drawing>
      </w:r>
      <w:r>
        <w:rPr>
          <w:rFonts w:hint="default" w:ascii="Times New Roman" w:hAnsi="Times New Roman" w:cs="Times New Roman"/>
          <w:b w:val="0"/>
          <w:bCs w:val="0"/>
        </w:rPr>
        <w:drawing>
          <wp:inline distT="0" distB="0" distL="114300" distR="114300">
            <wp:extent cx="5337810" cy="2353945"/>
            <wp:effectExtent l="0" t="0" r="15240" b="825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0"/>
                    <a:srcRect t="61665"/>
                    <a:stretch>
                      <a:fillRect/>
                    </a:stretch>
                  </pic:blipFill>
                  <pic:spPr>
                    <a:xfrm>
                      <a:off x="0" y="0"/>
                      <a:ext cx="5337810" cy="2353945"/>
                    </a:xfrm>
                    <a:prstGeom prst="rect">
                      <a:avLst/>
                    </a:prstGeom>
                    <a:noFill/>
                    <a:ln>
                      <a:noFill/>
                    </a:ln>
                  </pic:spPr>
                </pic:pic>
              </a:graphicData>
            </a:graphic>
          </wp:inline>
        </w:drawing>
      </w:r>
      <w:r>
        <w:rPr>
          <w:rFonts w:hint="default" w:ascii="Times New Roman" w:hAnsi="Times New Roman" w:cs="Times New Roman"/>
          <w:b w:val="0"/>
          <w:bCs w:val="0"/>
        </w:rPr>
        <w:drawing>
          <wp:inline distT="0" distB="0" distL="114300" distR="114300">
            <wp:extent cx="5320030" cy="5431155"/>
            <wp:effectExtent l="0" t="0" r="13970" b="171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rcRect b="19581"/>
                    <a:stretch>
                      <a:fillRect/>
                    </a:stretch>
                  </pic:blipFill>
                  <pic:spPr>
                    <a:xfrm>
                      <a:off x="0" y="0"/>
                      <a:ext cx="5320030" cy="5431155"/>
                    </a:xfrm>
                    <a:prstGeom prst="rect">
                      <a:avLst/>
                    </a:prstGeom>
                    <a:noFill/>
                    <a:ln>
                      <a:noFill/>
                    </a:ln>
                  </pic:spPr>
                </pic:pic>
              </a:graphicData>
            </a:graphic>
          </wp:inline>
        </w:drawing>
      </w:r>
      <w:r>
        <w:rPr>
          <w:rFonts w:hint="default" w:ascii="Times New Roman" w:hAnsi="Times New Roman" w:cs="Times New Roman"/>
          <w:b w:val="0"/>
          <w:bCs w:val="0"/>
        </w:rPr>
        <w:drawing>
          <wp:inline distT="0" distB="0" distL="114300" distR="114300">
            <wp:extent cx="5333365" cy="121602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rcRect t="81833"/>
                    <a:stretch>
                      <a:fillRect/>
                    </a:stretch>
                  </pic:blipFill>
                  <pic:spPr>
                    <a:xfrm>
                      <a:off x="0" y="0"/>
                      <a:ext cx="5333365" cy="1216025"/>
                    </a:xfrm>
                    <a:prstGeom prst="rect">
                      <a:avLst/>
                    </a:prstGeom>
                    <a:noFill/>
                    <a:ln>
                      <a:noFill/>
                    </a:ln>
                  </pic:spPr>
                </pic:pic>
              </a:graphicData>
            </a:graphic>
          </wp:inline>
        </w:drawing>
      </w:r>
    </w:p>
    <w:p w14:paraId="0E9484D2">
      <w:pPr>
        <w:pStyle w:val="2"/>
        <w:numPr>
          <w:ilvl w:val="0"/>
          <w:numId w:val="13"/>
        </w:numPr>
        <w:bidi w:val="0"/>
        <w:ind w:left="0" w:leftChars="0" w:firstLine="480" w:firstLineChars="200"/>
        <w:rPr>
          <w:rFonts w:hint="default" w:ascii="Times New Roman" w:hAnsi="Times New Roman" w:cs="Times New Roman"/>
          <w:b w:val="0"/>
          <w:bCs w:val="0"/>
          <w:lang w:val="en-US" w:eastAsia="zh-CN"/>
        </w:rPr>
      </w:pPr>
      <w:bookmarkStart w:id="31" w:name="_Toc153"/>
      <w:r>
        <w:rPr>
          <w:rFonts w:hint="default" w:ascii="Times New Roman" w:hAnsi="Times New Roman" w:cs="Times New Roman"/>
          <w:b w:val="0"/>
          <w:bCs w:val="0"/>
          <w:lang w:val="en-US" w:eastAsia="zh-CN"/>
        </w:rPr>
        <w:t>安全管理和作业人员管理台账</w:t>
      </w:r>
      <w:bookmarkEnd w:id="31"/>
    </w:p>
    <w:p w14:paraId="43782B5F">
      <w:pPr>
        <w:keepNext w:val="0"/>
        <w:keepLines w:val="0"/>
        <w:pageBreakBefore w:val="0"/>
        <w:widowControl w:val="0"/>
        <w:kinsoku/>
        <w:wordWrap/>
        <w:overflowPunct/>
        <w:topLinePunct w:val="0"/>
        <w:autoSpaceDE/>
        <w:autoSpaceDN/>
        <w:bidi w:val="0"/>
        <w:adjustRightInd/>
        <w:snapToGrid/>
        <w:spacing w:after="157" w:afterLines="50"/>
        <w:ind w:left="0" w:leftChars="0" w:firstLine="0" w:firstLineChars="0"/>
        <w:jc w:val="center"/>
        <w:textAlignment w:val="auto"/>
        <w:rPr>
          <w:rFonts w:hint="default"/>
          <w:lang w:val="en-US" w:eastAsia="zh-CN"/>
        </w:rPr>
      </w:pPr>
      <w:r>
        <w:rPr>
          <w:rFonts w:hint="default"/>
          <w:lang w:val="en-US" w:eastAsia="zh-CN"/>
        </w:rPr>
        <w:t>XX公司特种设备作业人员持证情况台账</w:t>
      </w:r>
    </w:p>
    <w:tbl>
      <w:tblPr>
        <w:tblStyle w:val="17"/>
        <w:tblW w:w="9917" w:type="dxa"/>
        <w:tblInd w:w="-7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65"/>
        <w:gridCol w:w="527"/>
        <w:gridCol w:w="1695"/>
        <w:gridCol w:w="1125"/>
        <w:gridCol w:w="1170"/>
        <w:gridCol w:w="1740"/>
        <w:gridCol w:w="1080"/>
        <w:gridCol w:w="1035"/>
      </w:tblGrid>
      <w:tr w14:paraId="21D0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vAlign w:val="center"/>
          </w:tcPr>
          <w:p w14:paraId="1A039E7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序号</w:t>
            </w:r>
          </w:p>
        </w:tc>
        <w:tc>
          <w:tcPr>
            <w:tcW w:w="1065" w:type="dxa"/>
            <w:vAlign w:val="center"/>
          </w:tcPr>
          <w:p w14:paraId="3EF05C47">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姓名</w:t>
            </w:r>
          </w:p>
        </w:tc>
        <w:tc>
          <w:tcPr>
            <w:tcW w:w="527" w:type="dxa"/>
            <w:vAlign w:val="center"/>
          </w:tcPr>
          <w:p w14:paraId="6691D8C7">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性别</w:t>
            </w:r>
          </w:p>
        </w:tc>
        <w:tc>
          <w:tcPr>
            <w:tcW w:w="1695" w:type="dxa"/>
            <w:vAlign w:val="center"/>
          </w:tcPr>
          <w:p w14:paraId="70803BA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证件编号</w:t>
            </w:r>
          </w:p>
        </w:tc>
        <w:tc>
          <w:tcPr>
            <w:tcW w:w="1125" w:type="dxa"/>
            <w:vAlign w:val="center"/>
          </w:tcPr>
          <w:p w14:paraId="799F3A0B">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持证项目（代号）</w:t>
            </w:r>
          </w:p>
        </w:tc>
        <w:tc>
          <w:tcPr>
            <w:tcW w:w="1170" w:type="dxa"/>
            <w:vAlign w:val="center"/>
          </w:tcPr>
          <w:p w14:paraId="300F9A7E">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岗位</w:t>
            </w:r>
          </w:p>
        </w:tc>
        <w:tc>
          <w:tcPr>
            <w:tcW w:w="1740" w:type="dxa"/>
            <w:vAlign w:val="center"/>
          </w:tcPr>
          <w:p w14:paraId="5730C27D">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发证机关</w:t>
            </w:r>
          </w:p>
        </w:tc>
        <w:tc>
          <w:tcPr>
            <w:tcW w:w="1080" w:type="dxa"/>
            <w:vAlign w:val="center"/>
          </w:tcPr>
          <w:p w14:paraId="6CB531AF">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取证</w:t>
            </w:r>
          </w:p>
          <w:p w14:paraId="5E9FEF5A">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日期</w:t>
            </w:r>
          </w:p>
        </w:tc>
        <w:tc>
          <w:tcPr>
            <w:tcW w:w="1035" w:type="dxa"/>
            <w:vAlign w:val="center"/>
          </w:tcPr>
          <w:p w14:paraId="6811B1AA">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有效</w:t>
            </w:r>
          </w:p>
          <w:p w14:paraId="6D51D8B9">
            <w:pPr>
              <w:keepNext w:val="0"/>
              <w:keepLines w:val="0"/>
              <w:pageBreakBefore w:val="0"/>
              <w:widowControl w:val="0"/>
              <w:kinsoku/>
              <w:wordWrap/>
              <w:overflowPunct/>
              <w:topLinePunct w:val="0"/>
              <w:autoSpaceDE/>
              <w:autoSpaceDN/>
              <w:bidi w:val="0"/>
              <w:adjustRightInd/>
              <w:snapToGrid/>
              <w:spacing w:line="20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default" w:ascii="Times New Roman" w:hAnsi="Times New Roman" w:eastAsia="方正楷体简体" w:cs="Times New Roman"/>
                <w:b w:val="0"/>
                <w:bCs w:val="0"/>
                <w:color w:val="auto"/>
                <w:sz w:val="21"/>
                <w:szCs w:val="21"/>
                <w:vertAlign w:val="baseline"/>
                <w:lang w:val="en-US" w:eastAsia="zh-CN"/>
              </w:rPr>
              <w:t>日期</w:t>
            </w:r>
          </w:p>
        </w:tc>
      </w:tr>
      <w:tr w14:paraId="218D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2A03F4D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eastAsia" w:ascii="Times New Roman" w:hAnsi="Times New Roman" w:eastAsia="方正楷体简体" w:cs="Times New Roman"/>
                <w:b w:val="0"/>
                <w:bCs w:val="0"/>
                <w:color w:val="auto"/>
                <w:sz w:val="21"/>
                <w:szCs w:val="21"/>
                <w:vertAlign w:val="baseline"/>
                <w:lang w:val="en-US" w:eastAsia="zh-CN"/>
              </w:rPr>
              <w:t>1</w:t>
            </w:r>
          </w:p>
        </w:tc>
        <w:tc>
          <w:tcPr>
            <w:tcW w:w="1065" w:type="dxa"/>
            <w:vAlign w:val="center"/>
          </w:tcPr>
          <w:p w14:paraId="4150E0B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527" w:type="dxa"/>
            <w:vAlign w:val="center"/>
          </w:tcPr>
          <w:p w14:paraId="48CDE97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695" w:type="dxa"/>
            <w:vAlign w:val="center"/>
          </w:tcPr>
          <w:p w14:paraId="79E2094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3E41035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70" w:type="dxa"/>
            <w:vAlign w:val="center"/>
          </w:tcPr>
          <w:p w14:paraId="3C6F6A5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740" w:type="dxa"/>
            <w:vAlign w:val="center"/>
          </w:tcPr>
          <w:p w14:paraId="0BA2252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7DCFBD5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35" w:type="dxa"/>
            <w:vAlign w:val="center"/>
          </w:tcPr>
          <w:p w14:paraId="49549A6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33D9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7CBC21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eastAsia" w:ascii="Times New Roman" w:hAnsi="Times New Roman" w:eastAsia="方正楷体简体" w:cs="Times New Roman"/>
                <w:b w:val="0"/>
                <w:bCs w:val="0"/>
                <w:color w:val="auto"/>
                <w:sz w:val="21"/>
                <w:szCs w:val="21"/>
                <w:vertAlign w:val="baseline"/>
                <w:lang w:val="en-US" w:eastAsia="zh-CN"/>
              </w:rPr>
              <w:t>2</w:t>
            </w:r>
          </w:p>
        </w:tc>
        <w:tc>
          <w:tcPr>
            <w:tcW w:w="1065" w:type="dxa"/>
            <w:vAlign w:val="center"/>
          </w:tcPr>
          <w:p w14:paraId="30788D9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527" w:type="dxa"/>
            <w:vAlign w:val="center"/>
          </w:tcPr>
          <w:p w14:paraId="7E3D64F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695" w:type="dxa"/>
            <w:vAlign w:val="center"/>
          </w:tcPr>
          <w:p w14:paraId="249FCCE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21A1713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70" w:type="dxa"/>
            <w:vAlign w:val="center"/>
          </w:tcPr>
          <w:p w14:paraId="7AAE9EF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740" w:type="dxa"/>
            <w:vAlign w:val="center"/>
          </w:tcPr>
          <w:p w14:paraId="7301627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56C88E4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35" w:type="dxa"/>
            <w:vAlign w:val="center"/>
          </w:tcPr>
          <w:p w14:paraId="2CFF529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13BD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A1BA79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eastAsia" w:ascii="Times New Roman" w:hAnsi="Times New Roman" w:eastAsia="方正楷体简体" w:cs="Times New Roman"/>
                <w:b w:val="0"/>
                <w:bCs w:val="0"/>
                <w:color w:val="auto"/>
                <w:sz w:val="21"/>
                <w:szCs w:val="21"/>
                <w:vertAlign w:val="baseline"/>
                <w:lang w:val="en-US" w:eastAsia="zh-CN"/>
              </w:rPr>
              <w:t>3</w:t>
            </w:r>
          </w:p>
        </w:tc>
        <w:tc>
          <w:tcPr>
            <w:tcW w:w="1065" w:type="dxa"/>
            <w:vAlign w:val="center"/>
          </w:tcPr>
          <w:p w14:paraId="114F443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527" w:type="dxa"/>
            <w:vAlign w:val="center"/>
          </w:tcPr>
          <w:p w14:paraId="5074B6B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695" w:type="dxa"/>
            <w:vAlign w:val="center"/>
          </w:tcPr>
          <w:p w14:paraId="5D37A45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5F72405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70" w:type="dxa"/>
            <w:vAlign w:val="center"/>
          </w:tcPr>
          <w:p w14:paraId="6C612C5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740" w:type="dxa"/>
            <w:vAlign w:val="center"/>
          </w:tcPr>
          <w:p w14:paraId="67C2108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260A726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35" w:type="dxa"/>
            <w:vAlign w:val="center"/>
          </w:tcPr>
          <w:p w14:paraId="7756757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4A0C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67F656E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r>
              <w:rPr>
                <w:rFonts w:hint="eastAsia" w:eastAsia="方正楷体简体" w:cs="Times New Roman"/>
                <w:b w:val="0"/>
                <w:bCs w:val="0"/>
                <w:color w:val="auto"/>
                <w:sz w:val="21"/>
                <w:szCs w:val="21"/>
                <w:vertAlign w:val="baseline"/>
                <w:lang w:val="en-US" w:eastAsia="zh-CN"/>
              </w:rPr>
              <w:t>...</w:t>
            </w:r>
          </w:p>
        </w:tc>
        <w:tc>
          <w:tcPr>
            <w:tcW w:w="1065" w:type="dxa"/>
            <w:vAlign w:val="center"/>
          </w:tcPr>
          <w:p w14:paraId="73D137A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527" w:type="dxa"/>
            <w:vAlign w:val="center"/>
          </w:tcPr>
          <w:p w14:paraId="0D13F1E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695" w:type="dxa"/>
            <w:vAlign w:val="center"/>
          </w:tcPr>
          <w:p w14:paraId="5878A8D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4F1B36E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70" w:type="dxa"/>
            <w:vAlign w:val="center"/>
          </w:tcPr>
          <w:p w14:paraId="75DCB42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740" w:type="dxa"/>
            <w:vAlign w:val="center"/>
          </w:tcPr>
          <w:p w14:paraId="0FF38C1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2A2A3C8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35" w:type="dxa"/>
            <w:vAlign w:val="center"/>
          </w:tcPr>
          <w:p w14:paraId="668722A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37B0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1A12D16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61DA68E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527" w:type="dxa"/>
            <w:vAlign w:val="center"/>
          </w:tcPr>
          <w:p w14:paraId="6729466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695" w:type="dxa"/>
            <w:vAlign w:val="center"/>
          </w:tcPr>
          <w:p w14:paraId="1F7F01A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54DFBCD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70" w:type="dxa"/>
            <w:vAlign w:val="center"/>
          </w:tcPr>
          <w:p w14:paraId="43C04F9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740" w:type="dxa"/>
            <w:vAlign w:val="center"/>
          </w:tcPr>
          <w:p w14:paraId="69345B1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1682E1E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35" w:type="dxa"/>
            <w:vAlign w:val="center"/>
          </w:tcPr>
          <w:p w14:paraId="6EC9BEA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r w14:paraId="4AFC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 w:type="dxa"/>
            <w:vAlign w:val="center"/>
          </w:tcPr>
          <w:p w14:paraId="3FA7A64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65" w:type="dxa"/>
            <w:vAlign w:val="center"/>
          </w:tcPr>
          <w:p w14:paraId="51ABD59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527" w:type="dxa"/>
            <w:vAlign w:val="center"/>
          </w:tcPr>
          <w:p w14:paraId="081C47F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695" w:type="dxa"/>
            <w:vAlign w:val="center"/>
          </w:tcPr>
          <w:p w14:paraId="12BCCDD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25" w:type="dxa"/>
            <w:vAlign w:val="center"/>
          </w:tcPr>
          <w:p w14:paraId="77532AE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170" w:type="dxa"/>
            <w:vAlign w:val="center"/>
          </w:tcPr>
          <w:p w14:paraId="1A08972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740" w:type="dxa"/>
            <w:vAlign w:val="center"/>
          </w:tcPr>
          <w:p w14:paraId="680D011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80" w:type="dxa"/>
            <w:vAlign w:val="center"/>
          </w:tcPr>
          <w:p w14:paraId="07F1E38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c>
          <w:tcPr>
            <w:tcW w:w="1035" w:type="dxa"/>
            <w:vAlign w:val="center"/>
          </w:tcPr>
          <w:p w14:paraId="67138DA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default" w:ascii="Times New Roman" w:hAnsi="Times New Roman" w:eastAsia="方正楷体简体" w:cs="Times New Roman"/>
                <w:b w:val="0"/>
                <w:bCs w:val="0"/>
                <w:color w:val="auto"/>
                <w:sz w:val="21"/>
                <w:szCs w:val="21"/>
                <w:vertAlign w:val="baseline"/>
                <w:lang w:val="en-US" w:eastAsia="zh-CN"/>
              </w:rPr>
            </w:pPr>
          </w:p>
        </w:tc>
      </w:tr>
    </w:tbl>
    <w:p w14:paraId="67AB1349">
      <w:pPr>
        <w:pStyle w:val="2"/>
        <w:numPr>
          <w:ilvl w:val="0"/>
          <w:numId w:val="13"/>
        </w:numPr>
        <w:bidi w:val="0"/>
        <w:rPr>
          <w:rFonts w:hint="default" w:ascii="Times New Roman" w:hAnsi="Times New Roman" w:cs="Times New Roman"/>
          <w:b w:val="0"/>
          <w:bCs w:val="0"/>
          <w:lang w:val="en-US" w:eastAsia="zh-CN"/>
        </w:rPr>
      </w:pPr>
      <w:bookmarkStart w:id="32" w:name="_Toc19641"/>
      <w:r>
        <w:rPr>
          <w:rFonts w:hint="default" w:ascii="Times New Roman" w:hAnsi="Times New Roman" w:cs="Times New Roman"/>
          <w:b w:val="0"/>
          <w:bCs w:val="0"/>
          <w:lang w:val="en-US" w:eastAsia="zh-CN"/>
        </w:rPr>
        <w:t>安全管理和作业人员证书管理</w:t>
      </w:r>
      <w:bookmarkEnd w:id="32"/>
    </w:p>
    <w:p w14:paraId="5670CD82">
      <w:pPr>
        <w:bidi w:val="0"/>
        <w:rPr>
          <w:rFonts w:hint="default"/>
          <w:lang w:val="en-US" w:eastAsia="zh-CN"/>
        </w:rPr>
      </w:pPr>
      <w:r>
        <w:rPr>
          <w:rFonts w:hint="default"/>
          <w:lang w:val="en-US" w:eastAsia="zh-CN"/>
        </w:rPr>
        <w:t>《特种设备安全管理和作业人员证》每4年复审一次，持证人员必须在复审期届满3个月前向发证部门提出申请。超期未复审应重新取证。</w:t>
      </w:r>
    </w:p>
    <w:p w14:paraId="07B27737">
      <w:pPr>
        <w:bidi w:val="0"/>
        <w:rPr>
          <w:rFonts w:hint="default"/>
          <w:color w:val="FF0000"/>
          <w:lang w:val="en-US" w:eastAsia="zh-CN"/>
        </w:rPr>
      </w:pPr>
      <w:r>
        <w:rPr>
          <w:rFonts w:hint="default"/>
          <w:color w:val="FF0000"/>
          <w:lang w:val="en-US" w:eastAsia="zh-CN"/>
        </w:rPr>
        <w:t>使用单位应在员工的特种设备安全管理和作业人员证上填写作业项目、聘用起止日期并加盖单位公章。</w:t>
      </w:r>
    </w:p>
    <w:p w14:paraId="6CAAD598">
      <w:pPr>
        <w:bidi w:val="0"/>
        <w:rPr>
          <w:rFonts w:hint="default"/>
          <w:color w:val="FF0000"/>
          <w:lang w:val="en-US" w:eastAsia="zh-CN"/>
        </w:rPr>
      </w:pPr>
      <w:r>
        <w:rPr>
          <w:rFonts w:hint="default"/>
          <w:color w:val="FF0000"/>
          <w:lang w:val="en-US" w:eastAsia="zh-CN"/>
        </w:rPr>
        <w:t>申请</w:t>
      </w:r>
      <w:r>
        <w:rPr>
          <w:rFonts w:hint="eastAsia"/>
          <w:color w:val="FF0000"/>
          <w:lang w:val="en-US" w:eastAsia="zh-CN"/>
        </w:rPr>
        <w:t>特种设备</w:t>
      </w:r>
      <w:r>
        <w:rPr>
          <w:rFonts w:hint="default"/>
          <w:color w:val="FF0000"/>
          <w:lang w:val="en-US" w:eastAsia="zh-CN"/>
        </w:rPr>
        <w:t>安全管理和作业人员证见本《手册》第十</w:t>
      </w:r>
      <w:r>
        <w:rPr>
          <w:rFonts w:hint="eastAsia"/>
          <w:color w:val="FF0000"/>
          <w:lang w:val="en-US" w:eastAsia="zh-CN"/>
        </w:rPr>
        <w:t>三</w:t>
      </w:r>
      <w:r>
        <w:rPr>
          <w:rFonts w:hint="default"/>
          <w:color w:val="FF0000"/>
          <w:lang w:val="en-US" w:eastAsia="zh-CN"/>
        </w:rPr>
        <w:t>章“使用单位办事指南”。</w:t>
      </w:r>
    </w:p>
    <w:p w14:paraId="7A021280">
      <w:pPr>
        <w:pStyle w:val="2"/>
        <w:numPr>
          <w:ilvl w:val="0"/>
          <w:numId w:val="13"/>
        </w:numPr>
        <w:bidi w:val="0"/>
        <w:rPr>
          <w:rFonts w:hint="default" w:ascii="Times New Roman" w:hAnsi="Times New Roman" w:cs="Times New Roman"/>
          <w:b w:val="0"/>
          <w:bCs w:val="0"/>
          <w:lang w:val="en-US" w:eastAsia="zh-CN"/>
        </w:rPr>
      </w:pPr>
      <w:bookmarkStart w:id="33" w:name="_Toc28465"/>
      <w:r>
        <w:rPr>
          <w:rFonts w:hint="default" w:ascii="Times New Roman" w:hAnsi="Times New Roman" w:cs="Times New Roman"/>
          <w:b w:val="0"/>
          <w:bCs w:val="0"/>
          <w:lang w:val="en-US" w:eastAsia="zh-CN"/>
        </w:rPr>
        <w:t>安全管理和作业人员培训考核</w:t>
      </w:r>
      <w:bookmarkEnd w:id="33"/>
    </w:p>
    <w:p w14:paraId="78B69ABB">
      <w:pPr>
        <w:bidi w:val="0"/>
        <w:rPr>
          <w:rFonts w:hint="default"/>
          <w:lang w:val="en-US" w:eastAsia="zh-CN"/>
        </w:rPr>
      </w:pPr>
      <w:r>
        <w:rPr>
          <w:rFonts w:hint="default"/>
          <w:lang w:val="en-US" w:eastAsia="zh-CN"/>
        </w:rPr>
        <w:t>使用单位应于每年年初制定特种设备年度教育培训计划（可结合企业整体教育培训计划制定），按计划开展教育培训和考核。培训对象为本单位所有特种设备从业人员，既包括持证的，也包括不需要持证的。</w:t>
      </w:r>
    </w:p>
    <w:p w14:paraId="73385032">
      <w:pPr>
        <w:bidi w:val="0"/>
        <w:rPr>
          <w:rFonts w:hint="default" w:ascii="Times New Roman" w:hAnsi="Times New Roman" w:cs="Times New Roman"/>
          <w:b w:val="0"/>
          <w:bCs w:val="0"/>
          <w:lang w:val="en-US" w:eastAsia="zh-CN"/>
        </w:rPr>
      </w:pPr>
      <w:r>
        <w:rPr>
          <w:rFonts w:hint="default"/>
          <w:lang w:val="en-US" w:eastAsia="zh-CN"/>
        </w:rPr>
        <w:t>应突出法律法规、安全管理制度、安全操作规程、安全风险管控清单、</w:t>
      </w:r>
      <w:r>
        <w:rPr>
          <w:rFonts w:hint="eastAsia"/>
          <w:lang w:val="en-US" w:eastAsia="zh-CN"/>
        </w:rPr>
        <w:t>特种设备</w:t>
      </w:r>
      <w:r>
        <w:rPr>
          <w:rFonts w:hint="default"/>
          <w:lang w:val="en-US" w:eastAsia="zh-CN"/>
        </w:rPr>
        <w:t>重大事故隐患判定标准、应急预案</w:t>
      </w:r>
      <w:r>
        <w:rPr>
          <w:rFonts w:hint="eastAsia"/>
          <w:lang w:val="en-US" w:eastAsia="zh-CN"/>
        </w:rPr>
        <w:t>和应急处置措施、</w:t>
      </w:r>
      <w:r>
        <w:rPr>
          <w:rFonts w:hint="default"/>
          <w:lang w:val="en-US" w:eastAsia="zh-CN"/>
        </w:rPr>
        <w:t>安全技术规程的培训。</w:t>
      </w:r>
      <w:r>
        <w:rPr>
          <w:rFonts w:hint="default"/>
          <w:lang w:val="en-US" w:eastAsia="zh-CN"/>
        </w:rPr>
        <w:br w:type="page"/>
      </w:r>
    </w:p>
    <w:p w14:paraId="7CC93806">
      <w:pPr>
        <w:pStyle w:val="3"/>
        <w:bidi w:val="0"/>
        <w:rPr>
          <w:rFonts w:hint="default" w:ascii="黑体" w:hAnsi="黑体" w:cs="黑体"/>
          <w:b w:val="0"/>
          <w:bCs w:val="0"/>
          <w:sz w:val="28"/>
          <w:szCs w:val="28"/>
          <w:lang w:val="en-US" w:eastAsia="zh-CN"/>
        </w:rPr>
      </w:pPr>
      <w:bookmarkStart w:id="34" w:name="_Toc21997"/>
      <w:r>
        <w:rPr>
          <w:rFonts w:hint="eastAsia" w:ascii="黑体" w:hAnsi="黑体" w:cs="黑体"/>
          <w:b w:val="0"/>
          <w:bCs w:val="0"/>
          <w:sz w:val="28"/>
          <w:szCs w:val="28"/>
          <w:lang w:val="en-US" w:eastAsia="zh-CN"/>
        </w:rPr>
        <w:t>八、</w:t>
      </w:r>
      <w:r>
        <w:rPr>
          <w:rFonts w:hint="default" w:ascii="黑体" w:hAnsi="黑体" w:cs="黑体"/>
          <w:b w:val="0"/>
          <w:bCs w:val="0"/>
          <w:sz w:val="28"/>
          <w:szCs w:val="28"/>
          <w:lang w:val="en-US" w:eastAsia="zh-CN"/>
        </w:rPr>
        <w:t>特种设备现场管理和隐患排查</w:t>
      </w:r>
      <w:bookmarkEnd w:id="34"/>
    </w:p>
    <w:p w14:paraId="083B2E56">
      <w:pPr>
        <w:pStyle w:val="2"/>
        <w:numPr>
          <w:ilvl w:val="0"/>
          <w:numId w:val="14"/>
        </w:numPr>
        <w:bidi w:val="0"/>
        <w:rPr>
          <w:rFonts w:hint="default" w:ascii="Times New Roman" w:hAnsi="Times New Roman" w:cs="Times New Roman"/>
          <w:b w:val="0"/>
          <w:bCs w:val="0"/>
          <w:lang w:val="en-US" w:eastAsia="zh-CN"/>
        </w:rPr>
      </w:pPr>
      <w:bookmarkStart w:id="35" w:name="_Toc20282"/>
      <w:r>
        <w:rPr>
          <w:rFonts w:hint="default" w:ascii="Times New Roman" w:hAnsi="Times New Roman" w:cs="Times New Roman"/>
          <w:b w:val="0"/>
          <w:bCs w:val="0"/>
          <w:lang w:val="en-US" w:eastAsia="zh-CN"/>
        </w:rPr>
        <w:t>固定特种设备使用标志</w:t>
      </w:r>
      <w:bookmarkEnd w:id="35"/>
    </w:p>
    <w:p w14:paraId="772E15D6">
      <w:pPr>
        <w:bidi w:val="0"/>
        <w:rPr>
          <w:rFonts w:hint="default"/>
          <w:lang w:val="en-US" w:eastAsia="zh-CN"/>
        </w:rPr>
      </w:pPr>
      <w:r>
        <w:rPr>
          <w:rFonts w:hint="default"/>
          <w:lang w:val="en-US" w:eastAsia="zh-CN"/>
        </w:rPr>
        <w:t>《特种设备安全法》第三十三条规定，使用单位应当在特种设备投入使用前或者投入使用后30日内办理使用登记，并将使用标志固定在特种设备的显著位置。整机出厂的一般应在投入使用前办理使用登记。</w:t>
      </w:r>
    </w:p>
    <w:p w14:paraId="5431ADB8">
      <w:pPr>
        <w:bidi w:val="0"/>
        <w:rPr>
          <w:rFonts w:hint="default"/>
          <w:color w:val="FF0000"/>
          <w:lang w:val="en-US" w:eastAsia="zh-CN"/>
        </w:rPr>
      </w:pPr>
      <w:r>
        <w:rPr>
          <w:rFonts w:hint="default"/>
          <w:color w:val="FF0000"/>
          <w:lang w:val="en-US" w:eastAsia="zh-CN"/>
        </w:rPr>
        <w:t>完成定期检验后，使用单位应及时将更新后的使用标志固定在特种设备的显著位置。</w:t>
      </w:r>
    </w:p>
    <w:p w14:paraId="1B848AE1">
      <w:pPr>
        <w:bidi w:val="0"/>
        <w:rPr>
          <w:rFonts w:hint="default"/>
          <w:lang w:val="en-US" w:eastAsia="zh-CN"/>
        </w:rPr>
      </w:pPr>
      <w:r>
        <w:rPr>
          <w:rFonts w:hint="default"/>
          <w:lang w:val="en-US" w:eastAsia="zh-CN"/>
        </w:rPr>
        <w:t>D级锅炉、简单压力容器、长输管道、公用管道等相关安全技术规范规定不需要办理使用登记的除外。</w:t>
      </w:r>
    </w:p>
    <w:p w14:paraId="47C2D5C2">
      <w:pPr>
        <w:pStyle w:val="2"/>
        <w:numPr>
          <w:ilvl w:val="0"/>
          <w:numId w:val="14"/>
        </w:numPr>
        <w:bidi w:val="0"/>
        <w:ind w:left="0" w:leftChars="0" w:firstLine="480" w:firstLineChars="200"/>
        <w:rPr>
          <w:rFonts w:hint="default" w:ascii="Times New Roman" w:hAnsi="Times New Roman" w:cs="Times New Roman"/>
          <w:b w:val="0"/>
          <w:bCs w:val="0"/>
          <w:lang w:val="en-US" w:eastAsia="zh-CN"/>
        </w:rPr>
      </w:pPr>
      <w:bookmarkStart w:id="36" w:name="_Toc21251"/>
      <w:r>
        <w:rPr>
          <w:rFonts w:hint="default" w:ascii="Times New Roman" w:hAnsi="Times New Roman" w:cs="Times New Roman"/>
          <w:b w:val="0"/>
          <w:bCs w:val="0"/>
          <w:lang w:val="en-US" w:eastAsia="zh-CN"/>
        </w:rPr>
        <w:t>特种设备及其安全附件定期检验</w:t>
      </w:r>
      <w:bookmarkEnd w:id="36"/>
    </w:p>
    <w:p w14:paraId="05A65DC4">
      <w:pPr>
        <w:bidi w:val="0"/>
        <w:rPr>
          <w:rFonts w:hint="default"/>
          <w:lang w:val="en-US" w:eastAsia="zh-CN"/>
        </w:rPr>
      </w:pPr>
      <w:r>
        <w:rPr>
          <w:rFonts w:hint="default"/>
          <w:lang w:val="en-US" w:eastAsia="zh-CN"/>
        </w:rPr>
        <w:t>《特种设备安全法》第四十条规定，使用单位应在特种设备检验合格有效期届满前一个月向特种设备检验机构提出定期检验要求。未经定期检验或者检验不合格的特种设备不得继续使用。</w:t>
      </w:r>
    </w:p>
    <w:p w14:paraId="3AB5C957">
      <w:pPr>
        <w:bidi w:val="0"/>
        <w:rPr>
          <w:rFonts w:hint="default"/>
          <w:lang w:val="en-US" w:eastAsia="zh-CN"/>
        </w:rPr>
      </w:pPr>
      <w:r>
        <w:rPr>
          <w:rFonts w:hint="default"/>
          <w:lang w:val="en-US" w:eastAsia="zh-CN"/>
        </w:rPr>
        <w:t>长输管道、公用管道等检验周期较长的设备，使用单位应根据实际情况提前3~6个月报检。</w:t>
      </w:r>
    </w:p>
    <w:p w14:paraId="6B7B5245">
      <w:pPr>
        <w:bidi w:val="0"/>
        <w:rPr>
          <w:rFonts w:hint="default"/>
          <w:lang w:val="en-US" w:eastAsia="zh-CN"/>
        </w:rPr>
      </w:pPr>
      <w:r>
        <w:rPr>
          <w:rFonts w:hint="default"/>
          <w:lang w:val="en-US" w:eastAsia="zh-CN"/>
        </w:rPr>
        <w:t>《特种设备安全法》第三十九条规定，使用单位应对其使用特种设备安全附件和安全保护装置进行定期检验、检修。应在有效期届满前委托有资质的检验检测机构进行校验，不得使用超期未检的安全附件。</w:t>
      </w:r>
    </w:p>
    <w:p w14:paraId="64B2B5A5">
      <w:pPr>
        <w:bidi w:val="0"/>
        <w:rPr>
          <w:rFonts w:hint="default"/>
          <w:lang w:val="en-US" w:eastAsia="zh-CN"/>
        </w:rPr>
      </w:pPr>
      <w:r>
        <w:rPr>
          <w:rFonts w:hint="default"/>
          <w:lang w:val="en-US" w:eastAsia="zh-CN"/>
        </w:rPr>
        <w:t>特种设备及其安全附件定期检验报告</w:t>
      </w:r>
      <w:r>
        <w:rPr>
          <w:rFonts w:hint="eastAsia"/>
          <w:lang w:val="en-US" w:eastAsia="zh-CN"/>
        </w:rPr>
        <w:t>、定期检测报告</w:t>
      </w:r>
      <w:r>
        <w:rPr>
          <w:rFonts w:hint="default"/>
          <w:lang w:val="en-US" w:eastAsia="zh-CN"/>
        </w:rPr>
        <w:t>应存入相应设备的安全技术档案。</w:t>
      </w:r>
    </w:p>
    <w:p w14:paraId="760DD044">
      <w:pPr>
        <w:bidi w:val="0"/>
        <w:rPr>
          <w:rFonts w:hint="default"/>
          <w:lang w:val="en-US" w:eastAsia="zh-CN"/>
        </w:rPr>
      </w:pPr>
      <w:r>
        <w:rPr>
          <w:rFonts w:hint="eastAsia"/>
          <w:color w:val="FF0000"/>
          <w:lang w:val="en-US" w:eastAsia="zh-CN"/>
        </w:rPr>
        <w:t>压力表应在刻度盘上划出指示工作压力的红线，校验后应在其显著位置粘贴校验合格标签。</w:t>
      </w:r>
    </w:p>
    <w:p w14:paraId="4183F023">
      <w:pPr>
        <w:pStyle w:val="2"/>
        <w:numPr>
          <w:ilvl w:val="0"/>
          <w:numId w:val="14"/>
        </w:numPr>
        <w:bidi w:val="0"/>
        <w:ind w:left="0" w:leftChars="0" w:firstLine="480" w:firstLineChars="200"/>
        <w:rPr>
          <w:rFonts w:hint="default" w:ascii="Times New Roman" w:hAnsi="Times New Roman" w:cs="Times New Roman"/>
          <w:b w:val="0"/>
          <w:bCs w:val="0"/>
          <w:lang w:val="en-US" w:eastAsia="zh-CN"/>
        </w:rPr>
      </w:pPr>
      <w:bookmarkStart w:id="37" w:name="_Toc20490"/>
      <w:r>
        <w:rPr>
          <w:rFonts w:hint="default" w:ascii="Times New Roman" w:hAnsi="Times New Roman" w:cs="Times New Roman"/>
          <w:b w:val="0"/>
          <w:bCs w:val="0"/>
          <w:lang w:val="en-US" w:eastAsia="zh-CN"/>
        </w:rPr>
        <w:t>常见特种设备定期检验周期</w:t>
      </w:r>
      <w:bookmarkEnd w:id="37"/>
    </w:p>
    <w:p w14:paraId="758DB5D2">
      <w:pPr>
        <w:keepNext w:val="0"/>
        <w:keepLines w:val="0"/>
        <w:pageBreakBefore w:val="0"/>
        <w:widowControl w:val="0"/>
        <w:kinsoku/>
        <w:wordWrap/>
        <w:overflowPunct/>
        <w:topLinePunct w:val="0"/>
        <w:autoSpaceDE/>
        <w:autoSpaceDN/>
        <w:bidi w:val="0"/>
        <w:adjustRightInd/>
        <w:snapToGrid/>
        <w:spacing w:line="240" w:lineRule="auto"/>
        <w:ind w:left="2" w:leftChars="-200" w:hanging="482" w:hangingChars="201"/>
        <w:textAlignment w:val="auto"/>
        <w:rPr>
          <w:rFonts w:hint="default" w:ascii="Times New Roman" w:hAnsi="Times New Roman" w:cs="Times New Roman"/>
          <w:b w:val="0"/>
          <w:bCs w:val="0"/>
        </w:rPr>
      </w:pPr>
      <w:r>
        <w:rPr>
          <w:rFonts w:hint="default" w:ascii="Times New Roman" w:hAnsi="Times New Roman" w:cs="Times New Roman"/>
          <w:b w:val="0"/>
          <w:bCs w:val="0"/>
        </w:rPr>
        <w:drawing>
          <wp:inline distT="0" distB="0" distL="114300" distR="114300">
            <wp:extent cx="6334125" cy="7778115"/>
            <wp:effectExtent l="0" t="0" r="952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334125" cy="7778115"/>
                    </a:xfrm>
                    <a:prstGeom prst="rect">
                      <a:avLst/>
                    </a:prstGeom>
                    <a:noFill/>
                    <a:ln>
                      <a:noFill/>
                    </a:ln>
                  </pic:spPr>
                </pic:pic>
              </a:graphicData>
            </a:graphic>
          </wp:inline>
        </w:drawing>
      </w:r>
    </w:p>
    <w:p w14:paraId="292F1A5E">
      <w:pPr>
        <w:ind w:left="-480" w:leftChars="-200" w:firstLine="0" w:firstLineChars="0"/>
        <w:rPr>
          <w:rFonts w:hint="default" w:ascii="Times New Roman" w:hAnsi="Times New Roman" w:cs="Times New Roman"/>
          <w:b w:val="0"/>
          <w:bCs w:val="0"/>
        </w:rPr>
      </w:pPr>
      <w:r>
        <w:rPr>
          <w:rFonts w:hint="default" w:ascii="Times New Roman" w:hAnsi="Times New Roman" w:cs="Times New Roman"/>
          <w:b w:val="0"/>
          <w:bCs w:val="0"/>
        </w:rPr>
        <w:br w:type="page"/>
      </w:r>
    </w:p>
    <w:p w14:paraId="559DA5FC">
      <w:pPr>
        <w:keepNext w:val="0"/>
        <w:keepLines w:val="0"/>
        <w:pageBreakBefore w:val="0"/>
        <w:widowControl w:val="0"/>
        <w:kinsoku/>
        <w:wordWrap/>
        <w:overflowPunct/>
        <w:topLinePunct w:val="0"/>
        <w:autoSpaceDE/>
        <w:autoSpaceDN/>
        <w:bidi w:val="0"/>
        <w:adjustRightInd/>
        <w:snapToGrid/>
        <w:spacing w:line="240" w:lineRule="auto"/>
        <w:ind w:left="0" w:leftChars="-200" w:hanging="480" w:hanging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rPr>
        <w:drawing>
          <wp:inline distT="0" distB="0" distL="114300" distR="114300">
            <wp:extent cx="6328410" cy="8725535"/>
            <wp:effectExtent l="0" t="0" r="1524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6328410" cy="8725535"/>
                    </a:xfrm>
                    <a:prstGeom prst="rect">
                      <a:avLst/>
                    </a:prstGeom>
                    <a:noFill/>
                    <a:ln>
                      <a:noFill/>
                    </a:ln>
                  </pic:spPr>
                </pic:pic>
              </a:graphicData>
            </a:graphic>
          </wp:inline>
        </w:drawing>
      </w:r>
    </w:p>
    <w:p w14:paraId="1D44B70D">
      <w:pPr>
        <w:keepNext w:val="0"/>
        <w:keepLines w:val="0"/>
        <w:pageBreakBefore w:val="0"/>
        <w:widowControl w:val="0"/>
        <w:kinsoku/>
        <w:wordWrap/>
        <w:overflowPunct/>
        <w:topLinePunct w:val="0"/>
        <w:autoSpaceDE/>
        <w:autoSpaceDN/>
        <w:bidi w:val="0"/>
        <w:adjustRightInd/>
        <w:snapToGrid/>
        <w:spacing w:line="240" w:lineRule="auto"/>
        <w:ind w:left="0" w:leftChars="-200" w:hanging="480" w:hangingChars="200"/>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rPr>
        <w:drawing>
          <wp:inline distT="0" distB="0" distL="114300" distR="114300">
            <wp:extent cx="6319520" cy="8712200"/>
            <wp:effectExtent l="0" t="0" r="5080" b="1270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6319520" cy="8712200"/>
                    </a:xfrm>
                    <a:prstGeom prst="rect">
                      <a:avLst/>
                    </a:prstGeom>
                    <a:noFill/>
                    <a:ln>
                      <a:noFill/>
                    </a:ln>
                  </pic:spPr>
                </pic:pic>
              </a:graphicData>
            </a:graphic>
          </wp:inline>
        </w:drawing>
      </w:r>
      <w:r>
        <w:rPr>
          <w:rFonts w:hint="default" w:ascii="Times New Roman" w:hAnsi="Times New Roman" w:cs="Times New Roman"/>
          <w:b w:val="0"/>
          <w:bCs w:val="0"/>
          <w:lang w:val="en-US" w:eastAsia="zh-CN"/>
        </w:rPr>
        <w:br w:type="page"/>
      </w:r>
    </w:p>
    <w:p w14:paraId="03A065BD">
      <w:pPr>
        <w:pStyle w:val="2"/>
        <w:numPr>
          <w:ilvl w:val="0"/>
          <w:numId w:val="14"/>
        </w:numPr>
        <w:bidi w:val="0"/>
        <w:ind w:left="0" w:leftChars="0" w:firstLine="480" w:firstLineChars="200"/>
        <w:rPr>
          <w:rFonts w:hint="default" w:ascii="Times New Roman" w:hAnsi="Times New Roman" w:cs="Times New Roman"/>
          <w:b w:val="0"/>
          <w:bCs w:val="0"/>
          <w:lang w:val="en-US" w:eastAsia="zh-CN"/>
        </w:rPr>
      </w:pPr>
      <w:bookmarkStart w:id="38" w:name="_Toc31103"/>
      <w:r>
        <w:rPr>
          <w:rFonts w:hint="default" w:ascii="Times New Roman" w:hAnsi="Times New Roman" w:cs="Times New Roman"/>
          <w:b w:val="0"/>
          <w:bCs w:val="0"/>
          <w:lang w:val="en-US" w:eastAsia="zh-CN"/>
        </w:rPr>
        <w:t>特种设备维护保养和定期自行检查</w:t>
      </w:r>
      <w:bookmarkEnd w:id="38"/>
    </w:p>
    <w:p w14:paraId="15C05A2D">
      <w:pPr>
        <w:bidi w:val="0"/>
        <w:rPr>
          <w:rFonts w:hint="default"/>
          <w:lang w:val="en-US" w:eastAsia="zh-CN"/>
        </w:rPr>
      </w:pPr>
      <w:r>
        <w:rPr>
          <w:rFonts w:hint="default"/>
          <w:lang w:val="en-US" w:eastAsia="zh-CN"/>
        </w:rPr>
        <w:t>《特种设备使用管理规则》（TSG08-2026）3.4规定，使用单位应当根据特种设备特点和使用状况对特种设备进行经常性维护保养，维护保养应当符合有关安全技术规范和产品使用维护保养说明的要求。对发现的异常情况及时处理，并且做出记录，保证在用特种设备始终处于正常使用状态。法律对维护保养单位有专门资质要求的，使用单位应当选择具有相应资质的单位实施维护保养，并且对维护保养过程和结果进行监督确认。</w:t>
      </w:r>
    </w:p>
    <w:p w14:paraId="0ED50E61">
      <w:pPr>
        <w:bidi w:val="0"/>
        <w:rPr>
          <w:rFonts w:hint="default"/>
          <w:lang w:val="en-US" w:eastAsia="zh-CN"/>
        </w:rPr>
      </w:pPr>
      <w:r>
        <w:rPr>
          <w:rFonts w:hint="default"/>
          <w:lang w:val="en-US" w:eastAsia="zh-CN"/>
        </w:rPr>
        <w:t>《特种设备使用管理规则》（TSG08-2026）3.5规定，为保证特种设备的安全运行，特种设备使用单位应当根据所使用特种设备的类别、品种和特性进行定期自行检查。定期自行检查的时间、内容和要求应当符合有关安全技术规范的规定及产品使用维护保养说明的要求。</w:t>
      </w:r>
    </w:p>
    <w:p w14:paraId="539EB8DC">
      <w:pPr>
        <w:bidi w:val="0"/>
        <w:rPr>
          <w:rFonts w:hint="default"/>
          <w:color w:val="FF0000"/>
          <w:lang w:val="en-US" w:eastAsia="zh-CN"/>
        </w:rPr>
      </w:pPr>
      <w:r>
        <w:rPr>
          <w:rFonts w:hint="default"/>
          <w:color w:val="FF0000"/>
          <w:lang w:val="en-US" w:eastAsia="zh-CN"/>
        </w:rPr>
        <w:t>维护保养工作记录、自行检查工作记录应存入特种设备安全技术档案。</w:t>
      </w:r>
    </w:p>
    <w:p w14:paraId="4EE5D386">
      <w:pPr>
        <w:pStyle w:val="2"/>
        <w:numPr>
          <w:ilvl w:val="0"/>
          <w:numId w:val="14"/>
        </w:numPr>
        <w:bidi w:val="0"/>
        <w:ind w:left="0" w:leftChars="0" w:firstLine="480" w:firstLineChars="200"/>
        <w:rPr>
          <w:rFonts w:hint="default" w:ascii="Times New Roman" w:hAnsi="Times New Roman" w:cs="Times New Roman"/>
          <w:b w:val="0"/>
          <w:bCs w:val="0"/>
          <w:lang w:val="en-US" w:eastAsia="zh-CN"/>
        </w:rPr>
      </w:pPr>
      <w:bookmarkStart w:id="39" w:name="_Toc11895"/>
      <w:r>
        <w:rPr>
          <w:rFonts w:hint="default" w:ascii="Times New Roman" w:hAnsi="Times New Roman" w:cs="Times New Roman"/>
          <w:b w:val="0"/>
          <w:bCs w:val="0"/>
          <w:lang w:val="en-US" w:eastAsia="zh-CN"/>
        </w:rPr>
        <w:t>特种设备日常使用状况记录</w:t>
      </w:r>
      <w:bookmarkEnd w:id="39"/>
    </w:p>
    <w:p w14:paraId="4F914FB4">
      <w:pPr>
        <w:bidi w:val="0"/>
        <w:rPr>
          <w:rFonts w:hint="default"/>
          <w:lang w:val="en-US" w:eastAsia="zh-CN"/>
        </w:rPr>
      </w:pPr>
      <w:r>
        <w:rPr>
          <w:rFonts w:hint="default"/>
          <w:lang w:eastAsia="zh-CN"/>
        </w:rPr>
        <w:t>使用单位应如实记录特种设备日常使用状况，特别是</w:t>
      </w:r>
      <w:r>
        <w:rPr>
          <w:rFonts w:hint="default"/>
          <w:lang w:val="en-US" w:eastAsia="zh-CN"/>
        </w:rPr>
        <w:t>锅炉、压力容器、压力管道、大型游乐设施、客运索道等重点设备。</w:t>
      </w:r>
      <w:r>
        <w:rPr>
          <w:rFonts w:hint="default"/>
          <w:color w:val="FF0000"/>
          <w:lang w:val="en-US" w:eastAsia="zh-CN"/>
        </w:rPr>
        <w:t>相关工作记录应</w:t>
      </w:r>
      <w:r>
        <w:rPr>
          <w:rFonts w:hint="default"/>
          <w:color w:val="FF0000"/>
          <w:lang w:eastAsia="zh-CN"/>
        </w:rPr>
        <w:t>存入安全技术档案。</w:t>
      </w:r>
    </w:p>
    <w:p w14:paraId="73D341FC">
      <w:pPr>
        <w:pStyle w:val="2"/>
        <w:numPr>
          <w:ilvl w:val="0"/>
          <w:numId w:val="14"/>
        </w:numPr>
        <w:bidi w:val="0"/>
        <w:ind w:left="0" w:leftChars="0" w:firstLine="480" w:firstLineChars="200"/>
        <w:rPr>
          <w:rFonts w:hint="default" w:ascii="Times New Roman" w:hAnsi="Times New Roman" w:cs="Times New Roman"/>
          <w:b w:val="0"/>
          <w:bCs w:val="0"/>
          <w:lang w:val="en-US" w:eastAsia="zh-CN"/>
        </w:rPr>
      </w:pPr>
      <w:bookmarkStart w:id="40" w:name="_Toc696"/>
      <w:r>
        <w:rPr>
          <w:rFonts w:hint="default" w:ascii="Times New Roman" w:hAnsi="Times New Roman" w:cs="Times New Roman"/>
          <w:b w:val="0"/>
          <w:bCs w:val="0"/>
          <w:lang w:val="en-US" w:eastAsia="zh-CN"/>
        </w:rPr>
        <w:t>特种设备隐患排查和治理</w:t>
      </w:r>
      <w:bookmarkEnd w:id="40"/>
    </w:p>
    <w:p w14:paraId="68CD0A36">
      <w:pPr>
        <w:bidi w:val="0"/>
        <w:rPr>
          <w:rFonts w:hint="default"/>
          <w:lang w:val="en-US" w:eastAsia="zh-CN"/>
        </w:rPr>
      </w:pPr>
      <w:r>
        <w:rPr>
          <w:rFonts w:hint="default"/>
          <w:lang w:val="en-US" w:eastAsia="zh-CN"/>
        </w:rPr>
        <w:t>《特种设备使用管理规则》（TSG08-2026）3.7.2规定，特种设备使用单位</w:t>
      </w:r>
      <w:r>
        <w:rPr>
          <w:rFonts w:hint="default"/>
          <w:color w:val="FF0000"/>
          <w:lang w:val="en-US" w:eastAsia="zh-CN"/>
        </w:rPr>
        <w:t>安全总监</w:t>
      </w:r>
      <w:r>
        <w:rPr>
          <w:rFonts w:hint="default"/>
          <w:lang w:val="en-US" w:eastAsia="zh-CN"/>
        </w:rPr>
        <w:t>应当按照相关安全技术规范、本单位安全管理制度以及《特种设备安全风险管控清单》的要求，</w:t>
      </w:r>
      <w:r>
        <w:rPr>
          <w:rFonts w:hint="default"/>
          <w:color w:val="FF0000"/>
          <w:lang w:val="en-US" w:eastAsia="zh-CN"/>
        </w:rPr>
        <w:t>组织安全员、作业人员对投入使用的特种设备进行隐患排查、日常巡检，形成工作记录</w:t>
      </w:r>
      <w:r>
        <w:rPr>
          <w:rFonts w:hint="default"/>
          <w:lang w:val="en-US" w:eastAsia="zh-CN"/>
        </w:rPr>
        <w:t>。安全员、作业人员对发现的安全风险隐患，应当立即采取防范措施并且及时上报安全总监或者单位主要负责人。特种设备使用单位</w:t>
      </w:r>
      <w:r>
        <w:rPr>
          <w:rFonts w:hint="default"/>
          <w:color w:val="FF0000"/>
          <w:lang w:val="en-US" w:eastAsia="zh-CN"/>
        </w:rPr>
        <w:t>主要负责人</w:t>
      </w:r>
      <w:r>
        <w:rPr>
          <w:rFonts w:hint="default"/>
          <w:lang w:val="en-US" w:eastAsia="zh-CN"/>
        </w:rPr>
        <w:t>应当按照相关规定，</w:t>
      </w:r>
      <w:r>
        <w:rPr>
          <w:rFonts w:hint="default"/>
          <w:color w:val="FF0000"/>
          <w:lang w:val="en-US" w:eastAsia="zh-CN"/>
        </w:rPr>
        <w:t>定期听取特种设备安全管理工作情况汇报，对重点工作做出安排</w:t>
      </w:r>
      <w:r>
        <w:rPr>
          <w:rFonts w:hint="default"/>
          <w:lang w:val="en-US" w:eastAsia="zh-CN"/>
        </w:rPr>
        <w:t>。</w:t>
      </w:r>
    </w:p>
    <w:p w14:paraId="59159287">
      <w:pPr>
        <w:bidi w:val="0"/>
        <w:rPr>
          <w:rFonts w:hint="default"/>
          <w:lang w:val="en-US" w:eastAsia="zh-CN"/>
        </w:rPr>
      </w:pPr>
      <w:r>
        <w:rPr>
          <w:rFonts w:hint="default"/>
          <w:lang w:val="en-US" w:eastAsia="zh-CN"/>
        </w:rPr>
        <w:t>《特种设备使用管理规则》（TSG08-2026）3.7.3规定，特种设备使用单位应当对照相关法律、法规、规章、安全技术规范、标准和风险管控的要求，及时消除排查发现的异常情况及事故隐患。对于发现的异常情况，应当及时采取有效措施并且对设备进行全面检查；对发现的一般事故隐患，应当及时采取措施防止隐患扩大、升级；</w:t>
      </w:r>
      <w:r>
        <w:rPr>
          <w:rFonts w:hint="default"/>
          <w:color w:val="FF0000"/>
          <w:lang w:val="en-US" w:eastAsia="zh-CN"/>
        </w:rPr>
        <w:t>发现严重（重大）事故隐患时，安全总监应当立即组织分析研判，采取处置措施，消除严重（重大）事故隐患。故障、异常情况或者隐患消除后，方可继续正常使用。</w:t>
      </w:r>
    </w:p>
    <w:p w14:paraId="431D47E4">
      <w:pPr>
        <w:bidi w:val="0"/>
        <w:rPr>
          <w:rFonts w:hint="default"/>
          <w:lang w:val="en-US" w:eastAsia="zh-CN"/>
        </w:rPr>
      </w:pPr>
      <w:r>
        <w:rPr>
          <w:rFonts w:hint="default"/>
          <w:color w:val="FF0000"/>
          <w:lang w:val="en-US" w:eastAsia="zh-CN"/>
        </w:rPr>
        <w:t>使用单位应突出特种设备重大事故隐患的排查整治。</w:t>
      </w:r>
      <w:r>
        <w:rPr>
          <w:rFonts w:hint="default"/>
          <w:lang w:val="en-US" w:eastAsia="zh-CN"/>
        </w:rPr>
        <w:t>重大事故隐患判定标准见本《手册</w:t>
      </w:r>
      <w:r>
        <w:rPr>
          <w:rFonts w:hint="default"/>
          <w:highlight w:val="none"/>
          <w:lang w:val="en-US" w:eastAsia="zh-CN"/>
        </w:rPr>
        <w:t>》第十</w:t>
      </w:r>
      <w:r>
        <w:rPr>
          <w:rFonts w:hint="eastAsia"/>
          <w:highlight w:val="none"/>
          <w:lang w:val="en-US" w:eastAsia="zh-CN"/>
        </w:rPr>
        <w:t>二</w:t>
      </w:r>
      <w:r>
        <w:rPr>
          <w:rFonts w:hint="default"/>
          <w:highlight w:val="none"/>
          <w:lang w:val="en-US" w:eastAsia="zh-CN"/>
        </w:rPr>
        <w:t>章</w:t>
      </w:r>
      <w:r>
        <w:rPr>
          <w:rFonts w:hint="default"/>
          <w:lang w:val="en-US" w:eastAsia="zh-CN"/>
        </w:rPr>
        <w:t>。</w:t>
      </w:r>
    </w:p>
    <w:p w14:paraId="078FBAF9">
      <w:pPr>
        <w:bidi w:val="0"/>
        <w:rPr>
          <w:rFonts w:hint="default"/>
          <w:color w:val="FF0000"/>
          <w:lang w:val="en-US" w:eastAsia="zh-CN"/>
        </w:rPr>
      </w:pPr>
      <w:r>
        <w:rPr>
          <w:rFonts w:hint="default"/>
          <w:color w:val="FF0000"/>
          <w:lang w:val="en-US" w:eastAsia="zh-CN"/>
        </w:rPr>
        <w:t>周排查应由本单位特种设备安全总监组织开展并在周排查工作记录上签字，月调度会议应由本单位主要负责人召集并在月调度会议纪要上签字。“日管控、周排查、月调度”工作记录</w:t>
      </w:r>
      <w:r>
        <w:rPr>
          <w:rFonts w:hint="eastAsia"/>
          <w:color w:val="FF0000"/>
          <w:lang w:val="en-US" w:eastAsia="zh-CN"/>
        </w:rPr>
        <w:t>留存备查</w:t>
      </w:r>
      <w:r>
        <w:rPr>
          <w:rFonts w:hint="default"/>
          <w:color w:val="FF0000"/>
          <w:lang w:val="en-US" w:eastAsia="zh-CN"/>
        </w:rPr>
        <w:t>。</w:t>
      </w:r>
    </w:p>
    <w:p w14:paraId="242F06B3">
      <w:pPr>
        <w:bidi w:val="0"/>
        <w:rPr>
          <w:rFonts w:hint="default"/>
          <w:color w:val="auto"/>
          <w:lang w:val="en-US" w:eastAsia="zh-CN"/>
        </w:rPr>
      </w:pPr>
      <w:r>
        <w:rPr>
          <w:rFonts w:hint="default"/>
          <w:color w:val="auto"/>
          <w:lang w:val="en-US" w:eastAsia="zh-CN"/>
        </w:rPr>
        <w:t>使用单位应建立特种设备安全隐患排查治理工作台账，针对检查发现的问题，制定整改责任人、整改措施、整改期限，实行闭环管理。</w:t>
      </w:r>
    </w:p>
    <w:p w14:paraId="4476329B">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jc w:val="center"/>
        <w:textAlignment w:val="auto"/>
        <w:rPr>
          <w:rFonts w:hint="default" w:ascii="Times New Roman" w:hAnsi="Times New Roman" w:eastAsia="方正楷体简体" w:cs="Times New Roman"/>
          <w:b w:val="0"/>
          <w:bCs w:val="0"/>
          <w:color w:val="auto"/>
          <w:sz w:val="28"/>
          <w:szCs w:val="28"/>
          <w:lang w:val="en-US" w:eastAsia="zh-CN"/>
        </w:rPr>
      </w:pPr>
      <w:r>
        <w:rPr>
          <w:rFonts w:hint="default" w:ascii="Times New Roman" w:hAnsi="Times New Roman" w:eastAsia="方正楷体简体" w:cs="Times New Roman"/>
          <w:b w:val="0"/>
          <w:bCs w:val="0"/>
          <w:color w:val="auto"/>
          <w:sz w:val="28"/>
          <w:szCs w:val="28"/>
          <w:lang w:val="en-US" w:eastAsia="zh-CN"/>
        </w:rPr>
        <w:t>特种设备安全隐患排查治理台账（参考模板）</w:t>
      </w:r>
    </w:p>
    <w:tbl>
      <w:tblPr>
        <w:tblStyle w:val="17"/>
        <w:tblW w:w="8536"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2123"/>
        <w:gridCol w:w="973"/>
        <w:gridCol w:w="954"/>
        <w:gridCol w:w="1214"/>
        <w:gridCol w:w="1323"/>
        <w:gridCol w:w="1404"/>
      </w:tblGrid>
      <w:tr w14:paraId="3F26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45" w:type="dxa"/>
            <w:vAlign w:val="center"/>
          </w:tcPr>
          <w:p w14:paraId="2639D232">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default" w:ascii="Times New Roman" w:hAnsi="Times New Roman" w:eastAsia="方正楷体简体" w:cs="Times New Roman"/>
                <w:b w:val="0"/>
                <w:bCs w:val="0"/>
                <w:sz w:val="24"/>
                <w:szCs w:val="24"/>
                <w:vertAlign w:val="baseline"/>
                <w:lang w:val="en-US" w:eastAsia="zh-CN"/>
              </w:rPr>
            </w:pPr>
            <w:r>
              <w:rPr>
                <w:rFonts w:hint="default" w:ascii="Times New Roman" w:hAnsi="Times New Roman" w:eastAsia="方正楷体简体" w:cs="Times New Roman"/>
                <w:b w:val="0"/>
                <w:bCs w:val="0"/>
                <w:sz w:val="24"/>
                <w:szCs w:val="24"/>
                <w:lang w:val="en-US" w:eastAsia="zh-CN"/>
              </w:rPr>
              <w:t>序号</w:t>
            </w:r>
          </w:p>
        </w:tc>
        <w:tc>
          <w:tcPr>
            <w:tcW w:w="2123" w:type="dxa"/>
            <w:vAlign w:val="center"/>
          </w:tcPr>
          <w:p w14:paraId="26E748BD">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default" w:ascii="Times New Roman" w:hAnsi="Times New Roman" w:eastAsia="方正楷体简体" w:cs="Times New Roman"/>
                <w:b w:val="0"/>
                <w:bCs w:val="0"/>
                <w:sz w:val="24"/>
                <w:szCs w:val="24"/>
                <w:lang w:val="en-US" w:eastAsia="zh-CN"/>
              </w:rPr>
            </w:pPr>
            <w:r>
              <w:rPr>
                <w:rFonts w:hint="eastAsia" w:eastAsia="方正楷体简体" w:cs="Times New Roman"/>
                <w:b w:val="0"/>
                <w:bCs w:val="0"/>
                <w:sz w:val="24"/>
                <w:szCs w:val="24"/>
                <w:lang w:eastAsia="zh-CN"/>
              </w:rPr>
              <w:t>问题</w:t>
            </w:r>
            <w:r>
              <w:rPr>
                <w:rFonts w:hint="default" w:ascii="Times New Roman" w:hAnsi="Times New Roman" w:eastAsia="方正楷体简体" w:cs="Times New Roman"/>
                <w:b w:val="0"/>
                <w:bCs w:val="0"/>
                <w:sz w:val="24"/>
                <w:szCs w:val="24"/>
              </w:rPr>
              <w:t>隐患（部位、现象、严重程度）</w:t>
            </w:r>
          </w:p>
        </w:tc>
        <w:tc>
          <w:tcPr>
            <w:tcW w:w="973" w:type="dxa"/>
            <w:vAlign w:val="center"/>
          </w:tcPr>
          <w:p w14:paraId="51CE16B0">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default" w:ascii="Times New Roman" w:hAnsi="Times New Roman" w:eastAsia="方正楷体简体" w:cs="Times New Roman"/>
                <w:b w:val="0"/>
                <w:bCs w:val="0"/>
                <w:sz w:val="24"/>
                <w:szCs w:val="24"/>
                <w:lang w:eastAsia="zh-CN"/>
              </w:rPr>
            </w:pPr>
            <w:r>
              <w:rPr>
                <w:rFonts w:hint="default" w:ascii="Times New Roman" w:hAnsi="Times New Roman" w:eastAsia="方正楷体简体" w:cs="Times New Roman"/>
                <w:b w:val="0"/>
                <w:bCs w:val="0"/>
                <w:sz w:val="24"/>
                <w:szCs w:val="24"/>
                <w:lang w:eastAsia="zh-CN"/>
              </w:rPr>
              <w:t>发现时间</w:t>
            </w:r>
          </w:p>
        </w:tc>
        <w:tc>
          <w:tcPr>
            <w:tcW w:w="954" w:type="dxa"/>
            <w:vAlign w:val="center"/>
          </w:tcPr>
          <w:p w14:paraId="73828FFD">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default" w:ascii="Times New Roman" w:hAnsi="Times New Roman" w:eastAsia="方正楷体简体" w:cs="Times New Roman"/>
                <w:b w:val="0"/>
                <w:bCs w:val="0"/>
                <w:sz w:val="24"/>
                <w:szCs w:val="24"/>
                <w:lang w:val="en-US" w:eastAsia="zh-CN"/>
              </w:rPr>
            </w:pPr>
            <w:r>
              <w:rPr>
                <w:rFonts w:hint="default" w:ascii="Times New Roman" w:hAnsi="Times New Roman" w:eastAsia="方正楷体简体" w:cs="Times New Roman"/>
                <w:b w:val="0"/>
                <w:bCs w:val="0"/>
                <w:sz w:val="24"/>
                <w:szCs w:val="24"/>
                <w:lang w:eastAsia="zh-CN"/>
              </w:rPr>
              <w:t>整改</w:t>
            </w:r>
            <w:r>
              <w:rPr>
                <w:rFonts w:hint="default" w:ascii="Times New Roman" w:hAnsi="Times New Roman" w:eastAsia="方正楷体简体" w:cs="Times New Roman"/>
                <w:b w:val="0"/>
                <w:bCs w:val="0"/>
                <w:sz w:val="24"/>
                <w:szCs w:val="24"/>
              </w:rPr>
              <w:t>责任人</w:t>
            </w:r>
          </w:p>
        </w:tc>
        <w:tc>
          <w:tcPr>
            <w:tcW w:w="1214" w:type="dxa"/>
            <w:vAlign w:val="center"/>
          </w:tcPr>
          <w:p w14:paraId="535381FA">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default" w:ascii="Times New Roman" w:hAnsi="Times New Roman" w:eastAsia="方正楷体简体" w:cs="Times New Roman"/>
                <w:b w:val="0"/>
                <w:bCs w:val="0"/>
                <w:sz w:val="24"/>
                <w:szCs w:val="24"/>
              </w:rPr>
            </w:pPr>
            <w:r>
              <w:rPr>
                <w:rFonts w:hint="default" w:ascii="Times New Roman" w:hAnsi="Times New Roman" w:eastAsia="方正楷体简体" w:cs="Times New Roman"/>
                <w:b w:val="0"/>
                <w:bCs w:val="0"/>
                <w:sz w:val="24"/>
                <w:szCs w:val="24"/>
                <w:lang w:val="en-US" w:eastAsia="zh-CN"/>
              </w:rPr>
              <w:t>整改时限</w:t>
            </w:r>
          </w:p>
        </w:tc>
        <w:tc>
          <w:tcPr>
            <w:tcW w:w="1323" w:type="dxa"/>
            <w:vAlign w:val="center"/>
          </w:tcPr>
          <w:p w14:paraId="681CAB67">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default" w:ascii="Times New Roman" w:hAnsi="Times New Roman" w:eastAsia="方正楷体简体" w:cs="Times New Roman"/>
                <w:b w:val="0"/>
                <w:bCs w:val="0"/>
                <w:sz w:val="24"/>
                <w:szCs w:val="24"/>
                <w:lang w:val="en-US" w:eastAsia="zh-CN"/>
              </w:rPr>
            </w:pPr>
            <w:r>
              <w:rPr>
                <w:rFonts w:hint="default" w:ascii="Times New Roman" w:hAnsi="Times New Roman" w:eastAsia="方正楷体简体" w:cs="Times New Roman"/>
                <w:b w:val="0"/>
                <w:bCs w:val="0"/>
                <w:sz w:val="24"/>
                <w:szCs w:val="24"/>
              </w:rPr>
              <w:t>整改</w:t>
            </w:r>
            <w:r>
              <w:rPr>
                <w:rFonts w:hint="default" w:ascii="Times New Roman" w:hAnsi="Times New Roman" w:eastAsia="方正楷体简体" w:cs="Times New Roman"/>
                <w:b w:val="0"/>
                <w:bCs w:val="0"/>
                <w:sz w:val="24"/>
                <w:szCs w:val="24"/>
                <w:lang w:eastAsia="zh-CN"/>
              </w:rPr>
              <w:t>措施</w:t>
            </w:r>
          </w:p>
        </w:tc>
        <w:tc>
          <w:tcPr>
            <w:tcW w:w="1404" w:type="dxa"/>
            <w:vAlign w:val="center"/>
          </w:tcPr>
          <w:p w14:paraId="0214A647">
            <w:pPr>
              <w:keepNext w:val="0"/>
              <w:keepLines w:val="0"/>
              <w:pageBreakBefore w:val="0"/>
              <w:widowControl w:val="0"/>
              <w:kinsoku/>
              <w:wordWrap/>
              <w:overflowPunct/>
              <w:topLinePunct w:val="0"/>
              <w:autoSpaceDE/>
              <w:autoSpaceDN/>
              <w:bidi w:val="0"/>
              <w:adjustRightInd w:val="0"/>
              <w:snapToGrid/>
              <w:spacing w:line="280" w:lineRule="exact"/>
              <w:ind w:left="0" w:leftChars="0" w:firstLine="0" w:firstLineChars="0"/>
              <w:jc w:val="center"/>
              <w:textAlignment w:val="auto"/>
              <w:rPr>
                <w:rFonts w:hint="default" w:ascii="Times New Roman" w:hAnsi="Times New Roman" w:eastAsia="方正楷体简体" w:cs="Times New Roman"/>
                <w:b w:val="0"/>
                <w:bCs w:val="0"/>
                <w:sz w:val="24"/>
                <w:szCs w:val="24"/>
                <w:lang w:val="en-US" w:eastAsia="zh-CN"/>
              </w:rPr>
            </w:pPr>
            <w:r>
              <w:rPr>
                <w:rFonts w:hint="default" w:ascii="Times New Roman" w:hAnsi="Times New Roman" w:eastAsia="方正楷体简体" w:cs="Times New Roman"/>
                <w:b w:val="0"/>
                <w:bCs w:val="0"/>
                <w:sz w:val="24"/>
                <w:szCs w:val="24"/>
              </w:rPr>
              <w:t>处理情况</w:t>
            </w:r>
          </w:p>
        </w:tc>
      </w:tr>
      <w:tr w14:paraId="6E13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5" w:type="dxa"/>
            <w:vAlign w:val="center"/>
          </w:tcPr>
          <w:p w14:paraId="30B9DF74">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2123" w:type="dxa"/>
            <w:vAlign w:val="center"/>
          </w:tcPr>
          <w:p w14:paraId="16C233B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73" w:type="dxa"/>
            <w:vAlign w:val="center"/>
          </w:tcPr>
          <w:p w14:paraId="7DBECC7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54" w:type="dxa"/>
            <w:vAlign w:val="center"/>
          </w:tcPr>
          <w:p w14:paraId="2EFE88D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214" w:type="dxa"/>
            <w:vAlign w:val="center"/>
          </w:tcPr>
          <w:p w14:paraId="4E3C74D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323" w:type="dxa"/>
            <w:vAlign w:val="center"/>
          </w:tcPr>
          <w:p w14:paraId="555C02B4">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404" w:type="dxa"/>
            <w:vAlign w:val="center"/>
          </w:tcPr>
          <w:p w14:paraId="32A1239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r>
      <w:tr w14:paraId="4FA0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5" w:type="dxa"/>
            <w:vAlign w:val="center"/>
          </w:tcPr>
          <w:p w14:paraId="18FA2C7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2123" w:type="dxa"/>
            <w:vAlign w:val="center"/>
          </w:tcPr>
          <w:p w14:paraId="57E690B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73" w:type="dxa"/>
            <w:vAlign w:val="center"/>
          </w:tcPr>
          <w:p w14:paraId="2254523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54" w:type="dxa"/>
            <w:vAlign w:val="center"/>
          </w:tcPr>
          <w:p w14:paraId="5C78698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214" w:type="dxa"/>
            <w:vAlign w:val="center"/>
          </w:tcPr>
          <w:p w14:paraId="0A0C463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323" w:type="dxa"/>
            <w:vAlign w:val="center"/>
          </w:tcPr>
          <w:p w14:paraId="0CDE843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404" w:type="dxa"/>
            <w:vAlign w:val="center"/>
          </w:tcPr>
          <w:p w14:paraId="5C50E744">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r>
      <w:tr w14:paraId="1CD9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5" w:type="dxa"/>
            <w:vAlign w:val="center"/>
          </w:tcPr>
          <w:p w14:paraId="41F3A8D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2123" w:type="dxa"/>
            <w:vAlign w:val="center"/>
          </w:tcPr>
          <w:p w14:paraId="30F4D242">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73" w:type="dxa"/>
            <w:vAlign w:val="center"/>
          </w:tcPr>
          <w:p w14:paraId="67D9DA29">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54" w:type="dxa"/>
            <w:vAlign w:val="center"/>
          </w:tcPr>
          <w:p w14:paraId="7F59218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214" w:type="dxa"/>
            <w:vAlign w:val="center"/>
          </w:tcPr>
          <w:p w14:paraId="0FAE097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323" w:type="dxa"/>
            <w:vAlign w:val="center"/>
          </w:tcPr>
          <w:p w14:paraId="5C539CE7">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404" w:type="dxa"/>
            <w:vAlign w:val="center"/>
          </w:tcPr>
          <w:p w14:paraId="4EEA54A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r>
      <w:tr w14:paraId="0175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5" w:type="dxa"/>
            <w:vAlign w:val="center"/>
          </w:tcPr>
          <w:p w14:paraId="408BADBB">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2123" w:type="dxa"/>
            <w:vAlign w:val="center"/>
          </w:tcPr>
          <w:p w14:paraId="180A3A71">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73" w:type="dxa"/>
            <w:vAlign w:val="center"/>
          </w:tcPr>
          <w:p w14:paraId="325DDF2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54" w:type="dxa"/>
            <w:vAlign w:val="center"/>
          </w:tcPr>
          <w:p w14:paraId="1E299ED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214" w:type="dxa"/>
            <w:vAlign w:val="center"/>
          </w:tcPr>
          <w:p w14:paraId="0700C67E">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323" w:type="dxa"/>
            <w:vAlign w:val="center"/>
          </w:tcPr>
          <w:p w14:paraId="61DEC1F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404" w:type="dxa"/>
            <w:vAlign w:val="center"/>
          </w:tcPr>
          <w:p w14:paraId="38CF3BEF">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r>
      <w:tr w14:paraId="1E51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45" w:type="dxa"/>
            <w:vAlign w:val="center"/>
          </w:tcPr>
          <w:p w14:paraId="644E1A72">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2123" w:type="dxa"/>
            <w:vAlign w:val="center"/>
          </w:tcPr>
          <w:p w14:paraId="0FB73331">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73" w:type="dxa"/>
            <w:vAlign w:val="center"/>
          </w:tcPr>
          <w:p w14:paraId="561FEBF8">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954" w:type="dxa"/>
            <w:vAlign w:val="center"/>
          </w:tcPr>
          <w:p w14:paraId="383B7F80">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214" w:type="dxa"/>
            <w:vAlign w:val="center"/>
          </w:tcPr>
          <w:p w14:paraId="4EA20BF2">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323" w:type="dxa"/>
            <w:vAlign w:val="center"/>
          </w:tcPr>
          <w:p w14:paraId="5546288A">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c>
          <w:tcPr>
            <w:tcW w:w="1404" w:type="dxa"/>
            <w:vAlign w:val="center"/>
          </w:tcPr>
          <w:p w14:paraId="096809E8">
            <w:pPr>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both"/>
              <w:textAlignment w:val="auto"/>
              <w:rPr>
                <w:rFonts w:hint="default" w:ascii="Times New Roman" w:hAnsi="Times New Roman" w:cs="Times New Roman"/>
                <w:b w:val="0"/>
                <w:bCs w:val="0"/>
                <w:sz w:val="24"/>
                <w:szCs w:val="24"/>
                <w:vertAlign w:val="baseline"/>
                <w:lang w:val="en-US" w:eastAsia="zh-CN"/>
              </w:rPr>
            </w:pPr>
          </w:p>
        </w:tc>
      </w:tr>
    </w:tbl>
    <w:p w14:paraId="6B28886E">
      <w:pPr>
        <w:bidi w:val="0"/>
        <w:ind w:left="0" w:leftChars="0" w:firstLine="0" w:firstLineChars="0"/>
        <w:rPr>
          <w:rFonts w:hint="default" w:ascii="Times New Roman" w:hAnsi="Times New Roman" w:cs="Times New Roman"/>
          <w:b w:val="0"/>
          <w:bCs w:val="0"/>
          <w:lang w:val="en-US" w:eastAsia="zh-CN"/>
        </w:rPr>
      </w:pPr>
    </w:p>
    <w:p w14:paraId="659D4FAF">
      <w:pPr>
        <w:numPr>
          <w:ilvl w:val="0"/>
          <w:numId w:val="0"/>
        </w:numPr>
        <w:bidi w:val="0"/>
        <w:ind w:firstLine="480" w:firstLineChars="20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br w:type="page"/>
      </w:r>
    </w:p>
    <w:p w14:paraId="39C84C50">
      <w:pPr>
        <w:pStyle w:val="3"/>
        <w:bidi w:val="0"/>
        <w:rPr>
          <w:rFonts w:hint="default" w:ascii="黑体" w:hAnsi="黑体" w:cs="黑体"/>
          <w:b w:val="0"/>
          <w:bCs w:val="0"/>
          <w:sz w:val="28"/>
          <w:szCs w:val="28"/>
          <w:lang w:val="en-US" w:eastAsia="zh-CN"/>
        </w:rPr>
      </w:pPr>
      <w:bookmarkStart w:id="41" w:name="_Toc22253"/>
      <w:r>
        <w:rPr>
          <w:rFonts w:hint="eastAsia" w:ascii="黑体" w:hAnsi="黑体" w:cs="黑体"/>
          <w:b w:val="0"/>
          <w:bCs w:val="0"/>
          <w:sz w:val="28"/>
          <w:szCs w:val="28"/>
          <w:lang w:val="en-US" w:eastAsia="zh-CN"/>
        </w:rPr>
        <w:t>九、</w:t>
      </w:r>
      <w:r>
        <w:rPr>
          <w:rFonts w:hint="default" w:ascii="黑体" w:hAnsi="黑体" w:cs="黑体"/>
          <w:b w:val="0"/>
          <w:bCs w:val="0"/>
          <w:sz w:val="28"/>
          <w:szCs w:val="28"/>
          <w:lang w:val="en-US" w:eastAsia="zh-CN"/>
        </w:rPr>
        <w:t>特种设备应急预案和应急演练</w:t>
      </w:r>
      <w:bookmarkEnd w:id="41"/>
    </w:p>
    <w:p w14:paraId="25727CA4">
      <w:pPr>
        <w:pStyle w:val="2"/>
        <w:numPr>
          <w:ilvl w:val="0"/>
          <w:numId w:val="15"/>
        </w:numPr>
        <w:bidi w:val="0"/>
        <w:ind w:left="0" w:leftChars="0" w:firstLine="420" w:firstLineChars="0"/>
        <w:rPr>
          <w:rFonts w:hint="default" w:ascii="Times New Roman" w:hAnsi="Times New Roman" w:cs="Times New Roman"/>
          <w:b w:val="0"/>
          <w:bCs w:val="0"/>
          <w:lang w:val="en-US" w:eastAsia="zh-CN"/>
        </w:rPr>
      </w:pPr>
      <w:bookmarkStart w:id="42" w:name="_Toc10261"/>
      <w:r>
        <w:rPr>
          <w:rFonts w:hint="eastAsia" w:cs="Times New Roman"/>
          <w:b w:val="0"/>
          <w:bCs w:val="0"/>
          <w:lang w:val="en-US" w:eastAsia="zh-CN"/>
        </w:rPr>
        <w:t>特种设备</w:t>
      </w:r>
      <w:r>
        <w:rPr>
          <w:rFonts w:hint="default" w:ascii="Times New Roman" w:hAnsi="Times New Roman" w:cs="Times New Roman"/>
          <w:b w:val="0"/>
          <w:bCs w:val="0"/>
          <w:lang w:val="en-US" w:eastAsia="zh-CN"/>
        </w:rPr>
        <w:t>应急预案和</w:t>
      </w:r>
      <w:r>
        <w:rPr>
          <w:rFonts w:hint="eastAsia" w:cs="Times New Roman"/>
          <w:b w:val="0"/>
          <w:bCs w:val="0"/>
          <w:lang w:val="en-US" w:eastAsia="zh-CN"/>
        </w:rPr>
        <w:t>应急</w:t>
      </w:r>
      <w:r>
        <w:rPr>
          <w:rFonts w:hint="default" w:ascii="Times New Roman" w:hAnsi="Times New Roman" w:cs="Times New Roman"/>
          <w:b w:val="0"/>
          <w:bCs w:val="0"/>
          <w:lang w:val="en-US" w:eastAsia="zh-CN"/>
        </w:rPr>
        <w:t>演练要求</w:t>
      </w:r>
      <w:bookmarkEnd w:id="42"/>
    </w:p>
    <w:p w14:paraId="039FFEFC">
      <w:pPr>
        <w:bidi w:val="0"/>
        <w:rPr>
          <w:rFonts w:hint="default"/>
          <w:lang w:val="en-US" w:eastAsia="zh-CN"/>
        </w:rPr>
      </w:pPr>
      <w:r>
        <w:rPr>
          <w:rFonts w:hint="default"/>
          <w:lang w:val="en-US" w:eastAsia="zh-CN"/>
        </w:rPr>
        <w:t>《特种设备使用管理规则》（TSG08-2026）3.8.1规定，按照本规则要求安全员应当取得特种设备安全管理人员资格证书的使用单位，应当根据本单位特种设备特点和使用情况制定特种设备事故应急专项预案，每年至少演练一次，并且做出记录；其他使用单位可以在综合应急预案中编制特种设备事故应急的内容，定期开展特种设备事故应急演练，并且做出记录。</w:t>
      </w:r>
    </w:p>
    <w:p w14:paraId="23BD8459">
      <w:pPr>
        <w:bidi w:val="0"/>
        <w:rPr>
          <w:rFonts w:hint="default"/>
          <w:lang w:val="en-US" w:eastAsia="zh-CN"/>
        </w:rPr>
      </w:pPr>
      <w:r>
        <w:rPr>
          <w:rFonts w:hint="default"/>
          <w:lang w:val="en-US" w:eastAsia="zh-CN"/>
        </w:rPr>
        <w:t>制定特种设备应急预案的核心要求：“覆盖本单位所有类型的特种设备、具备可操作性”。</w:t>
      </w:r>
    </w:p>
    <w:p w14:paraId="2799E7D6">
      <w:pPr>
        <w:bidi w:val="0"/>
        <w:rPr>
          <w:rFonts w:hint="default"/>
          <w:lang w:val="en-US" w:eastAsia="zh-CN"/>
        </w:rPr>
      </w:pPr>
      <w:r>
        <w:rPr>
          <w:rFonts w:hint="default"/>
          <w:color w:val="FF0000"/>
          <w:lang w:val="en-US" w:eastAsia="zh-CN"/>
        </w:rPr>
        <w:t>使用单位应于每年年初制定年度特种设备应急演练计划（可结合企业安全生产总体演练计划制定），演练计划应覆盖本单位所有类型的特种设备。</w:t>
      </w:r>
      <w:r>
        <w:rPr>
          <w:rFonts w:hint="default"/>
          <w:lang w:val="en-US" w:eastAsia="zh-CN"/>
        </w:rPr>
        <w:t>大型游乐设施使用单位应覆盖本单位所有类别的大型游乐设施。使用单位应按照年度演练计划开展应急演练并留存相关演练记录备查。</w:t>
      </w:r>
    </w:p>
    <w:p w14:paraId="47B194DA">
      <w:pPr>
        <w:pStyle w:val="2"/>
        <w:numPr>
          <w:ilvl w:val="0"/>
          <w:numId w:val="15"/>
        </w:numPr>
        <w:bidi w:val="0"/>
        <w:ind w:left="0" w:leftChars="0" w:firstLine="420" w:firstLineChars="0"/>
        <w:rPr>
          <w:rFonts w:hint="default" w:ascii="Times New Roman" w:hAnsi="Times New Roman" w:cs="Times New Roman"/>
          <w:b w:val="0"/>
          <w:bCs w:val="0"/>
          <w:lang w:val="en-US" w:eastAsia="zh-CN"/>
        </w:rPr>
      </w:pPr>
      <w:bookmarkStart w:id="43" w:name="_Toc18745"/>
      <w:r>
        <w:rPr>
          <w:rFonts w:hint="default" w:ascii="Times New Roman" w:hAnsi="Times New Roman" w:cs="Times New Roman"/>
          <w:b w:val="0"/>
          <w:bCs w:val="0"/>
          <w:lang w:val="en-US" w:eastAsia="zh-CN"/>
        </w:rPr>
        <w:t>特种设备专项应急预案编制要求</w:t>
      </w:r>
      <w:bookmarkEnd w:id="43"/>
    </w:p>
    <w:p w14:paraId="6AEAAAB7">
      <w:pPr>
        <w:bidi w:val="0"/>
        <w:rPr>
          <w:rFonts w:hint="default"/>
          <w:lang w:val="en-US" w:eastAsia="zh-CN"/>
        </w:rPr>
      </w:pPr>
      <w:r>
        <w:rPr>
          <w:rFonts w:hint="default"/>
          <w:lang w:val="en-US" w:eastAsia="zh-CN"/>
        </w:rPr>
        <w:t>专项应急预案应包括适用范围、组织机构及职责、预防与预警、应急响应、应急处置、应急保障等内容。</w:t>
      </w:r>
    </w:p>
    <w:p w14:paraId="04B6E968">
      <w:pPr>
        <w:bidi w:val="0"/>
        <w:rPr>
          <w:rFonts w:hint="default"/>
          <w:color w:val="FF0000"/>
          <w:lang w:val="en-US" w:eastAsia="zh-CN"/>
        </w:rPr>
      </w:pPr>
      <w:r>
        <w:rPr>
          <w:rFonts w:hint="default"/>
          <w:lang w:val="en-US" w:eastAsia="zh-CN"/>
        </w:rPr>
        <w:t>应急处置措施是专项应急预案的核心。要充分分析特种设备安全风险特点，根据本企业场区布局、设备设施、工艺流程、工艺参数等情况，针对可能发生的事故类型，科学制定应急处置措施，确保应急措施具有可操作性。</w:t>
      </w:r>
      <w:r>
        <w:rPr>
          <w:rFonts w:hint="default"/>
          <w:color w:val="FF0000"/>
          <w:lang w:val="en-US" w:eastAsia="zh-CN"/>
        </w:rPr>
        <w:t>应急处置措施应覆盖本单位所有类型的特种设备。</w:t>
      </w:r>
    </w:p>
    <w:p w14:paraId="0CA3A0AE">
      <w:pPr>
        <w:bidi w:val="0"/>
        <w:rPr>
          <w:rFonts w:hint="default"/>
          <w:lang w:val="en-US" w:eastAsia="zh-CN"/>
        </w:rPr>
      </w:pPr>
      <w:r>
        <w:rPr>
          <w:rFonts w:hint="default"/>
          <w:lang w:val="en-US" w:eastAsia="zh-CN"/>
        </w:rPr>
        <w:t>特种设备应急预案可参照《特种设备事故应急预案编制导则》（GBT 33942）制定。</w:t>
      </w:r>
    </w:p>
    <w:p w14:paraId="51E9D3B3">
      <w:pPr>
        <w:pStyle w:val="2"/>
        <w:numPr>
          <w:ilvl w:val="0"/>
          <w:numId w:val="15"/>
        </w:numPr>
        <w:bidi w:val="0"/>
        <w:ind w:left="0" w:leftChars="0" w:firstLine="420" w:firstLineChars="0"/>
        <w:rPr>
          <w:rFonts w:hint="default" w:ascii="Times New Roman" w:hAnsi="Times New Roman" w:cs="Times New Roman"/>
          <w:b w:val="0"/>
          <w:bCs w:val="0"/>
          <w:lang w:val="en-US" w:eastAsia="zh-CN"/>
        </w:rPr>
      </w:pPr>
      <w:bookmarkStart w:id="44" w:name="_Toc28202"/>
      <w:r>
        <w:rPr>
          <w:rFonts w:hint="default" w:ascii="Times New Roman" w:hAnsi="Times New Roman" w:cs="Times New Roman"/>
          <w:b w:val="0"/>
          <w:bCs w:val="0"/>
          <w:lang w:val="en-US" w:eastAsia="zh-CN"/>
        </w:rPr>
        <w:t>是否按设备类别制定专项应急预案</w:t>
      </w:r>
      <w:bookmarkEnd w:id="44"/>
    </w:p>
    <w:p w14:paraId="6A1CF5BA">
      <w:pPr>
        <w:bidi w:val="0"/>
        <w:rPr>
          <w:rFonts w:hint="default"/>
          <w:lang w:val="en-US" w:eastAsia="zh-CN"/>
        </w:rPr>
      </w:pPr>
      <w:r>
        <w:rPr>
          <w:rFonts w:hint="default"/>
          <w:lang w:val="en-US" w:eastAsia="zh-CN"/>
        </w:rPr>
        <w:t>国家法律法规仅要求达到相应条件的企业应制定特种设备专项应急预案，未强制要求按设备类别分别制定专项应急预案。使用单位是否按设备类别分别制定，需结合本单位特种设备数量、类型差异、风险等级及管理效率综合判断，并非绝对“必须分开”或“</w:t>
      </w:r>
      <w:r>
        <w:rPr>
          <w:rFonts w:hint="eastAsia"/>
          <w:lang w:val="en-US" w:eastAsia="zh-CN"/>
        </w:rPr>
        <w:t>必须</w:t>
      </w:r>
      <w:r>
        <w:rPr>
          <w:rFonts w:hint="default"/>
          <w:lang w:val="en-US" w:eastAsia="zh-CN"/>
        </w:rPr>
        <w:t>合并”。</w:t>
      </w:r>
    </w:p>
    <w:p w14:paraId="5C51443D">
      <w:pPr>
        <w:bidi w:val="0"/>
        <w:rPr>
          <w:rFonts w:hint="default"/>
          <w:lang w:val="en-US" w:eastAsia="zh-CN"/>
        </w:rPr>
      </w:pPr>
      <w:r>
        <w:rPr>
          <w:rFonts w:hint="default"/>
          <w:lang w:val="en-US" w:eastAsia="zh-CN"/>
        </w:rPr>
        <w:t>建议按要求应设置特种设备安全管理机构</w:t>
      </w:r>
      <w:r>
        <w:rPr>
          <w:rFonts w:hint="eastAsia"/>
          <w:lang w:val="en-US" w:eastAsia="zh-CN"/>
        </w:rPr>
        <w:t>的使用单位</w:t>
      </w:r>
      <w:r>
        <w:rPr>
          <w:rFonts w:hint="default"/>
          <w:lang w:val="en-US" w:eastAsia="zh-CN"/>
        </w:rPr>
        <w:t>和大型游乐设施使用单位按设备类型分别制定特种设备专项应急预案，比如锅炉专项应急预案、压力容器专项应急预案。其他企业可采取在特种设备专项应急预案中分章节制定不同类型特种设备应急处置措施和处置流程的方式制定特种设备专项应急预案。</w:t>
      </w:r>
    </w:p>
    <w:p w14:paraId="7E0AC261">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br w:type="page"/>
      </w:r>
    </w:p>
    <w:p w14:paraId="657B54F1">
      <w:pPr>
        <w:pStyle w:val="3"/>
        <w:bidi w:val="0"/>
        <w:rPr>
          <w:rFonts w:hint="default" w:ascii="黑体" w:hAnsi="黑体" w:cs="黑体"/>
          <w:b w:val="0"/>
          <w:bCs w:val="0"/>
          <w:sz w:val="28"/>
          <w:szCs w:val="28"/>
          <w:lang w:val="en-US" w:eastAsia="zh-CN"/>
        </w:rPr>
      </w:pPr>
      <w:bookmarkStart w:id="45" w:name="_Toc21425"/>
      <w:r>
        <w:rPr>
          <w:rFonts w:hint="eastAsia" w:ascii="黑体" w:hAnsi="黑体" w:cs="黑体"/>
          <w:b w:val="0"/>
          <w:bCs w:val="0"/>
          <w:sz w:val="28"/>
          <w:szCs w:val="28"/>
          <w:lang w:val="en-US" w:eastAsia="zh-CN"/>
        </w:rPr>
        <w:t>十、</w:t>
      </w:r>
      <w:r>
        <w:rPr>
          <w:rFonts w:hint="default" w:ascii="黑体" w:hAnsi="黑体" w:cs="黑体"/>
          <w:b w:val="0"/>
          <w:bCs w:val="0"/>
          <w:sz w:val="28"/>
          <w:szCs w:val="28"/>
          <w:lang w:val="en-US" w:eastAsia="zh-CN"/>
        </w:rPr>
        <w:t>特种设备安全信息化建设</w:t>
      </w:r>
      <w:bookmarkEnd w:id="45"/>
    </w:p>
    <w:p w14:paraId="326E6BDD">
      <w:pPr>
        <w:bidi w:val="0"/>
        <w:rPr>
          <w:rFonts w:hint="default"/>
          <w:lang w:val="en-US" w:eastAsia="zh-CN"/>
        </w:rPr>
      </w:pPr>
      <w:r>
        <w:rPr>
          <w:rFonts w:hint="default"/>
          <w:lang w:val="en-US" w:eastAsia="zh-CN"/>
        </w:rPr>
        <w:t>《山东省市场监督管理局关于加强山东省特种设备安全监督管理系统企业端平台使用工作的通知》文件要求，使用单位应在“山东省特种设备安全监管系统企业端”完成设备信息和作业人员信息完善、各项管理制度和双重预防体系的上传工作。</w:t>
      </w:r>
    </w:p>
    <w:p w14:paraId="7E93BD08">
      <w:pPr>
        <w:bidi w:val="0"/>
        <w:rPr>
          <w:rFonts w:hint="default"/>
          <w:lang w:val="en-US" w:eastAsia="zh-CN"/>
        </w:rPr>
      </w:pPr>
      <w:r>
        <w:rPr>
          <w:rFonts w:hint="default"/>
          <w:lang w:val="en-US" w:eastAsia="zh-CN"/>
        </w:rPr>
        <w:t>操作方法：输入网址http://218.57.139.17:9070/QYSE/，进入“山东省特种设备安全监管系统企业端”（系统只支持【360浏览器的极速模式】和【谷歌浏览器】）登陆界面，点击“用户注册”后注册“使用单位”类型的账号，账号经县级市场监管部门审核后即完成注册。后续工作可按照《山东省特种设备企业端管理平台使用单位操作手册》进行操作。《操作手册》可在“企业端”登陆界面的左侧下载。</w:t>
      </w:r>
    </w:p>
    <w:p w14:paraId="7C3DA6E6">
      <w:pPr>
        <w:bidi w:val="0"/>
        <w:rPr>
          <w:rFonts w:hint="default"/>
          <w:lang w:val="en-US" w:eastAsia="zh-CN"/>
        </w:rPr>
      </w:pPr>
      <w:r>
        <w:rPr>
          <w:rFonts w:hint="default"/>
          <w:lang w:val="en-US" w:eastAsia="zh-CN"/>
        </w:rPr>
        <w:t>使用单位也可在“企业端”网上办理开工告知、使用登记等日常业务。</w:t>
      </w:r>
    </w:p>
    <w:p w14:paraId="3B613953">
      <w:pPr>
        <w:bidi w:val="0"/>
        <w:rPr>
          <w:rFonts w:hint="default"/>
          <w:lang w:val="en-US" w:eastAsia="zh-CN"/>
        </w:rPr>
      </w:pPr>
      <w:r>
        <w:rPr>
          <w:rFonts w:hint="eastAsia"/>
          <w:lang w:val="en-US" w:eastAsia="zh-CN"/>
        </w:rPr>
        <w:t>使用单位忘记企业端账户密码，可联系属地县（市、区）市场监管局特监科重置密码。属地县（市、区）市场监管局联系方式见“十三 特种设备使用单位办事指南”中“（一）办理施工告知”部分。</w:t>
      </w:r>
    </w:p>
    <w:p w14:paraId="23DB4B66">
      <w:pPr>
        <w:bidi w:val="0"/>
        <w:rPr>
          <w:rFonts w:hint="default"/>
          <w:lang w:val="en-US" w:eastAsia="zh-CN"/>
        </w:rPr>
      </w:pPr>
      <w:r>
        <w:rPr>
          <w:rFonts w:hint="eastAsia"/>
          <w:lang w:val="en-US" w:eastAsia="zh-CN"/>
        </w:rPr>
        <w:t>使用</w:t>
      </w:r>
      <w:r>
        <w:rPr>
          <w:rFonts w:hint="default"/>
          <w:lang w:val="en-US" w:eastAsia="zh-CN"/>
        </w:rPr>
        <w:t>企业端</w:t>
      </w:r>
      <w:r>
        <w:rPr>
          <w:rFonts w:hint="eastAsia"/>
          <w:lang w:val="en-US" w:eastAsia="zh-CN"/>
        </w:rPr>
        <w:t>时遇到的技术</w:t>
      </w:r>
      <w:r>
        <w:rPr>
          <w:rFonts w:hint="default"/>
          <w:lang w:val="en-US" w:eastAsia="zh-CN"/>
        </w:rPr>
        <w:t>问题，请联系平台服务方，电话0531-67881719。</w:t>
      </w:r>
    </w:p>
    <w:p w14:paraId="6E414A0C">
      <w:pPr>
        <w:bidi w:val="0"/>
        <w:rPr>
          <w:rFonts w:hint="default"/>
          <w:lang w:val="en-US" w:eastAsia="zh-CN"/>
        </w:rPr>
      </w:pPr>
      <w:r>
        <w:rPr>
          <w:rFonts w:hint="default"/>
          <w:lang w:val="en-US" w:eastAsia="zh-CN"/>
        </w:rPr>
        <w:br w:type="page"/>
      </w:r>
    </w:p>
    <w:p w14:paraId="5BD198C0">
      <w:pPr>
        <w:pStyle w:val="3"/>
        <w:bidi w:val="0"/>
        <w:rPr>
          <w:rFonts w:hint="default" w:ascii="黑体" w:hAnsi="黑体" w:cs="黑体"/>
          <w:b w:val="0"/>
          <w:bCs w:val="0"/>
          <w:sz w:val="28"/>
          <w:szCs w:val="28"/>
          <w:lang w:val="en-US" w:eastAsia="zh-CN"/>
        </w:rPr>
      </w:pPr>
      <w:bookmarkStart w:id="46" w:name="_Toc7613"/>
      <w:r>
        <w:rPr>
          <w:rFonts w:hint="eastAsia" w:ascii="黑体" w:hAnsi="黑体" w:cs="黑体"/>
          <w:b w:val="0"/>
          <w:bCs w:val="0"/>
          <w:sz w:val="28"/>
          <w:szCs w:val="28"/>
          <w:lang w:val="en-US" w:eastAsia="zh-CN"/>
        </w:rPr>
        <w:t>十一、</w:t>
      </w:r>
      <w:r>
        <w:rPr>
          <w:rFonts w:hint="default" w:ascii="黑体" w:hAnsi="黑体" w:cs="黑体"/>
          <w:b w:val="0"/>
          <w:bCs w:val="0"/>
          <w:sz w:val="28"/>
          <w:szCs w:val="28"/>
          <w:lang w:val="en-US" w:eastAsia="zh-CN"/>
        </w:rPr>
        <w:t>常用法律法规、安全技术规范</w:t>
      </w:r>
      <w:bookmarkEnd w:id="46"/>
    </w:p>
    <w:p w14:paraId="6559B66A">
      <w:pPr>
        <w:bidi w:val="0"/>
        <w:rPr>
          <w:rFonts w:hint="default"/>
          <w:lang w:val="en-US" w:eastAsia="zh-CN"/>
        </w:rPr>
      </w:pPr>
      <w:r>
        <w:rPr>
          <w:rFonts w:hint="default"/>
          <w:lang w:val="en-US" w:eastAsia="zh-CN"/>
        </w:rPr>
        <w:t>特种设备使用单位应加强特种设备安全相关法律法规、安全技术规范的教育培训，特种设备安全总监、安全员应熟练掌握和运用本单位所使用特种设备的安全技术规范。</w:t>
      </w:r>
    </w:p>
    <w:p w14:paraId="5C0FC5FE">
      <w:pPr>
        <w:pStyle w:val="2"/>
        <w:numPr>
          <w:ilvl w:val="0"/>
          <w:numId w:val="16"/>
        </w:numPr>
        <w:bidi w:val="0"/>
        <w:ind w:left="0" w:leftChars="0" w:firstLine="420" w:firstLineChars="0"/>
        <w:rPr>
          <w:rFonts w:hint="default" w:ascii="Times New Roman" w:hAnsi="Times New Roman" w:cs="Times New Roman"/>
          <w:b w:val="0"/>
          <w:bCs w:val="0"/>
          <w:lang w:val="en-US" w:eastAsia="zh-CN"/>
        </w:rPr>
      </w:pPr>
      <w:bookmarkStart w:id="47" w:name="_Toc10402"/>
      <w:r>
        <w:rPr>
          <w:rFonts w:hint="default" w:ascii="Times New Roman" w:hAnsi="Times New Roman" w:cs="Times New Roman"/>
          <w:b w:val="0"/>
          <w:bCs w:val="0"/>
          <w:lang w:val="en-US" w:eastAsia="zh-CN"/>
        </w:rPr>
        <w:t>常用法律法规</w:t>
      </w:r>
      <w:bookmarkEnd w:id="47"/>
    </w:p>
    <w:p w14:paraId="1B8CEF46">
      <w:pPr>
        <w:numPr>
          <w:ilvl w:val="0"/>
          <w:numId w:val="17"/>
        </w:numPr>
        <w:bidi w:val="0"/>
        <w:ind w:left="425" w:leftChars="0" w:firstLine="52" w:firstLineChars="22"/>
        <w:rPr>
          <w:rFonts w:hint="default"/>
          <w:lang w:val="en-US" w:eastAsia="zh-CN"/>
        </w:rPr>
      </w:pPr>
      <w:r>
        <w:rPr>
          <w:rFonts w:hint="default"/>
          <w:lang w:val="en-US" w:eastAsia="zh-CN"/>
        </w:rPr>
        <w:t>《特种设备安全法》</w:t>
      </w:r>
    </w:p>
    <w:p w14:paraId="6D2A341A">
      <w:pPr>
        <w:numPr>
          <w:ilvl w:val="0"/>
          <w:numId w:val="17"/>
        </w:numPr>
        <w:bidi w:val="0"/>
        <w:ind w:left="425" w:leftChars="0" w:firstLine="52" w:firstLineChars="22"/>
        <w:rPr>
          <w:rFonts w:hint="default"/>
          <w:lang w:val="en-US" w:eastAsia="zh-CN"/>
        </w:rPr>
      </w:pPr>
      <w:r>
        <w:rPr>
          <w:rFonts w:hint="default"/>
          <w:lang w:val="en-US" w:eastAsia="zh-CN"/>
        </w:rPr>
        <w:t>《特种设备安全监察条例》</w:t>
      </w:r>
    </w:p>
    <w:p w14:paraId="7DC1FE8C">
      <w:pPr>
        <w:numPr>
          <w:ilvl w:val="0"/>
          <w:numId w:val="17"/>
        </w:numPr>
        <w:bidi w:val="0"/>
        <w:ind w:left="425" w:leftChars="0" w:firstLine="52" w:firstLineChars="22"/>
        <w:rPr>
          <w:rFonts w:hint="default"/>
          <w:lang w:val="en-US" w:eastAsia="zh-CN"/>
        </w:rPr>
      </w:pPr>
      <w:r>
        <w:rPr>
          <w:rFonts w:hint="default"/>
          <w:lang w:val="en-US" w:eastAsia="zh-CN"/>
        </w:rPr>
        <w:t>《山东省特种设备安全条例》</w:t>
      </w:r>
    </w:p>
    <w:p w14:paraId="2C2DEFE4">
      <w:pPr>
        <w:numPr>
          <w:ilvl w:val="0"/>
          <w:numId w:val="17"/>
        </w:numPr>
        <w:bidi w:val="0"/>
        <w:ind w:left="425" w:leftChars="0" w:firstLine="52" w:firstLineChars="22"/>
        <w:rPr>
          <w:rFonts w:hint="default"/>
          <w:lang w:val="en-US" w:eastAsia="zh-CN"/>
        </w:rPr>
      </w:pPr>
      <w:r>
        <w:rPr>
          <w:rFonts w:hint="default"/>
          <w:lang w:val="en-US" w:eastAsia="zh-CN"/>
        </w:rPr>
        <w:t>《济宁市电梯安全条例》</w:t>
      </w:r>
    </w:p>
    <w:p w14:paraId="6925A913">
      <w:pPr>
        <w:pStyle w:val="2"/>
        <w:numPr>
          <w:ilvl w:val="0"/>
          <w:numId w:val="16"/>
        </w:numPr>
        <w:bidi w:val="0"/>
        <w:ind w:left="0" w:leftChars="0" w:firstLine="420" w:firstLineChars="0"/>
        <w:rPr>
          <w:rFonts w:hint="default" w:ascii="Times New Roman" w:hAnsi="Times New Roman" w:cs="Times New Roman"/>
          <w:b w:val="0"/>
          <w:bCs w:val="0"/>
          <w:lang w:val="en-US" w:eastAsia="zh-CN"/>
        </w:rPr>
      </w:pPr>
      <w:bookmarkStart w:id="48" w:name="_Toc513"/>
      <w:r>
        <w:rPr>
          <w:rFonts w:hint="default" w:ascii="Times New Roman" w:hAnsi="Times New Roman" w:cs="Times New Roman"/>
          <w:b w:val="0"/>
          <w:bCs w:val="0"/>
          <w:lang w:val="en-US" w:eastAsia="zh-CN"/>
        </w:rPr>
        <w:t>常用部门规章</w:t>
      </w:r>
      <w:bookmarkEnd w:id="48"/>
    </w:p>
    <w:p w14:paraId="191813D9">
      <w:pPr>
        <w:numPr>
          <w:ilvl w:val="0"/>
          <w:numId w:val="18"/>
        </w:numPr>
        <w:bidi w:val="0"/>
        <w:rPr>
          <w:rFonts w:hint="default"/>
          <w:lang w:val="en-US" w:eastAsia="zh-CN"/>
        </w:rPr>
      </w:pPr>
      <w:r>
        <w:rPr>
          <w:rFonts w:hint="default" w:ascii="Times New Roman" w:hAnsi="Times New Roman" w:cs="Times New Roman"/>
          <w:b w:val="0"/>
          <w:bCs w:val="0"/>
          <w:lang w:val="en-US" w:eastAsia="zh-CN"/>
        </w:rPr>
        <w:t>《</w:t>
      </w:r>
      <w:r>
        <w:rPr>
          <w:rFonts w:hint="default"/>
          <w:lang w:val="en-US" w:eastAsia="zh-CN"/>
        </w:rPr>
        <w:t>特种设备安全监督检查办法》（国家市场监管总局令第57号）</w:t>
      </w:r>
    </w:p>
    <w:p w14:paraId="2068D024">
      <w:pPr>
        <w:numPr>
          <w:ilvl w:val="0"/>
          <w:numId w:val="18"/>
        </w:numPr>
        <w:bidi w:val="0"/>
        <w:rPr>
          <w:rFonts w:hint="default"/>
          <w:lang w:val="en-US" w:eastAsia="zh-CN"/>
        </w:rPr>
      </w:pPr>
      <w:r>
        <w:rPr>
          <w:rFonts w:hint="default"/>
          <w:lang w:val="en-US" w:eastAsia="zh-CN"/>
        </w:rPr>
        <w:t>《特种设备事故报告和调查处理规定》（国家市场监管总局令第50号）</w:t>
      </w:r>
    </w:p>
    <w:p w14:paraId="344E3C4D">
      <w:pPr>
        <w:numPr>
          <w:ilvl w:val="0"/>
          <w:numId w:val="18"/>
        </w:numPr>
        <w:bidi w:val="0"/>
        <w:rPr>
          <w:rFonts w:hint="default"/>
          <w:lang w:val="en-US" w:eastAsia="zh-CN"/>
        </w:rPr>
      </w:pPr>
      <w:r>
        <w:rPr>
          <w:rFonts w:hint="default"/>
          <w:lang w:val="en-US" w:eastAsia="zh-CN"/>
        </w:rPr>
        <w:t>《特种设备使用单位落实使用安全主体责任监督管理规定》（国家市场监管总局令第74号）</w:t>
      </w:r>
    </w:p>
    <w:p w14:paraId="1C11F18E">
      <w:pPr>
        <w:numPr>
          <w:ilvl w:val="0"/>
          <w:numId w:val="18"/>
        </w:numPr>
        <w:bidi w:val="0"/>
        <w:rPr>
          <w:rFonts w:hint="default"/>
          <w:lang w:val="en-US" w:eastAsia="zh-CN"/>
        </w:rPr>
      </w:pPr>
      <w:r>
        <w:rPr>
          <w:rFonts w:hint="default"/>
          <w:lang w:val="en-US" w:eastAsia="zh-CN"/>
        </w:rPr>
        <w:t>《特种设备作业人员监督管理办法》（国家质量监督检验检疫总局令第70号）</w:t>
      </w:r>
    </w:p>
    <w:p w14:paraId="05278805">
      <w:pPr>
        <w:numPr>
          <w:ilvl w:val="0"/>
          <w:numId w:val="18"/>
        </w:numPr>
        <w:bidi w:val="0"/>
        <w:rPr>
          <w:rFonts w:hint="default"/>
          <w:lang w:val="en-US" w:eastAsia="zh-CN"/>
        </w:rPr>
      </w:pPr>
      <w:r>
        <w:rPr>
          <w:rFonts w:hint="default"/>
          <w:lang w:val="en-US" w:eastAsia="zh-CN"/>
        </w:rPr>
        <w:t>《大型游乐设施安全监察规定》（国家质量监督检验检疫总局令第154号）</w:t>
      </w:r>
    </w:p>
    <w:p w14:paraId="71452E03">
      <w:pPr>
        <w:numPr>
          <w:ilvl w:val="0"/>
          <w:numId w:val="18"/>
        </w:numPr>
        <w:bidi w:val="0"/>
        <w:rPr>
          <w:rFonts w:hint="default"/>
          <w:lang w:val="en-US" w:eastAsia="zh-CN"/>
        </w:rPr>
      </w:pPr>
      <w:r>
        <w:rPr>
          <w:rFonts w:hint="default"/>
          <w:lang w:val="en-US" w:eastAsia="zh-CN"/>
        </w:rPr>
        <w:t>《高耗能特种设备节能监督管理办法》（国家质量监督检验检疫总局令第116号）</w:t>
      </w:r>
    </w:p>
    <w:p w14:paraId="34A4781B">
      <w:pPr>
        <w:numPr>
          <w:ilvl w:val="0"/>
          <w:numId w:val="18"/>
        </w:numPr>
        <w:bidi w:val="0"/>
        <w:rPr>
          <w:rFonts w:hint="default"/>
          <w:lang w:val="en-US" w:eastAsia="zh-CN"/>
        </w:rPr>
      </w:pPr>
      <w:r>
        <w:rPr>
          <w:rFonts w:hint="default"/>
          <w:lang w:val="en-US" w:eastAsia="zh-CN"/>
        </w:rPr>
        <w:t>《客运索道安全监督管理规定》（国家质量监督检验检疫总局令第179号）</w:t>
      </w:r>
    </w:p>
    <w:p w14:paraId="12821FDF">
      <w:pPr>
        <w:pStyle w:val="2"/>
        <w:numPr>
          <w:ilvl w:val="0"/>
          <w:numId w:val="16"/>
        </w:numPr>
        <w:bidi w:val="0"/>
        <w:ind w:left="0" w:leftChars="0" w:firstLine="420" w:firstLineChars="0"/>
        <w:rPr>
          <w:rFonts w:hint="default" w:ascii="Times New Roman" w:hAnsi="Times New Roman" w:cs="Times New Roman"/>
          <w:b w:val="0"/>
          <w:bCs w:val="0"/>
          <w:lang w:val="en-US" w:eastAsia="zh-CN"/>
        </w:rPr>
      </w:pPr>
      <w:bookmarkStart w:id="49" w:name="_Toc10286"/>
      <w:r>
        <w:rPr>
          <w:rFonts w:hint="default" w:ascii="Times New Roman" w:hAnsi="Times New Roman" w:cs="Times New Roman"/>
          <w:b w:val="0"/>
          <w:bCs w:val="0"/>
          <w:lang w:val="en-US" w:eastAsia="zh-CN"/>
        </w:rPr>
        <w:t>常用安全技术规范</w:t>
      </w:r>
      <w:bookmarkEnd w:id="49"/>
    </w:p>
    <w:p w14:paraId="4FFFAF96">
      <w:pPr>
        <w:numPr>
          <w:ilvl w:val="0"/>
          <w:numId w:val="19"/>
        </w:numPr>
        <w:bidi w:val="0"/>
        <w:rPr>
          <w:rFonts w:hint="default"/>
          <w:lang w:val="en-US" w:eastAsia="zh-CN"/>
        </w:rPr>
      </w:pPr>
      <w:r>
        <w:rPr>
          <w:rFonts w:hint="default" w:ascii="Times New Roman" w:hAnsi="Times New Roman" w:cs="Times New Roman"/>
          <w:b w:val="0"/>
          <w:bCs w:val="0"/>
          <w:lang w:val="en-US" w:eastAsia="zh-CN"/>
        </w:rPr>
        <w:t>《</w:t>
      </w:r>
      <w:r>
        <w:rPr>
          <w:rFonts w:hint="default"/>
          <w:lang w:val="en-US" w:eastAsia="zh-CN"/>
        </w:rPr>
        <w:t>特种设备使用管理规则》（TSG 08-2026）</w:t>
      </w:r>
    </w:p>
    <w:p w14:paraId="30B22092">
      <w:pPr>
        <w:numPr>
          <w:ilvl w:val="0"/>
          <w:numId w:val="19"/>
        </w:numPr>
        <w:bidi w:val="0"/>
        <w:rPr>
          <w:rFonts w:hint="default"/>
          <w:lang w:val="en-US" w:eastAsia="zh-CN"/>
        </w:rPr>
      </w:pPr>
      <w:r>
        <w:rPr>
          <w:rFonts w:hint="default"/>
          <w:lang w:val="en-US" w:eastAsia="zh-CN"/>
        </w:rPr>
        <w:t>《特种设备事故报告和调查处理导则》（TSG 03-2024）</w:t>
      </w:r>
    </w:p>
    <w:p w14:paraId="38F80066">
      <w:pPr>
        <w:numPr>
          <w:ilvl w:val="0"/>
          <w:numId w:val="19"/>
        </w:numPr>
        <w:bidi w:val="0"/>
        <w:rPr>
          <w:rFonts w:hint="default"/>
          <w:lang w:val="en-US" w:eastAsia="zh-CN"/>
        </w:rPr>
      </w:pPr>
      <w:r>
        <w:rPr>
          <w:rFonts w:hint="default"/>
          <w:lang w:val="en-US" w:eastAsia="zh-CN"/>
        </w:rPr>
        <w:t>《特种设备生产和充装单位许可规则》（TSG 07-2019）</w:t>
      </w:r>
    </w:p>
    <w:p w14:paraId="42A368F0">
      <w:pPr>
        <w:numPr>
          <w:ilvl w:val="0"/>
          <w:numId w:val="19"/>
        </w:numPr>
        <w:bidi w:val="0"/>
        <w:rPr>
          <w:rFonts w:hint="default"/>
          <w:lang w:val="en-US" w:eastAsia="zh-CN"/>
        </w:rPr>
      </w:pPr>
      <w:r>
        <w:rPr>
          <w:rFonts w:hint="default"/>
          <w:lang w:val="en-US" w:eastAsia="zh-CN"/>
        </w:rPr>
        <w:t>《特种设备作业人员考核规则》（TSG Z6001-2019）</w:t>
      </w:r>
    </w:p>
    <w:p w14:paraId="55E40097">
      <w:pPr>
        <w:numPr>
          <w:ilvl w:val="0"/>
          <w:numId w:val="19"/>
        </w:numPr>
        <w:bidi w:val="0"/>
        <w:rPr>
          <w:rFonts w:hint="default"/>
          <w:lang w:val="en-US" w:eastAsia="zh-CN"/>
        </w:rPr>
      </w:pPr>
      <w:r>
        <w:rPr>
          <w:rFonts w:hint="default"/>
          <w:lang w:val="en-US" w:eastAsia="zh-CN"/>
        </w:rPr>
        <w:t>《特种设备检验机构核准规则》（TSG Z7001-2021）</w:t>
      </w:r>
    </w:p>
    <w:p w14:paraId="31C40410">
      <w:pPr>
        <w:numPr>
          <w:ilvl w:val="0"/>
          <w:numId w:val="19"/>
        </w:numPr>
        <w:bidi w:val="0"/>
        <w:rPr>
          <w:rFonts w:hint="default"/>
          <w:lang w:val="en-US" w:eastAsia="zh-CN"/>
        </w:rPr>
      </w:pPr>
      <w:r>
        <w:rPr>
          <w:rFonts w:hint="default"/>
          <w:lang w:val="en-US" w:eastAsia="zh-CN"/>
        </w:rPr>
        <w:t>《特种设备检测机构核准规则》（TSG Z7002-2022）</w:t>
      </w:r>
    </w:p>
    <w:p w14:paraId="29944A43">
      <w:pPr>
        <w:numPr>
          <w:ilvl w:val="0"/>
          <w:numId w:val="19"/>
        </w:numPr>
        <w:bidi w:val="0"/>
        <w:rPr>
          <w:rFonts w:hint="default"/>
          <w:lang w:val="en-US" w:eastAsia="zh-CN"/>
        </w:rPr>
      </w:pPr>
      <w:r>
        <w:rPr>
          <w:rFonts w:hint="default"/>
          <w:lang w:val="en-US" w:eastAsia="zh-CN"/>
        </w:rPr>
        <w:t>《锅炉安全技术规程》（TSG 11-2020）</w:t>
      </w:r>
    </w:p>
    <w:p w14:paraId="7FF31870">
      <w:pPr>
        <w:numPr>
          <w:ilvl w:val="0"/>
          <w:numId w:val="19"/>
        </w:numPr>
        <w:bidi w:val="0"/>
        <w:rPr>
          <w:rFonts w:hint="default"/>
          <w:lang w:val="en-US" w:eastAsia="zh-CN"/>
        </w:rPr>
      </w:pPr>
      <w:r>
        <w:rPr>
          <w:rFonts w:hint="default"/>
          <w:lang w:val="en-US" w:eastAsia="zh-CN"/>
        </w:rPr>
        <w:t>《锅炉节能环保技术规程》（TSG 91—2021）</w:t>
      </w:r>
    </w:p>
    <w:p w14:paraId="4A39B5E9">
      <w:pPr>
        <w:numPr>
          <w:ilvl w:val="0"/>
          <w:numId w:val="19"/>
        </w:numPr>
        <w:bidi w:val="0"/>
        <w:rPr>
          <w:rFonts w:hint="default"/>
          <w:lang w:val="en-US" w:eastAsia="zh-CN"/>
        </w:rPr>
      </w:pPr>
      <w:r>
        <w:rPr>
          <w:rFonts w:hint="default"/>
          <w:lang w:val="en-US" w:eastAsia="zh-CN"/>
        </w:rPr>
        <w:t>《固定式压力容器安全技术监察规程》（TSG 21-2016）</w:t>
      </w:r>
    </w:p>
    <w:p w14:paraId="5D9D0036">
      <w:pPr>
        <w:numPr>
          <w:ilvl w:val="0"/>
          <w:numId w:val="19"/>
        </w:numPr>
        <w:bidi w:val="0"/>
        <w:rPr>
          <w:rFonts w:hint="default"/>
          <w:lang w:val="en-US" w:eastAsia="zh-CN"/>
        </w:rPr>
      </w:pPr>
      <w:r>
        <w:rPr>
          <w:rFonts w:hint="default"/>
          <w:lang w:val="en-US" w:eastAsia="zh-CN"/>
        </w:rPr>
        <w:t>《移动式压力容器安全技术监察规程》（TSG R0005-2011）</w:t>
      </w:r>
    </w:p>
    <w:p w14:paraId="7C139C93">
      <w:pPr>
        <w:numPr>
          <w:ilvl w:val="0"/>
          <w:numId w:val="19"/>
        </w:numPr>
        <w:bidi w:val="0"/>
        <w:rPr>
          <w:rFonts w:hint="default"/>
          <w:lang w:val="en-US" w:eastAsia="zh-CN"/>
        </w:rPr>
      </w:pPr>
      <w:r>
        <w:rPr>
          <w:rFonts w:hint="default"/>
          <w:lang w:val="en-US" w:eastAsia="zh-CN"/>
        </w:rPr>
        <w:t>《气瓶安全技术规程》（TSG 23-2021）</w:t>
      </w:r>
    </w:p>
    <w:p w14:paraId="13750FB8">
      <w:pPr>
        <w:numPr>
          <w:ilvl w:val="0"/>
          <w:numId w:val="19"/>
        </w:numPr>
        <w:bidi w:val="0"/>
        <w:rPr>
          <w:rFonts w:hint="default"/>
          <w:lang w:val="en-US" w:eastAsia="zh-CN"/>
        </w:rPr>
      </w:pPr>
      <w:r>
        <w:rPr>
          <w:rFonts w:hint="default"/>
          <w:lang w:val="en-US" w:eastAsia="zh-CN"/>
        </w:rPr>
        <w:t>《工业管道安全技术规程》（TSG 31-2025）</w:t>
      </w:r>
    </w:p>
    <w:p w14:paraId="58926E00">
      <w:pPr>
        <w:numPr>
          <w:ilvl w:val="0"/>
          <w:numId w:val="19"/>
        </w:numPr>
        <w:bidi w:val="0"/>
        <w:rPr>
          <w:rFonts w:hint="default"/>
          <w:lang w:val="en-US" w:eastAsia="zh-CN"/>
        </w:rPr>
      </w:pPr>
      <w:r>
        <w:rPr>
          <w:rFonts w:hint="default"/>
          <w:lang w:val="en-US" w:eastAsia="zh-CN"/>
        </w:rPr>
        <w:t>《承压类特种设备安全附件安全技术规程》（TSG 92-2026）</w:t>
      </w:r>
    </w:p>
    <w:p w14:paraId="505ABF02">
      <w:pPr>
        <w:numPr>
          <w:ilvl w:val="0"/>
          <w:numId w:val="19"/>
        </w:numPr>
        <w:bidi w:val="0"/>
        <w:rPr>
          <w:rFonts w:hint="default"/>
          <w:lang w:val="en-US" w:eastAsia="zh-CN"/>
        </w:rPr>
      </w:pPr>
      <w:r>
        <w:rPr>
          <w:rFonts w:hint="default"/>
          <w:lang w:val="en-US" w:eastAsia="zh-CN"/>
        </w:rPr>
        <w:t>《电梯维护保养规则》（TSG T5002-2017）</w:t>
      </w:r>
    </w:p>
    <w:p w14:paraId="137387B3">
      <w:pPr>
        <w:numPr>
          <w:ilvl w:val="0"/>
          <w:numId w:val="19"/>
        </w:numPr>
        <w:bidi w:val="0"/>
        <w:rPr>
          <w:rFonts w:hint="default"/>
          <w:lang w:val="en-US" w:eastAsia="zh-CN"/>
        </w:rPr>
      </w:pPr>
      <w:r>
        <w:rPr>
          <w:rFonts w:hint="default"/>
          <w:lang w:val="en-US" w:eastAsia="zh-CN"/>
        </w:rPr>
        <w:t>《起重机械安全技术规程》（TSG 51-2023）</w:t>
      </w:r>
    </w:p>
    <w:p w14:paraId="7AC90CF7">
      <w:pPr>
        <w:numPr>
          <w:ilvl w:val="0"/>
          <w:numId w:val="19"/>
        </w:numPr>
        <w:bidi w:val="0"/>
        <w:rPr>
          <w:rFonts w:hint="default"/>
          <w:lang w:val="en-US" w:eastAsia="zh-CN"/>
        </w:rPr>
      </w:pPr>
      <w:r>
        <w:rPr>
          <w:rFonts w:hint="default"/>
          <w:lang w:val="en-US" w:eastAsia="zh-CN"/>
        </w:rPr>
        <w:t>《场（厂）内专用机动车辆安全技术规程》（TSG 81-2022）</w:t>
      </w:r>
    </w:p>
    <w:p w14:paraId="706F1159">
      <w:pPr>
        <w:numPr>
          <w:ilvl w:val="0"/>
          <w:numId w:val="19"/>
        </w:numPr>
        <w:bidi w:val="0"/>
        <w:rPr>
          <w:rFonts w:hint="default"/>
          <w:lang w:val="en-US" w:eastAsia="zh-CN"/>
        </w:rPr>
      </w:pPr>
      <w:r>
        <w:rPr>
          <w:rFonts w:hint="default"/>
          <w:lang w:val="en-US" w:eastAsia="zh-CN"/>
        </w:rPr>
        <w:t>《大型游乐设施安全技术规程》（TSG71-2023）</w:t>
      </w:r>
    </w:p>
    <w:p w14:paraId="1445B1EC">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br w:type="page"/>
      </w:r>
    </w:p>
    <w:p w14:paraId="6A2A14D1">
      <w:pPr>
        <w:pStyle w:val="3"/>
        <w:bidi w:val="0"/>
        <w:rPr>
          <w:rFonts w:hint="default" w:ascii="黑体" w:hAnsi="黑体" w:cs="黑体"/>
          <w:b w:val="0"/>
          <w:bCs w:val="0"/>
          <w:sz w:val="28"/>
          <w:szCs w:val="28"/>
          <w:lang w:val="en-US" w:eastAsia="zh-CN"/>
        </w:rPr>
      </w:pPr>
      <w:bookmarkStart w:id="50" w:name="_Toc32126"/>
      <w:r>
        <w:rPr>
          <w:rFonts w:hint="eastAsia" w:ascii="黑体" w:hAnsi="黑体" w:cs="黑体"/>
          <w:b w:val="0"/>
          <w:bCs w:val="0"/>
          <w:sz w:val="28"/>
          <w:szCs w:val="28"/>
          <w:lang w:val="en-US" w:eastAsia="zh-CN"/>
        </w:rPr>
        <w:t>十二、</w:t>
      </w:r>
      <w:r>
        <w:rPr>
          <w:rFonts w:hint="default" w:ascii="黑体" w:hAnsi="黑体" w:cs="黑体"/>
          <w:b w:val="0"/>
          <w:bCs w:val="0"/>
          <w:sz w:val="28"/>
          <w:szCs w:val="28"/>
          <w:lang w:val="en-US" w:eastAsia="zh-CN"/>
        </w:rPr>
        <w:t>特种设备重大事故隐患判定标准</w:t>
      </w:r>
      <w:bookmarkEnd w:id="50"/>
    </w:p>
    <w:p w14:paraId="5AE02F0D">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lang w:val="en-US" w:eastAsia="zh-CN"/>
        </w:rPr>
      </w:pPr>
      <w:r>
        <w:rPr>
          <w:rFonts w:hint="default"/>
          <w:lang w:val="en-US" w:eastAsia="zh-CN"/>
        </w:rPr>
        <w:t>特种设备重大事故隐患是指在特种设备使用过程中，存在的危害程度较大、可能导致群死群伤或造成重大经济损失的潜在不安全情形，对应《特种设备安全法》中的严重事故隐患。</w:t>
      </w:r>
    </w:p>
    <w:p w14:paraId="689D8B8E">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lang w:val="en-US" w:eastAsia="zh-CN"/>
        </w:rPr>
        <w:t>使用单位发现所使用特种设备存在重大事故隐患的，</w:t>
      </w:r>
      <w:r>
        <w:rPr>
          <w:rFonts w:hint="default" w:ascii="Times New Roman" w:hAnsi="Times New Roman" w:eastAsia="方正楷体简体" w:cs="Times New Roman"/>
          <w:b w:val="0"/>
          <w:bCs w:val="0"/>
          <w:color w:val="FF0000"/>
          <w:lang w:val="en-US" w:eastAsia="zh-CN"/>
        </w:rPr>
        <w:t>应立即停止使用该设备，采取措施消除事故隐患后方可使用</w:t>
      </w:r>
      <w:r>
        <w:rPr>
          <w:rFonts w:hint="default" w:ascii="Times New Roman" w:hAnsi="Times New Roman" w:cs="Times New Roman"/>
          <w:b w:val="0"/>
          <w:bCs w:val="0"/>
          <w:color w:val="FF0000"/>
          <w:lang w:val="en-US" w:eastAsia="zh-CN"/>
        </w:rPr>
        <w:t>。</w:t>
      </w:r>
      <w:r>
        <w:rPr>
          <w:rFonts w:hint="default" w:ascii="Times New Roman" w:hAnsi="Times New Roman" w:eastAsia="方正楷体简体" w:cs="Times New Roman"/>
          <w:b w:val="0"/>
          <w:bCs w:val="0"/>
          <w:color w:val="FF0000"/>
          <w:lang w:val="en-US" w:eastAsia="zh-CN"/>
        </w:rPr>
        <w:t>使用单位无法自行处理或整改后仍存在较大风险时，应向属地县级特种设备安全监察部门报告。</w:t>
      </w:r>
      <w:r>
        <w:rPr>
          <w:rFonts w:hint="default" w:ascii="Times New Roman" w:hAnsi="Times New Roman" w:cs="Times New Roman"/>
          <w:b w:val="0"/>
          <w:bCs w:val="0"/>
          <w:lang w:val="en-US" w:eastAsia="zh-CN"/>
        </w:rPr>
        <w:t>《特种设备重大事故隐患判定准则》（GB45067-2024）规定，以下情形属于特种设备重大事故隐患：</w:t>
      </w:r>
    </w:p>
    <w:p w14:paraId="12D84DA3">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lang w:val="en-US" w:eastAsia="zh-CN"/>
        </w:rPr>
      </w:pPr>
      <w:r>
        <w:rPr>
          <w:rFonts w:hint="default"/>
          <w:lang w:val="en-US" w:eastAsia="zh-CN"/>
        </w:rPr>
        <w:t>1.特种设备有下列情形之一仍继续使用的，应判定为重大事故隐患。</w:t>
      </w:r>
    </w:p>
    <w:p w14:paraId="16FCFA4A">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lang w:val="en-US" w:eastAsia="zh-CN"/>
        </w:rPr>
      </w:pPr>
      <w:r>
        <w:rPr>
          <w:rFonts w:hint="eastAsia"/>
          <w:lang w:val="en-US" w:eastAsia="zh-CN"/>
        </w:rPr>
        <w:t>（1）</w:t>
      </w:r>
      <w:r>
        <w:rPr>
          <w:rFonts w:hint="default"/>
          <w:lang w:val="en-US" w:eastAsia="zh-CN"/>
        </w:rPr>
        <w:t>特种设备未取得许可生产、因安全问题国家明令淘汰、已经报废或者达到报废条件。</w:t>
      </w:r>
    </w:p>
    <w:p w14:paraId="3F11B57A">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lang w:val="en-US" w:eastAsia="zh-CN"/>
        </w:rPr>
      </w:pPr>
      <w:r>
        <w:rPr>
          <w:rFonts w:hint="eastAsia"/>
          <w:lang w:val="en-US" w:eastAsia="zh-CN"/>
        </w:rPr>
        <w:t>（2）</w:t>
      </w:r>
      <w:r>
        <w:rPr>
          <w:rFonts w:hint="default"/>
          <w:lang w:val="en-US" w:eastAsia="zh-CN"/>
        </w:rPr>
        <w:t>特种设备发生过事故，未对其进行全面检查、消除事故隐患。</w:t>
      </w:r>
    </w:p>
    <w:p w14:paraId="38A85C96">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lang w:val="en-US" w:eastAsia="zh-CN"/>
        </w:rPr>
      </w:pPr>
      <w:r>
        <w:rPr>
          <w:rFonts w:hint="eastAsia"/>
          <w:lang w:val="en-US" w:eastAsia="zh-CN"/>
        </w:rPr>
        <w:t>（3）</w:t>
      </w:r>
      <w:r>
        <w:rPr>
          <w:rFonts w:hint="default"/>
          <w:lang w:val="en-US" w:eastAsia="zh-CN"/>
        </w:rPr>
        <w:t>未按规定进行监督检验或者监督检验不合格。</w:t>
      </w:r>
    </w:p>
    <w:p w14:paraId="2FBB3642">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lang w:val="en-US" w:eastAsia="zh-CN"/>
        </w:rPr>
      </w:pPr>
      <w:r>
        <w:rPr>
          <w:rFonts w:hint="eastAsia"/>
          <w:lang w:val="en-US" w:eastAsia="zh-CN"/>
        </w:rPr>
        <w:t>（4）</w:t>
      </w:r>
      <w:r>
        <w:rPr>
          <w:rFonts w:hint="default"/>
          <w:lang w:val="en-US" w:eastAsia="zh-CN"/>
        </w:rPr>
        <w:t>本章2~10中规定的超过规定参数、使用范围的情形。</w:t>
      </w:r>
    </w:p>
    <w:p w14:paraId="1290B829">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2.锅炉有下列情形之一仍继续使用的，应判定为重大事故隐患。</w:t>
      </w:r>
    </w:p>
    <w:p w14:paraId="1384A16C">
      <w:pPr>
        <w:keepNext w:val="0"/>
        <w:keepLines w:val="0"/>
        <w:pageBreakBefore w:val="0"/>
        <w:widowControl w:val="0"/>
        <w:numPr>
          <w:ilvl w:val="0"/>
          <w:numId w:val="20"/>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定期检验的检验结论为“不符合要求”。</w:t>
      </w:r>
    </w:p>
    <w:p w14:paraId="517C4D0E">
      <w:pPr>
        <w:keepNext w:val="0"/>
        <w:keepLines w:val="0"/>
        <w:pageBreakBefore w:val="0"/>
        <w:widowControl w:val="0"/>
        <w:numPr>
          <w:ilvl w:val="0"/>
          <w:numId w:val="20"/>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热工仪表失效或控制电（气）源中断，导致无法监视、调整主要运行参数。</w:t>
      </w:r>
    </w:p>
    <w:p w14:paraId="1D36FDAB">
      <w:pPr>
        <w:keepNext w:val="0"/>
        <w:keepLines w:val="0"/>
        <w:pageBreakBefore w:val="0"/>
        <w:widowControl w:val="0"/>
        <w:numPr>
          <w:ilvl w:val="0"/>
          <w:numId w:val="20"/>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安全阀（爆破片装置）缺失或失效。</w:t>
      </w:r>
    </w:p>
    <w:p w14:paraId="5F8951C5">
      <w:pPr>
        <w:keepNext w:val="0"/>
        <w:keepLines w:val="0"/>
        <w:pageBreakBefore w:val="0"/>
        <w:widowControl w:val="0"/>
        <w:numPr>
          <w:ilvl w:val="0"/>
          <w:numId w:val="20"/>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系统报警装置缺失或失效。</w:t>
      </w:r>
    </w:p>
    <w:p w14:paraId="5059554B">
      <w:pPr>
        <w:keepNext w:val="0"/>
        <w:keepLines w:val="0"/>
        <w:pageBreakBefore w:val="0"/>
        <w:widowControl w:val="0"/>
        <w:numPr>
          <w:ilvl w:val="0"/>
          <w:numId w:val="20"/>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联锁保护装置缺失或失效。</w:t>
      </w:r>
    </w:p>
    <w:p w14:paraId="5A70B4A8">
      <w:pPr>
        <w:keepNext w:val="0"/>
        <w:keepLines w:val="0"/>
        <w:pageBreakBefore w:val="0"/>
        <w:widowControl w:val="0"/>
        <w:numPr>
          <w:ilvl w:val="0"/>
          <w:numId w:val="20"/>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熄火保护装置缺失或失效。</w:t>
      </w:r>
    </w:p>
    <w:p w14:paraId="5CA41A72">
      <w:pPr>
        <w:keepNext w:val="0"/>
        <w:keepLines w:val="0"/>
        <w:pageBreakBefore w:val="0"/>
        <w:widowControl w:val="0"/>
        <w:numPr>
          <w:ilvl w:val="0"/>
          <w:numId w:val="20"/>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电站锅炉主要汽水管道泄漏或锅炉范围内管道破裂。</w:t>
      </w:r>
    </w:p>
    <w:p w14:paraId="02904EB8">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3.压力容器有下列情形之一仍继续使用的，应判定为重大事故隐患。</w:t>
      </w:r>
    </w:p>
    <w:p w14:paraId="7A35153D">
      <w:pPr>
        <w:keepNext w:val="0"/>
        <w:keepLines w:val="0"/>
        <w:pageBreakBefore w:val="0"/>
        <w:widowControl w:val="0"/>
        <w:numPr>
          <w:ilvl w:val="0"/>
          <w:numId w:val="21"/>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定期检验的检验结论为“不符合要求”。</w:t>
      </w:r>
    </w:p>
    <w:p w14:paraId="01E322DE">
      <w:pPr>
        <w:keepNext w:val="0"/>
        <w:keepLines w:val="0"/>
        <w:pageBreakBefore w:val="0"/>
        <w:widowControl w:val="0"/>
        <w:numPr>
          <w:ilvl w:val="0"/>
          <w:numId w:val="21"/>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固定式压力容器改做移动式压力容器使用。</w:t>
      </w:r>
    </w:p>
    <w:p w14:paraId="3ACF6FE3">
      <w:pPr>
        <w:keepNext w:val="0"/>
        <w:keepLines w:val="0"/>
        <w:pageBreakBefore w:val="0"/>
        <w:widowControl w:val="0"/>
        <w:numPr>
          <w:ilvl w:val="0"/>
          <w:numId w:val="21"/>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固定式压力容器、移动式压力容器的安全阀、爆破片装置、紧急切断装置缺失或失效。</w:t>
      </w:r>
    </w:p>
    <w:p w14:paraId="75C242C5">
      <w:pPr>
        <w:keepNext w:val="0"/>
        <w:keepLines w:val="0"/>
        <w:pageBreakBefore w:val="0"/>
        <w:widowControl w:val="0"/>
        <w:numPr>
          <w:ilvl w:val="0"/>
          <w:numId w:val="21"/>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快开门式压力容器的快开安全保护联锁装置缺失或失效。</w:t>
      </w:r>
    </w:p>
    <w:p w14:paraId="3C73742F">
      <w:pPr>
        <w:keepNext w:val="0"/>
        <w:keepLines w:val="0"/>
        <w:pageBreakBefore w:val="0"/>
        <w:widowControl w:val="0"/>
        <w:numPr>
          <w:ilvl w:val="0"/>
          <w:numId w:val="21"/>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氧舱的接地装置缺失或失效。</w:t>
      </w:r>
    </w:p>
    <w:p w14:paraId="35E8B0C7">
      <w:pPr>
        <w:keepNext w:val="0"/>
        <w:keepLines w:val="0"/>
        <w:pageBreakBefore w:val="0"/>
        <w:widowControl w:val="0"/>
        <w:numPr>
          <w:ilvl w:val="0"/>
          <w:numId w:val="21"/>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氧舱安全保护联锁装置（联锁功能）失效。</w:t>
      </w:r>
    </w:p>
    <w:p w14:paraId="65026032">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4.压力管道有下列情形之一仍继续使用的，应判定为重大事故隐患。</w:t>
      </w:r>
    </w:p>
    <w:p w14:paraId="74237544">
      <w:pPr>
        <w:keepNext w:val="0"/>
        <w:keepLines w:val="0"/>
        <w:pageBreakBefore w:val="0"/>
        <w:widowControl w:val="0"/>
        <w:numPr>
          <w:ilvl w:val="0"/>
          <w:numId w:val="22"/>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定期检验的检验结论为“不符合要求”或“不允许使用”。</w:t>
      </w:r>
    </w:p>
    <w:p w14:paraId="751513D4">
      <w:pPr>
        <w:keepNext w:val="0"/>
        <w:keepLines w:val="0"/>
        <w:pageBreakBefore w:val="0"/>
        <w:widowControl w:val="0"/>
        <w:numPr>
          <w:ilvl w:val="0"/>
          <w:numId w:val="22"/>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安全阀、爆破片装置、紧急切断装置缺失或失效。</w:t>
      </w:r>
    </w:p>
    <w:p w14:paraId="342CB1A3">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5.移动式压力容器或者气瓶充装有下列情形之一的，应判定为重大事故隐患。</w:t>
      </w:r>
    </w:p>
    <w:p w14:paraId="1FD85124">
      <w:pPr>
        <w:keepNext w:val="0"/>
        <w:keepLines w:val="0"/>
        <w:pageBreakBefore w:val="0"/>
        <w:widowControl w:val="0"/>
        <w:numPr>
          <w:ilvl w:val="0"/>
          <w:numId w:val="23"/>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未经许可，擅自从事移动式压力容器充装或者气瓶充装活动。</w:t>
      </w:r>
    </w:p>
    <w:p w14:paraId="094657CE">
      <w:pPr>
        <w:keepNext w:val="0"/>
        <w:keepLines w:val="0"/>
        <w:pageBreakBefore w:val="0"/>
        <w:widowControl w:val="0"/>
        <w:numPr>
          <w:ilvl w:val="0"/>
          <w:numId w:val="23"/>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移动式压力容器、气瓶错装介质。</w:t>
      </w:r>
    </w:p>
    <w:p w14:paraId="1394CB36">
      <w:pPr>
        <w:keepNext w:val="0"/>
        <w:keepLines w:val="0"/>
        <w:pageBreakBefore w:val="0"/>
        <w:widowControl w:val="0"/>
        <w:numPr>
          <w:ilvl w:val="0"/>
          <w:numId w:val="23"/>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充装设备设施上的紧急切断装置缺失或失效，仍继续使用的。</w:t>
      </w:r>
    </w:p>
    <w:p w14:paraId="6EDE6813">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6.电梯有下列情形之一仍继续使用的，应判定为重大事故隐患。</w:t>
      </w:r>
    </w:p>
    <w:p w14:paraId="3692E55B">
      <w:pPr>
        <w:keepNext w:val="0"/>
        <w:keepLines w:val="0"/>
        <w:pageBreakBefore w:val="0"/>
        <w:widowControl w:val="0"/>
        <w:numPr>
          <w:ilvl w:val="0"/>
          <w:numId w:val="24"/>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定期检验的检验结论为“不合格”。</w:t>
      </w:r>
    </w:p>
    <w:p w14:paraId="597CA1ED">
      <w:pPr>
        <w:keepNext w:val="0"/>
        <w:keepLines w:val="0"/>
        <w:pageBreakBefore w:val="0"/>
        <w:widowControl w:val="0"/>
        <w:numPr>
          <w:ilvl w:val="0"/>
          <w:numId w:val="24"/>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乘客与载货电梯门锁安全回路被短接。</w:t>
      </w:r>
    </w:p>
    <w:p w14:paraId="57AE785A">
      <w:pPr>
        <w:keepNext w:val="0"/>
        <w:keepLines w:val="0"/>
        <w:pageBreakBefore w:val="0"/>
        <w:widowControl w:val="0"/>
        <w:numPr>
          <w:ilvl w:val="0"/>
          <w:numId w:val="24"/>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限速器-安全钳联动试验失效。</w:t>
      </w:r>
    </w:p>
    <w:p w14:paraId="2C1C7E4A">
      <w:pPr>
        <w:keepNext w:val="0"/>
        <w:keepLines w:val="0"/>
        <w:pageBreakBefore w:val="0"/>
        <w:widowControl w:val="0"/>
        <w:numPr>
          <w:ilvl w:val="0"/>
          <w:numId w:val="24"/>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自动扶梯、自动人行道紧急停止开关缺失或失效。</w:t>
      </w:r>
    </w:p>
    <w:p w14:paraId="37365B87">
      <w:pPr>
        <w:keepNext w:val="0"/>
        <w:keepLines w:val="0"/>
        <w:pageBreakBefore w:val="0"/>
        <w:widowControl w:val="0"/>
        <w:numPr>
          <w:ilvl w:val="0"/>
          <w:numId w:val="24"/>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自动扶梯、自动人行道扶手带外缘与任何障碍物之间距离小于400mm 时,未按要求装设防护挡板。</w:t>
      </w:r>
    </w:p>
    <w:p w14:paraId="12D3095B">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7.起重机械有下列情形之一仍继续使用的，应判定为重大事故隐患。</w:t>
      </w:r>
    </w:p>
    <w:p w14:paraId="1DD955A6">
      <w:pPr>
        <w:keepNext w:val="0"/>
        <w:keepLines w:val="0"/>
        <w:pageBreakBefore w:val="0"/>
        <w:widowControl w:val="0"/>
        <w:numPr>
          <w:ilvl w:val="0"/>
          <w:numId w:val="25"/>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未经首次检验。</w:t>
      </w:r>
    </w:p>
    <w:p w14:paraId="172F1576">
      <w:pPr>
        <w:keepNext w:val="0"/>
        <w:keepLines w:val="0"/>
        <w:pageBreakBefore w:val="0"/>
        <w:widowControl w:val="0"/>
        <w:numPr>
          <w:ilvl w:val="0"/>
          <w:numId w:val="25"/>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定期检验(含首次检验)的检验结论为“不合格”。</w:t>
      </w:r>
    </w:p>
    <w:p w14:paraId="47339A44">
      <w:pPr>
        <w:keepNext w:val="0"/>
        <w:keepLines w:val="0"/>
        <w:pageBreakBefore w:val="0"/>
        <w:widowControl w:val="0"/>
        <w:numPr>
          <w:ilvl w:val="0"/>
          <w:numId w:val="25"/>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急停开关缺失或失效。</w:t>
      </w:r>
    </w:p>
    <w:p w14:paraId="3C15030F">
      <w:pPr>
        <w:keepNext w:val="0"/>
        <w:keepLines w:val="0"/>
        <w:pageBreakBefore w:val="0"/>
        <w:widowControl w:val="0"/>
        <w:numPr>
          <w:ilvl w:val="0"/>
          <w:numId w:val="25"/>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起重量限制器、起重力矩限制器、防坠安全器缺失或失效。</w:t>
      </w:r>
    </w:p>
    <w:p w14:paraId="27A5C6F5">
      <w:pPr>
        <w:keepNext w:val="0"/>
        <w:keepLines w:val="0"/>
        <w:pageBreakBefore w:val="0"/>
        <w:widowControl w:val="0"/>
        <w:numPr>
          <w:ilvl w:val="0"/>
          <w:numId w:val="25"/>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室外工作的轨道式起重机械抗风防滑装置缺失或失效。</w:t>
      </w:r>
    </w:p>
    <w:p w14:paraId="11DF0502">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8.客运索道有下列情形之一仍继续使用的，应判定为重大事故隐患。</w:t>
      </w:r>
    </w:p>
    <w:p w14:paraId="0E515595">
      <w:pPr>
        <w:keepNext w:val="0"/>
        <w:keepLines w:val="0"/>
        <w:pageBreakBefore w:val="0"/>
        <w:widowControl w:val="0"/>
        <w:numPr>
          <w:ilvl w:val="0"/>
          <w:numId w:val="26"/>
        </w:numPr>
        <w:kinsoku/>
        <w:wordWrap/>
        <w:overflowPunct/>
        <w:topLinePunct w:val="0"/>
        <w:autoSpaceDE/>
        <w:autoSpaceDN/>
        <w:bidi w:val="0"/>
        <w:adjustRightInd/>
        <w:snapToGrid/>
        <w:spacing w:line="380" w:lineRule="exact"/>
        <w:ind w:left="425" w:leftChars="0" w:firstLine="52" w:firstLineChars="22"/>
        <w:textAlignment w:val="auto"/>
        <w:rPr>
          <w:rFonts w:hint="default"/>
          <w:lang w:val="en-US" w:eastAsia="zh-CN"/>
        </w:rPr>
      </w:pPr>
      <w:r>
        <w:rPr>
          <w:rFonts w:hint="default"/>
          <w:lang w:val="en-US" w:eastAsia="zh-CN"/>
        </w:rPr>
        <w:t>定期检验的检验结论为“不合格”或“复检不合格”。</w:t>
      </w:r>
    </w:p>
    <w:p w14:paraId="333DF351">
      <w:pPr>
        <w:keepNext w:val="0"/>
        <w:keepLines w:val="0"/>
        <w:pageBreakBefore w:val="0"/>
        <w:widowControl w:val="0"/>
        <w:numPr>
          <w:ilvl w:val="0"/>
          <w:numId w:val="26"/>
        </w:numPr>
        <w:kinsoku/>
        <w:wordWrap/>
        <w:overflowPunct/>
        <w:topLinePunct w:val="0"/>
        <w:autoSpaceDE/>
        <w:autoSpaceDN/>
        <w:bidi w:val="0"/>
        <w:adjustRightInd/>
        <w:snapToGrid/>
        <w:spacing w:line="380" w:lineRule="exact"/>
        <w:ind w:left="425" w:leftChars="0" w:firstLine="52" w:firstLineChars="22"/>
        <w:textAlignment w:val="auto"/>
        <w:rPr>
          <w:rFonts w:hint="default"/>
          <w:lang w:val="en-US" w:eastAsia="zh-CN"/>
        </w:rPr>
      </w:pPr>
      <w:r>
        <w:rPr>
          <w:rFonts w:hint="default"/>
          <w:lang w:val="en-US" w:eastAsia="zh-CN"/>
        </w:rPr>
        <w:t>控制室、站台、机房紧急停车开关缺失或失效。</w:t>
      </w:r>
    </w:p>
    <w:p w14:paraId="4931269E">
      <w:pPr>
        <w:keepNext w:val="0"/>
        <w:keepLines w:val="0"/>
        <w:pageBreakBefore w:val="0"/>
        <w:widowControl w:val="0"/>
        <w:numPr>
          <w:ilvl w:val="0"/>
          <w:numId w:val="26"/>
        </w:numPr>
        <w:kinsoku/>
        <w:wordWrap/>
        <w:overflowPunct/>
        <w:topLinePunct w:val="0"/>
        <w:autoSpaceDE/>
        <w:autoSpaceDN/>
        <w:bidi w:val="0"/>
        <w:adjustRightInd/>
        <w:snapToGrid/>
        <w:spacing w:line="380" w:lineRule="exact"/>
        <w:ind w:left="425" w:leftChars="0" w:firstLine="52" w:firstLineChars="22"/>
        <w:textAlignment w:val="auto"/>
        <w:rPr>
          <w:rFonts w:hint="default"/>
          <w:lang w:val="en-US" w:eastAsia="zh-CN"/>
        </w:rPr>
      </w:pPr>
      <w:r>
        <w:rPr>
          <w:rFonts w:hint="default"/>
          <w:lang w:val="en-US" w:eastAsia="zh-CN"/>
        </w:rPr>
        <w:t>吊厢、吊篮、客车门不能锁闭且未停用。</w:t>
      </w:r>
    </w:p>
    <w:p w14:paraId="3F1E02D7">
      <w:pPr>
        <w:keepNext w:val="0"/>
        <w:keepLines w:val="0"/>
        <w:pageBreakBefore w:val="0"/>
        <w:widowControl w:val="0"/>
        <w:numPr>
          <w:ilvl w:val="0"/>
          <w:numId w:val="26"/>
        </w:numPr>
        <w:kinsoku/>
        <w:wordWrap/>
        <w:overflowPunct/>
        <w:topLinePunct w:val="0"/>
        <w:autoSpaceDE/>
        <w:autoSpaceDN/>
        <w:bidi w:val="0"/>
        <w:adjustRightInd/>
        <w:snapToGrid/>
        <w:spacing w:line="380" w:lineRule="exact"/>
        <w:ind w:left="425" w:leftChars="0" w:firstLine="52" w:firstLineChars="22"/>
        <w:textAlignment w:val="auto"/>
        <w:rPr>
          <w:rFonts w:hint="default"/>
          <w:lang w:val="en-US" w:eastAsia="zh-CN"/>
        </w:rPr>
      </w:pPr>
      <w:r>
        <w:rPr>
          <w:rFonts w:hint="default"/>
          <w:lang w:val="en-US" w:eastAsia="zh-CN"/>
        </w:rPr>
        <w:t>辅机、备用电源不能启动运行。</w:t>
      </w:r>
    </w:p>
    <w:p w14:paraId="64ACA288">
      <w:pPr>
        <w:keepNext w:val="0"/>
        <w:keepLines w:val="0"/>
        <w:pageBreakBefore w:val="0"/>
        <w:widowControl w:val="0"/>
        <w:numPr>
          <w:ilvl w:val="0"/>
          <w:numId w:val="26"/>
        </w:numPr>
        <w:kinsoku/>
        <w:wordWrap/>
        <w:overflowPunct/>
        <w:topLinePunct w:val="0"/>
        <w:autoSpaceDE/>
        <w:autoSpaceDN/>
        <w:bidi w:val="0"/>
        <w:adjustRightInd/>
        <w:snapToGrid/>
        <w:spacing w:line="380" w:lineRule="exact"/>
        <w:ind w:left="425" w:leftChars="0" w:firstLine="52" w:firstLineChars="22"/>
        <w:textAlignment w:val="auto"/>
        <w:rPr>
          <w:rFonts w:hint="default"/>
          <w:lang w:val="en-US" w:eastAsia="zh-CN"/>
        </w:rPr>
      </w:pPr>
      <w:r>
        <w:rPr>
          <w:rFonts w:hint="default"/>
          <w:lang w:val="en-US" w:eastAsia="zh-CN"/>
        </w:rPr>
        <w:t>电气系统安全回路发生故障后采用短接方法继续运营。</w:t>
      </w:r>
    </w:p>
    <w:p w14:paraId="0612D254">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9.大型游乐设施有下列情形之一仍继续使用的，应判定为重大事故隐患。</w:t>
      </w:r>
    </w:p>
    <w:p w14:paraId="7187416C">
      <w:pPr>
        <w:keepNext w:val="0"/>
        <w:keepLines w:val="0"/>
        <w:pageBreakBefore w:val="0"/>
        <w:widowControl w:val="0"/>
        <w:numPr>
          <w:ilvl w:val="0"/>
          <w:numId w:val="27"/>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定期检验的检验结论为“不合格”。</w:t>
      </w:r>
    </w:p>
    <w:p w14:paraId="50B740D8">
      <w:pPr>
        <w:keepNext w:val="0"/>
        <w:keepLines w:val="0"/>
        <w:pageBreakBefore w:val="0"/>
        <w:widowControl w:val="0"/>
        <w:numPr>
          <w:ilvl w:val="0"/>
          <w:numId w:val="27"/>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安全带、安全压杠和安全挡杆等乘客束缚装置缺失或失效。</w:t>
      </w:r>
    </w:p>
    <w:p w14:paraId="15242A9E">
      <w:pPr>
        <w:keepNext w:val="0"/>
        <w:keepLines w:val="0"/>
        <w:pageBreakBefore w:val="0"/>
        <w:widowControl w:val="0"/>
        <w:numPr>
          <w:ilvl w:val="0"/>
          <w:numId w:val="27"/>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座舱舱门锁紧装置缺失或失效。</w:t>
      </w:r>
    </w:p>
    <w:p w14:paraId="759FD26A">
      <w:pPr>
        <w:keepNext w:val="0"/>
        <w:keepLines w:val="0"/>
        <w:pageBreakBefore w:val="0"/>
        <w:widowControl w:val="0"/>
        <w:numPr>
          <w:ilvl w:val="0"/>
          <w:numId w:val="27"/>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制动装置、限位装置、防碰撞及缓冲装置、止逆行装置、限速装置缺失或失效。</w:t>
      </w:r>
    </w:p>
    <w:p w14:paraId="5D16150F">
      <w:pPr>
        <w:keepNext w:val="0"/>
        <w:keepLines w:val="0"/>
        <w:pageBreakBefore w:val="0"/>
        <w:widowControl w:val="0"/>
        <w:numPr>
          <w:ilvl w:val="0"/>
          <w:numId w:val="27"/>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主要受力部件、重要焊缝及重要螺栓出现裂纹、严重变形。</w:t>
      </w:r>
    </w:p>
    <w:p w14:paraId="46C9AC23">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10.场（厂）内专用机动车辆有下列情形之一仍继续使用的，应判定为重大事故隐患。</w:t>
      </w:r>
    </w:p>
    <w:p w14:paraId="1B0D34D8">
      <w:pPr>
        <w:keepNext w:val="0"/>
        <w:keepLines w:val="0"/>
        <w:pageBreakBefore w:val="0"/>
        <w:widowControl w:val="0"/>
        <w:numPr>
          <w:ilvl w:val="0"/>
          <w:numId w:val="28"/>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ascii="Times New Roman" w:hAnsi="Times New Roman" w:cs="Times New Roman"/>
          <w:b w:val="0"/>
          <w:bCs w:val="0"/>
          <w:lang w:val="en-US" w:eastAsia="zh-CN"/>
        </w:rPr>
        <w:t>定</w:t>
      </w:r>
      <w:r>
        <w:rPr>
          <w:rFonts w:hint="default"/>
          <w:lang w:val="en-US" w:eastAsia="zh-CN"/>
        </w:rPr>
        <w:t>期检验的检验结论为“不合格”。</w:t>
      </w:r>
    </w:p>
    <w:p w14:paraId="0E792783">
      <w:pPr>
        <w:keepNext w:val="0"/>
        <w:keepLines w:val="0"/>
        <w:pageBreakBefore w:val="0"/>
        <w:widowControl w:val="0"/>
        <w:numPr>
          <w:ilvl w:val="0"/>
          <w:numId w:val="28"/>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电动车辆电源紧急切断装置缺失或失效。</w:t>
      </w:r>
    </w:p>
    <w:p w14:paraId="433CBF12">
      <w:pPr>
        <w:keepNext w:val="0"/>
        <w:keepLines w:val="0"/>
        <w:pageBreakBefore w:val="0"/>
        <w:widowControl w:val="0"/>
        <w:numPr>
          <w:ilvl w:val="0"/>
          <w:numId w:val="28"/>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制动（包括行车、驻车）装置缺失或失效。</w:t>
      </w:r>
    </w:p>
    <w:p w14:paraId="6B830258">
      <w:pPr>
        <w:keepNext w:val="0"/>
        <w:keepLines w:val="0"/>
        <w:pageBreakBefore w:val="0"/>
        <w:widowControl w:val="0"/>
        <w:numPr>
          <w:ilvl w:val="0"/>
          <w:numId w:val="28"/>
        </w:numPr>
        <w:kinsoku/>
        <w:wordWrap/>
        <w:overflowPunct/>
        <w:topLinePunct w:val="0"/>
        <w:autoSpaceDE/>
        <w:autoSpaceDN/>
        <w:bidi w:val="0"/>
        <w:adjustRightInd/>
        <w:snapToGrid/>
        <w:spacing w:line="380" w:lineRule="exact"/>
        <w:ind w:left="5" w:leftChars="0" w:firstLine="470" w:firstLineChars="196"/>
        <w:textAlignment w:val="auto"/>
        <w:rPr>
          <w:rFonts w:hint="default"/>
          <w:lang w:val="en-US" w:eastAsia="zh-CN"/>
        </w:rPr>
      </w:pPr>
      <w:r>
        <w:rPr>
          <w:rFonts w:hint="default"/>
          <w:lang w:val="en-US" w:eastAsia="zh-CN"/>
        </w:rPr>
        <w:t>观光列车的牵引连接装置及其二次保护装置缺失或失效。</w:t>
      </w:r>
    </w:p>
    <w:p w14:paraId="25C423E7">
      <w:pPr>
        <w:keepNext w:val="0"/>
        <w:keepLines w:val="0"/>
        <w:pageBreakBefore w:val="0"/>
        <w:widowControl w:val="0"/>
        <w:numPr>
          <w:ilvl w:val="0"/>
          <w:numId w:val="28"/>
        </w:numPr>
        <w:kinsoku/>
        <w:wordWrap/>
        <w:overflowPunct/>
        <w:topLinePunct w:val="0"/>
        <w:autoSpaceDE/>
        <w:autoSpaceDN/>
        <w:bidi w:val="0"/>
        <w:adjustRightInd/>
        <w:snapToGrid/>
        <w:spacing w:line="380" w:lineRule="exact"/>
        <w:ind w:left="5" w:leftChars="0" w:firstLine="470" w:firstLineChars="196"/>
        <w:textAlignment w:val="auto"/>
        <w:rPr>
          <w:rFonts w:hint="default" w:ascii="Times New Roman" w:hAnsi="Times New Roman" w:cs="Times New Roman"/>
          <w:b w:val="0"/>
          <w:bCs w:val="0"/>
          <w:lang w:val="en-US" w:eastAsia="zh-CN"/>
        </w:rPr>
      </w:pPr>
      <w:r>
        <w:rPr>
          <w:rFonts w:hint="default"/>
          <w:lang w:val="en-US" w:eastAsia="zh-CN"/>
        </w:rPr>
        <w:t>非公路用旅游观光车辆超过最大行驶坡度使用</w:t>
      </w:r>
      <w:r>
        <w:rPr>
          <w:rFonts w:hint="default" w:ascii="Times New Roman" w:hAnsi="Times New Roman" w:cs="Times New Roman"/>
          <w:b w:val="0"/>
          <w:bCs w:val="0"/>
          <w:lang w:val="en-US" w:eastAsia="zh-CN"/>
        </w:rPr>
        <w:t>。</w:t>
      </w:r>
    </w:p>
    <w:p w14:paraId="14D540F6">
      <w:pP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br w:type="page"/>
      </w:r>
    </w:p>
    <w:p w14:paraId="02E3ABFF">
      <w:pPr>
        <w:pStyle w:val="3"/>
        <w:bidi w:val="0"/>
        <w:rPr>
          <w:rFonts w:hint="default" w:ascii="黑体" w:hAnsi="黑体" w:cs="黑体"/>
          <w:b w:val="0"/>
          <w:bCs w:val="0"/>
          <w:sz w:val="28"/>
          <w:szCs w:val="28"/>
          <w:lang w:val="en-US" w:eastAsia="zh-CN"/>
        </w:rPr>
      </w:pPr>
      <w:bookmarkStart w:id="51" w:name="_Toc18932"/>
      <w:r>
        <w:rPr>
          <w:rFonts w:hint="eastAsia" w:ascii="黑体" w:hAnsi="黑体" w:cs="黑体"/>
          <w:b w:val="0"/>
          <w:bCs w:val="0"/>
          <w:sz w:val="28"/>
          <w:szCs w:val="28"/>
          <w:lang w:val="en-US" w:eastAsia="zh-CN"/>
        </w:rPr>
        <w:t>十三、特种设备</w:t>
      </w:r>
      <w:r>
        <w:rPr>
          <w:rFonts w:hint="default" w:ascii="黑体" w:hAnsi="黑体" w:cs="黑体"/>
          <w:b w:val="0"/>
          <w:bCs w:val="0"/>
          <w:sz w:val="28"/>
          <w:szCs w:val="28"/>
          <w:lang w:val="en-US" w:eastAsia="zh-CN"/>
        </w:rPr>
        <w:t>使用单位办事指南</w:t>
      </w:r>
      <w:bookmarkEnd w:id="51"/>
    </w:p>
    <w:p w14:paraId="2D27F1E1">
      <w:pPr>
        <w:pStyle w:val="2"/>
        <w:bidi w:val="0"/>
        <w:rPr>
          <w:rFonts w:hint="default" w:ascii="Times New Roman" w:hAnsi="Times New Roman" w:cs="Times New Roman"/>
          <w:b w:val="0"/>
          <w:bCs w:val="0"/>
        </w:rPr>
      </w:pPr>
      <w:bookmarkStart w:id="52" w:name="_Toc21389"/>
      <w:r>
        <w:rPr>
          <w:rFonts w:hint="default" w:ascii="Times New Roman" w:hAnsi="Times New Roman" w:cs="Times New Roman"/>
          <w:b w:val="0"/>
          <w:bCs w:val="0"/>
        </w:rPr>
        <w:t>（一）办理施工告知</w:t>
      </w:r>
      <w:bookmarkEnd w:id="52"/>
    </w:p>
    <w:p w14:paraId="6B7E0B5B">
      <w:pPr>
        <w:bidi w:val="0"/>
        <w:rPr>
          <w:rFonts w:hint="eastAsia" w:eastAsia="宋体"/>
          <w:lang w:val="en-US" w:eastAsia="zh-CN"/>
        </w:rPr>
      </w:pPr>
      <w:r>
        <w:rPr>
          <w:rFonts w:hint="default"/>
        </w:rPr>
        <w:t>特种设备安装、改造、修理的施工单位应当在施工前将拟进行的特种设备安装、改造、修理情况书面或网上告知</w:t>
      </w:r>
      <w:r>
        <w:rPr>
          <w:rFonts w:hint="default"/>
          <w:lang w:val="en-US" w:eastAsia="zh-CN"/>
        </w:rPr>
        <w:t>特种</w:t>
      </w:r>
      <w:r>
        <w:rPr>
          <w:rFonts w:hint="default"/>
        </w:rPr>
        <w:t>设备所在地县（市</w:t>
      </w:r>
      <w:r>
        <w:rPr>
          <w:rFonts w:hint="default"/>
          <w:lang w:eastAsia="zh-CN"/>
        </w:rPr>
        <w:t>、</w:t>
      </w:r>
      <w:r>
        <w:rPr>
          <w:rFonts w:hint="default"/>
        </w:rPr>
        <w:t>区）市场监管部门。可</w:t>
      </w:r>
      <w:r>
        <w:rPr>
          <w:rFonts w:hint="default"/>
          <w:lang w:val="en-US" w:eastAsia="zh-CN"/>
        </w:rPr>
        <w:t>前往特种设备所在地</w:t>
      </w:r>
      <w:r>
        <w:rPr>
          <w:rFonts w:hint="default"/>
        </w:rPr>
        <w:t>县（市</w:t>
      </w:r>
      <w:r>
        <w:rPr>
          <w:rFonts w:hint="default"/>
          <w:lang w:eastAsia="zh-CN"/>
        </w:rPr>
        <w:t>、</w:t>
      </w:r>
      <w:r>
        <w:rPr>
          <w:rFonts w:hint="default"/>
        </w:rPr>
        <w:t>区）</w:t>
      </w:r>
      <w:r>
        <w:rPr>
          <w:rFonts w:hint="default"/>
          <w:lang w:val="en-US" w:eastAsia="zh-CN"/>
        </w:rPr>
        <w:t>市场监管部门办理，也可</w:t>
      </w:r>
      <w:r>
        <w:rPr>
          <w:rFonts w:hint="default"/>
        </w:rPr>
        <w:t>登陆</w:t>
      </w:r>
      <w:r>
        <w:rPr>
          <w:rFonts w:hint="default"/>
          <w:lang w:val="en-US" w:eastAsia="zh-CN"/>
        </w:rPr>
        <w:t>山东</w:t>
      </w:r>
      <w:r>
        <w:rPr>
          <w:rFonts w:hint="default"/>
        </w:rPr>
        <w:t>省特种设备</w:t>
      </w:r>
      <w:r>
        <w:rPr>
          <w:rFonts w:hint="default"/>
          <w:lang w:val="en-US" w:eastAsia="zh-CN"/>
        </w:rPr>
        <w:t>企业端管理</w:t>
      </w:r>
      <w:r>
        <w:rPr>
          <w:rFonts w:hint="default"/>
        </w:rPr>
        <w:t>平台（http://218.57.139.17:9070/QYSE/）</w:t>
      </w:r>
      <w:r>
        <w:rPr>
          <w:rFonts w:hint="default"/>
          <w:lang w:eastAsia="zh-CN"/>
        </w:rPr>
        <w:t>（</w:t>
      </w:r>
      <w:r>
        <w:rPr>
          <w:rFonts w:hint="default"/>
          <w:lang w:val="en-US" w:eastAsia="zh-CN"/>
        </w:rPr>
        <w:t>建议使用360浏览器极速模式或谷歌浏览器登录</w:t>
      </w:r>
      <w:r>
        <w:rPr>
          <w:rFonts w:hint="default"/>
          <w:lang w:eastAsia="zh-CN"/>
        </w:rPr>
        <w:t>），</w:t>
      </w:r>
      <w:r>
        <w:rPr>
          <w:rFonts w:hint="default"/>
          <w:lang w:val="en-US" w:eastAsia="zh-CN"/>
        </w:rPr>
        <w:t>注册“安装单位”账号后</w:t>
      </w:r>
      <w:r>
        <w:rPr>
          <w:rFonts w:hint="default"/>
        </w:rPr>
        <w:t>办理，具体可咨询各县（市、区）市场监管部门。</w:t>
      </w:r>
    </w:p>
    <w:p w14:paraId="51DA9D1B">
      <w:pPr>
        <w:bidi w:val="0"/>
        <w:ind w:left="0" w:leftChars="0" w:firstLine="0" w:firstLineChars="0"/>
        <w:jc w:val="center"/>
        <w:rPr>
          <w:rFonts w:hint="default"/>
          <w:lang w:val="en-US" w:eastAsia="zh-CN"/>
        </w:rPr>
      </w:pPr>
      <w:r>
        <w:rPr>
          <w:rFonts w:hint="default"/>
          <w:lang w:val="en-US" w:eastAsia="zh-CN"/>
        </w:rPr>
        <w:t>济宁市特种设备开工告知业务受理部门</w:t>
      </w:r>
    </w:p>
    <w:tbl>
      <w:tblPr>
        <w:tblStyle w:val="17"/>
        <w:tblW w:w="9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54"/>
        <w:gridCol w:w="1465"/>
        <w:gridCol w:w="727"/>
        <w:gridCol w:w="2481"/>
        <w:gridCol w:w="1387"/>
      </w:tblGrid>
      <w:tr w14:paraId="36A2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9465AA6">
            <w:pPr>
              <w:bidi w:val="0"/>
              <w:ind w:left="0" w:leftChars="0" w:firstLine="0" w:firstLineChars="0"/>
              <w:jc w:val="center"/>
              <w:rPr>
                <w:rFonts w:hint="default"/>
              </w:rPr>
            </w:pPr>
            <w:r>
              <w:rPr>
                <w:rFonts w:hint="default"/>
              </w:rPr>
              <w:t>编号</w:t>
            </w:r>
          </w:p>
        </w:tc>
        <w:tc>
          <w:tcPr>
            <w:tcW w:w="2354" w:type="dxa"/>
            <w:noWrap w:val="0"/>
            <w:vAlign w:val="center"/>
          </w:tcPr>
          <w:p w14:paraId="45951600">
            <w:pPr>
              <w:bidi w:val="0"/>
              <w:ind w:left="0" w:leftChars="0" w:firstLine="0" w:firstLineChars="0"/>
              <w:jc w:val="center"/>
              <w:rPr>
                <w:rFonts w:hint="default"/>
              </w:rPr>
            </w:pPr>
            <w:r>
              <w:rPr>
                <w:rFonts w:hint="default"/>
              </w:rPr>
              <w:t>单位</w:t>
            </w:r>
          </w:p>
        </w:tc>
        <w:tc>
          <w:tcPr>
            <w:tcW w:w="1465" w:type="dxa"/>
            <w:noWrap w:val="0"/>
            <w:vAlign w:val="center"/>
          </w:tcPr>
          <w:p w14:paraId="3507E7D9">
            <w:pPr>
              <w:bidi w:val="0"/>
              <w:ind w:left="0" w:leftChars="0" w:firstLine="0" w:firstLineChars="0"/>
              <w:jc w:val="center"/>
              <w:rPr>
                <w:rFonts w:hint="default"/>
              </w:rPr>
            </w:pPr>
            <w:r>
              <w:rPr>
                <w:rFonts w:hint="default"/>
              </w:rPr>
              <w:t>咨询电话</w:t>
            </w:r>
          </w:p>
        </w:tc>
        <w:tc>
          <w:tcPr>
            <w:tcW w:w="727" w:type="dxa"/>
            <w:noWrap w:val="0"/>
            <w:vAlign w:val="center"/>
          </w:tcPr>
          <w:p w14:paraId="3A6B1BA8">
            <w:pPr>
              <w:bidi w:val="0"/>
              <w:ind w:left="0" w:leftChars="0" w:firstLine="0" w:firstLineChars="0"/>
              <w:jc w:val="center"/>
              <w:rPr>
                <w:rFonts w:hint="default"/>
              </w:rPr>
            </w:pPr>
            <w:r>
              <w:rPr>
                <w:rFonts w:hint="default"/>
              </w:rPr>
              <w:t>编号</w:t>
            </w:r>
          </w:p>
        </w:tc>
        <w:tc>
          <w:tcPr>
            <w:tcW w:w="2481" w:type="dxa"/>
            <w:noWrap w:val="0"/>
            <w:vAlign w:val="center"/>
          </w:tcPr>
          <w:p w14:paraId="70A1824B">
            <w:pPr>
              <w:bidi w:val="0"/>
              <w:ind w:left="0" w:leftChars="0" w:firstLine="0" w:firstLineChars="0"/>
              <w:jc w:val="center"/>
              <w:rPr>
                <w:rFonts w:hint="default"/>
              </w:rPr>
            </w:pPr>
            <w:r>
              <w:rPr>
                <w:rFonts w:hint="default"/>
              </w:rPr>
              <w:t>单位</w:t>
            </w:r>
          </w:p>
        </w:tc>
        <w:tc>
          <w:tcPr>
            <w:tcW w:w="1387" w:type="dxa"/>
            <w:noWrap w:val="0"/>
            <w:vAlign w:val="center"/>
          </w:tcPr>
          <w:p w14:paraId="050E2583">
            <w:pPr>
              <w:bidi w:val="0"/>
              <w:ind w:left="0" w:leftChars="0" w:firstLine="0" w:firstLineChars="0"/>
              <w:jc w:val="center"/>
              <w:rPr>
                <w:rFonts w:hint="default"/>
              </w:rPr>
            </w:pPr>
            <w:r>
              <w:rPr>
                <w:rFonts w:hint="default"/>
              </w:rPr>
              <w:t>咨询电话</w:t>
            </w:r>
          </w:p>
        </w:tc>
      </w:tr>
      <w:tr w14:paraId="37E1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4131BE58">
            <w:pPr>
              <w:bidi w:val="0"/>
              <w:ind w:left="0" w:leftChars="0" w:firstLine="0" w:firstLineChars="0"/>
              <w:jc w:val="center"/>
              <w:rPr>
                <w:rFonts w:hint="default"/>
                <w:lang w:val="en-US" w:eastAsia="zh-CN"/>
              </w:rPr>
            </w:pPr>
            <w:r>
              <w:rPr>
                <w:rFonts w:hint="default"/>
                <w:lang w:val="en-US" w:eastAsia="zh-CN"/>
              </w:rPr>
              <w:t>1</w:t>
            </w:r>
          </w:p>
        </w:tc>
        <w:tc>
          <w:tcPr>
            <w:tcW w:w="2354" w:type="dxa"/>
            <w:noWrap w:val="0"/>
            <w:vAlign w:val="center"/>
          </w:tcPr>
          <w:p w14:paraId="7B1D6C80">
            <w:pPr>
              <w:bidi w:val="0"/>
              <w:ind w:left="0" w:leftChars="0" w:firstLine="0" w:firstLineChars="0"/>
              <w:jc w:val="center"/>
              <w:rPr>
                <w:rFonts w:hint="default"/>
                <w:lang w:val="en-US" w:eastAsia="zh-CN"/>
              </w:rPr>
            </w:pPr>
            <w:r>
              <w:rPr>
                <w:rFonts w:hint="default"/>
                <w:lang w:val="en-US" w:eastAsia="zh-CN"/>
              </w:rPr>
              <w:t>任城区市场监管局</w:t>
            </w:r>
          </w:p>
        </w:tc>
        <w:tc>
          <w:tcPr>
            <w:tcW w:w="1465" w:type="dxa"/>
            <w:noWrap w:val="0"/>
            <w:vAlign w:val="center"/>
          </w:tcPr>
          <w:p w14:paraId="6C0802EF">
            <w:pPr>
              <w:bidi w:val="0"/>
              <w:ind w:left="0" w:leftChars="0" w:firstLine="0" w:firstLineChars="0"/>
              <w:jc w:val="center"/>
              <w:rPr>
                <w:rFonts w:hint="default"/>
                <w:lang w:val="en-US" w:eastAsia="zh-CN"/>
              </w:rPr>
            </w:pPr>
            <w:r>
              <w:rPr>
                <w:rFonts w:hint="default"/>
                <w:lang w:val="en-US" w:eastAsia="zh-CN"/>
              </w:rPr>
              <w:t>3233151</w:t>
            </w:r>
          </w:p>
        </w:tc>
        <w:tc>
          <w:tcPr>
            <w:tcW w:w="727" w:type="dxa"/>
            <w:noWrap w:val="0"/>
            <w:vAlign w:val="center"/>
          </w:tcPr>
          <w:p w14:paraId="5115ABDA">
            <w:pPr>
              <w:bidi w:val="0"/>
              <w:ind w:left="0" w:leftChars="0" w:firstLine="0" w:firstLineChars="0"/>
              <w:jc w:val="center"/>
              <w:rPr>
                <w:rFonts w:hint="default"/>
                <w:lang w:val="en-US" w:eastAsia="zh-CN"/>
              </w:rPr>
            </w:pPr>
            <w:r>
              <w:rPr>
                <w:rFonts w:hint="default"/>
                <w:lang w:val="en-US" w:eastAsia="zh-CN"/>
              </w:rPr>
              <w:t>8</w:t>
            </w:r>
          </w:p>
        </w:tc>
        <w:tc>
          <w:tcPr>
            <w:tcW w:w="2481" w:type="dxa"/>
            <w:noWrap w:val="0"/>
            <w:vAlign w:val="center"/>
          </w:tcPr>
          <w:p w14:paraId="53726BC6">
            <w:pPr>
              <w:bidi w:val="0"/>
              <w:ind w:left="0" w:leftChars="0" w:firstLine="0" w:firstLineChars="0"/>
              <w:jc w:val="center"/>
              <w:rPr>
                <w:rFonts w:hint="default"/>
              </w:rPr>
            </w:pPr>
            <w:r>
              <w:rPr>
                <w:rFonts w:hint="default"/>
                <w:lang w:val="en-US" w:eastAsia="zh-CN"/>
              </w:rPr>
              <w:t>金乡县市场监管局</w:t>
            </w:r>
          </w:p>
        </w:tc>
        <w:tc>
          <w:tcPr>
            <w:tcW w:w="1387" w:type="dxa"/>
            <w:noWrap w:val="0"/>
            <w:vAlign w:val="center"/>
          </w:tcPr>
          <w:p w14:paraId="6C3BEC56">
            <w:pPr>
              <w:bidi w:val="0"/>
              <w:ind w:left="0" w:leftChars="0" w:firstLine="0" w:firstLineChars="0"/>
              <w:jc w:val="center"/>
              <w:rPr>
                <w:rFonts w:hint="default"/>
                <w:lang w:val="en-US" w:eastAsia="zh-CN"/>
              </w:rPr>
            </w:pPr>
            <w:r>
              <w:rPr>
                <w:rFonts w:hint="default"/>
                <w:lang w:val="en-US" w:eastAsia="zh-CN"/>
              </w:rPr>
              <w:t>8712776</w:t>
            </w:r>
          </w:p>
        </w:tc>
      </w:tr>
      <w:tr w14:paraId="370C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71A7EAE9">
            <w:pPr>
              <w:bidi w:val="0"/>
              <w:ind w:left="0" w:leftChars="0" w:firstLine="0" w:firstLineChars="0"/>
              <w:jc w:val="center"/>
              <w:rPr>
                <w:rFonts w:hint="default"/>
                <w:lang w:val="en-US" w:eastAsia="zh-CN"/>
              </w:rPr>
            </w:pPr>
            <w:r>
              <w:rPr>
                <w:rFonts w:hint="default"/>
                <w:lang w:val="en-US" w:eastAsia="zh-CN"/>
              </w:rPr>
              <w:t>2</w:t>
            </w:r>
          </w:p>
        </w:tc>
        <w:tc>
          <w:tcPr>
            <w:tcW w:w="2354" w:type="dxa"/>
            <w:noWrap w:val="0"/>
            <w:vAlign w:val="center"/>
          </w:tcPr>
          <w:p w14:paraId="77C59DD1">
            <w:pPr>
              <w:bidi w:val="0"/>
              <w:ind w:left="0" w:leftChars="0" w:firstLine="0" w:firstLineChars="0"/>
              <w:jc w:val="center"/>
              <w:rPr>
                <w:rFonts w:hint="default"/>
              </w:rPr>
            </w:pPr>
            <w:r>
              <w:rPr>
                <w:rFonts w:hint="default"/>
                <w:lang w:val="en-US" w:eastAsia="zh-CN"/>
              </w:rPr>
              <w:t>兖州区市场监管局</w:t>
            </w:r>
          </w:p>
        </w:tc>
        <w:tc>
          <w:tcPr>
            <w:tcW w:w="1465" w:type="dxa"/>
            <w:noWrap w:val="0"/>
            <w:vAlign w:val="center"/>
          </w:tcPr>
          <w:p w14:paraId="0E476EE4">
            <w:pPr>
              <w:bidi w:val="0"/>
              <w:ind w:left="0" w:leftChars="0" w:firstLine="0" w:firstLineChars="0"/>
              <w:jc w:val="center"/>
              <w:rPr>
                <w:rFonts w:hint="default"/>
                <w:lang w:val="en-US" w:eastAsia="zh-CN"/>
              </w:rPr>
            </w:pPr>
            <w:r>
              <w:rPr>
                <w:rFonts w:hint="default"/>
                <w:lang w:val="en-US" w:eastAsia="zh-CN"/>
              </w:rPr>
              <w:t>3128550</w:t>
            </w:r>
          </w:p>
        </w:tc>
        <w:tc>
          <w:tcPr>
            <w:tcW w:w="727" w:type="dxa"/>
            <w:noWrap w:val="0"/>
            <w:vAlign w:val="center"/>
          </w:tcPr>
          <w:p w14:paraId="72EE33D3">
            <w:pPr>
              <w:bidi w:val="0"/>
              <w:ind w:left="0" w:leftChars="0" w:firstLine="0" w:firstLineChars="0"/>
              <w:jc w:val="center"/>
              <w:rPr>
                <w:rFonts w:hint="default"/>
                <w:lang w:val="en-US" w:eastAsia="zh-CN"/>
              </w:rPr>
            </w:pPr>
            <w:r>
              <w:rPr>
                <w:rFonts w:hint="default"/>
                <w:lang w:val="en-US" w:eastAsia="zh-CN"/>
              </w:rPr>
              <w:t>9</w:t>
            </w:r>
          </w:p>
        </w:tc>
        <w:tc>
          <w:tcPr>
            <w:tcW w:w="2481" w:type="dxa"/>
            <w:noWrap w:val="0"/>
            <w:vAlign w:val="center"/>
          </w:tcPr>
          <w:p w14:paraId="194E24B9">
            <w:pPr>
              <w:bidi w:val="0"/>
              <w:ind w:left="0" w:leftChars="0" w:firstLine="0" w:firstLineChars="0"/>
              <w:jc w:val="center"/>
              <w:rPr>
                <w:rFonts w:hint="default"/>
              </w:rPr>
            </w:pPr>
            <w:r>
              <w:rPr>
                <w:rFonts w:hint="default"/>
                <w:lang w:val="en-US" w:eastAsia="zh-CN"/>
              </w:rPr>
              <w:t>嘉祥县市场监管局</w:t>
            </w:r>
          </w:p>
        </w:tc>
        <w:tc>
          <w:tcPr>
            <w:tcW w:w="1387" w:type="dxa"/>
            <w:noWrap w:val="0"/>
            <w:vAlign w:val="center"/>
          </w:tcPr>
          <w:p w14:paraId="647673AF">
            <w:pPr>
              <w:bidi w:val="0"/>
              <w:ind w:left="0" w:leftChars="0" w:firstLine="0" w:firstLineChars="0"/>
              <w:jc w:val="center"/>
              <w:rPr>
                <w:rFonts w:hint="default"/>
                <w:lang w:val="en-US" w:eastAsia="zh-CN"/>
              </w:rPr>
            </w:pPr>
            <w:r>
              <w:rPr>
                <w:rFonts w:hint="default"/>
                <w:lang w:val="en-US" w:eastAsia="zh-CN"/>
              </w:rPr>
              <w:t>6986136</w:t>
            </w:r>
          </w:p>
        </w:tc>
      </w:tr>
      <w:tr w14:paraId="3597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831A48A">
            <w:pPr>
              <w:bidi w:val="0"/>
              <w:ind w:left="0" w:leftChars="0" w:firstLine="0" w:firstLineChars="0"/>
              <w:jc w:val="center"/>
              <w:rPr>
                <w:rFonts w:hint="default"/>
                <w:lang w:val="en-US" w:eastAsia="zh-CN"/>
              </w:rPr>
            </w:pPr>
            <w:r>
              <w:rPr>
                <w:rFonts w:hint="default"/>
                <w:lang w:val="en-US" w:eastAsia="zh-CN"/>
              </w:rPr>
              <w:t>3</w:t>
            </w:r>
          </w:p>
        </w:tc>
        <w:tc>
          <w:tcPr>
            <w:tcW w:w="2354" w:type="dxa"/>
            <w:noWrap w:val="0"/>
            <w:vAlign w:val="center"/>
          </w:tcPr>
          <w:p w14:paraId="38C4580B">
            <w:pPr>
              <w:bidi w:val="0"/>
              <w:ind w:left="0" w:leftChars="0" w:firstLine="0" w:firstLineChars="0"/>
              <w:jc w:val="center"/>
              <w:rPr>
                <w:rFonts w:hint="default"/>
              </w:rPr>
            </w:pPr>
            <w:r>
              <w:rPr>
                <w:rFonts w:hint="default"/>
                <w:lang w:val="en-US" w:eastAsia="zh-CN"/>
              </w:rPr>
              <w:t>曲阜市市场监管局</w:t>
            </w:r>
          </w:p>
        </w:tc>
        <w:tc>
          <w:tcPr>
            <w:tcW w:w="1465" w:type="dxa"/>
            <w:noWrap w:val="0"/>
            <w:vAlign w:val="center"/>
          </w:tcPr>
          <w:p w14:paraId="79415D3D">
            <w:pPr>
              <w:bidi w:val="0"/>
              <w:ind w:left="0" w:leftChars="0" w:firstLine="0" w:firstLineChars="0"/>
              <w:jc w:val="center"/>
              <w:rPr>
                <w:rFonts w:hint="default"/>
                <w:lang w:val="en-US" w:eastAsia="zh-CN"/>
              </w:rPr>
            </w:pPr>
            <w:r>
              <w:rPr>
                <w:rFonts w:hint="default"/>
                <w:lang w:val="en-US" w:eastAsia="zh-CN"/>
              </w:rPr>
              <w:t>6508979</w:t>
            </w:r>
          </w:p>
        </w:tc>
        <w:tc>
          <w:tcPr>
            <w:tcW w:w="727" w:type="dxa"/>
            <w:noWrap w:val="0"/>
            <w:vAlign w:val="center"/>
          </w:tcPr>
          <w:p w14:paraId="21BA5556">
            <w:pPr>
              <w:bidi w:val="0"/>
              <w:ind w:left="0" w:leftChars="0" w:firstLine="0" w:firstLineChars="0"/>
              <w:jc w:val="center"/>
              <w:rPr>
                <w:rFonts w:hint="default"/>
                <w:lang w:val="en-US" w:eastAsia="zh-CN"/>
              </w:rPr>
            </w:pPr>
            <w:r>
              <w:rPr>
                <w:rFonts w:hint="default"/>
                <w:lang w:val="en-US" w:eastAsia="zh-CN"/>
              </w:rPr>
              <w:t>10</w:t>
            </w:r>
          </w:p>
        </w:tc>
        <w:tc>
          <w:tcPr>
            <w:tcW w:w="2481" w:type="dxa"/>
            <w:noWrap w:val="0"/>
            <w:vAlign w:val="center"/>
          </w:tcPr>
          <w:p w14:paraId="0FC353FB">
            <w:pPr>
              <w:bidi w:val="0"/>
              <w:ind w:left="0" w:leftChars="0" w:firstLine="0" w:firstLineChars="0"/>
              <w:jc w:val="center"/>
              <w:rPr>
                <w:rFonts w:hint="default"/>
              </w:rPr>
            </w:pPr>
            <w:r>
              <w:rPr>
                <w:rFonts w:hint="default"/>
                <w:lang w:val="en-US" w:eastAsia="zh-CN"/>
              </w:rPr>
              <w:t>汶上县市场监管局</w:t>
            </w:r>
          </w:p>
        </w:tc>
        <w:tc>
          <w:tcPr>
            <w:tcW w:w="1387" w:type="dxa"/>
            <w:noWrap w:val="0"/>
            <w:vAlign w:val="center"/>
          </w:tcPr>
          <w:p w14:paraId="6C734EC6">
            <w:pPr>
              <w:bidi w:val="0"/>
              <w:ind w:left="0" w:leftChars="0" w:firstLine="0" w:firstLineChars="0"/>
              <w:jc w:val="center"/>
              <w:rPr>
                <w:rFonts w:hint="default"/>
                <w:lang w:val="en-US" w:eastAsia="zh-CN"/>
              </w:rPr>
            </w:pPr>
            <w:r>
              <w:rPr>
                <w:rFonts w:hint="default"/>
                <w:lang w:val="en-US" w:eastAsia="zh-CN"/>
              </w:rPr>
              <w:t>3231292</w:t>
            </w:r>
          </w:p>
        </w:tc>
      </w:tr>
      <w:tr w14:paraId="1948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2927634E">
            <w:pPr>
              <w:bidi w:val="0"/>
              <w:ind w:left="0" w:leftChars="0" w:firstLine="0" w:firstLineChars="0"/>
              <w:jc w:val="center"/>
              <w:rPr>
                <w:rFonts w:hint="default"/>
                <w:lang w:val="en-US" w:eastAsia="zh-CN"/>
              </w:rPr>
            </w:pPr>
            <w:r>
              <w:rPr>
                <w:rFonts w:hint="default"/>
                <w:lang w:val="en-US" w:eastAsia="zh-CN"/>
              </w:rPr>
              <w:t>4</w:t>
            </w:r>
          </w:p>
        </w:tc>
        <w:tc>
          <w:tcPr>
            <w:tcW w:w="2354" w:type="dxa"/>
            <w:noWrap w:val="0"/>
            <w:vAlign w:val="center"/>
          </w:tcPr>
          <w:p w14:paraId="1CE47550">
            <w:pPr>
              <w:bidi w:val="0"/>
              <w:ind w:left="0" w:leftChars="0" w:firstLine="0" w:firstLineChars="0"/>
              <w:jc w:val="center"/>
              <w:rPr>
                <w:rFonts w:hint="default"/>
              </w:rPr>
            </w:pPr>
            <w:r>
              <w:rPr>
                <w:rFonts w:hint="default"/>
                <w:lang w:val="en-US" w:eastAsia="zh-CN"/>
              </w:rPr>
              <w:t>泗水县市场监管局</w:t>
            </w:r>
          </w:p>
        </w:tc>
        <w:tc>
          <w:tcPr>
            <w:tcW w:w="1465" w:type="dxa"/>
            <w:noWrap w:val="0"/>
            <w:vAlign w:val="center"/>
          </w:tcPr>
          <w:p w14:paraId="2245B2AF">
            <w:pPr>
              <w:bidi w:val="0"/>
              <w:ind w:left="0" w:leftChars="0" w:firstLine="0" w:firstLineChars="0"/>
              <w:jc w:val="center"/>
              <w:rPr>
                <w:rFonts w:hint="default"/>
                <w:lang w:val="en-US" w:eastAsia="zh-CN"/>
              </w:rPr>
            </w:pPr>
            <w:r>
              <w:rPr>
                <w:rFonts w:hint="default"/>
                <w:lang w:val="en-US" w:eastAsia="zh-CN"/>
              </w:rPr>
              <w:t>4277967</w:t>
            </w:r>
          </w:p>
        </w:tc>
        <w:tc>
          <w:tcPr>
            <w:tcW w:w="727" w:type="dxa"/>
            <w:noWrap w:val="0"/>
            <w:vAlign w:val="center"/>
          </w:tcPr>
          <w:p w14:paraId="3846A4CD">
            <w:pPr>
              <w:bidi w:val="0"/>
              <w:ind w:left="0" w:leftChars="0" w:firstLine="0" w:firstLineChars="0"/>
              <w:jc w:val="center"/>
              <w:rPr>
                <w:rFonts w:hint="default"/>
                <w:lang w:val="en-US" w:eastAsia="zh-CN"/>
              </w:rPr>
            </w:pPr>
            <w:r>
              <w:rPr>
                <w:rFonts w:hint="default"/>
                <w:lang w:val="en-US" w:eastAsia="zh-CN"/>
              </w:rPr>
              <w:t>11</w:t>
            </w:r>
          </w:p>
        </w:tc>
        <w:tc>
          <w:tcPr>
            <w:tcW w:w="2481" w:type="dxa"/>
            <w:noWrap w:val="0"/>
            <w:vAlign w:val="center"/>
          </w:tcPr>
          <w:p w14:paraId="50727254">
            <w:pPr>
              <w:bidi w:val="0"/>
              <w:ind w:left="0" w:leftChars="0" w:firstLine="0" w:firstLineChars="0"/>
              <w:jc w:val="center"/>
              <w:rPr>
                <w:rFonts w:hint="default"/>
              </w:rPr>
            </w:pPr>
            <w:r>
              <w:rPr>
                <w:rFonts w:hint="default"/>
                <w:lang w:val="en-US" w:eastAsia="zh-CN"/>
              </w:rPr>
              <w:t>梁山县市场监管局</w:t>
            </w:r>
          </w:p>
        </w:tc>
        <w:tc>
          <w:tcPr>
            <w:tcW w:w="1387" w:type="dxa"/>
            <w:noWrap w:val="0"/>
            <w:vAlign w:val="center"/>
          </w:tcPr>
          <w:p w14:paraId="4D182A6E">
            <w:pPr>
              <w:bidi w:val="0"/>
              <w:ind w:left="0" w:leftChars="0" w:firstLine="0" w:firstLineChars="0"/>
              <w:jc w:val="center"/>
              <w:rPr>
                <w:rFonts w:hint="default"/>
                <w:lang w:val="en-US" w:eastAsia="zh-CN"/>
              </w:rPr>
            </w:pPr>
            <w:r>
              <w:rPr>
                <w:rFonts w:hint="default"/>
                <w:lang w:val="en-US" w:eastAsia="zh-CN"/>
              </w:rPr>
              <w:t>7312248</w:t>
            </w:r>
          </w:p>
        </w:tc>
      </w:tr>
      <w:tr w14:paraId="1886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32975C59">
            <w:pPr>
              <w:bidi w:val="0"/>
              <w:ind w:left="0" w:leftChars="0" w:firstLine="0" w:firstLineChars="0"/>
              <w:jc w:val="center"/>
              <w:rPr>
                <w:rFonts w:hint="default"/>
                <w:lang w:val="en-US" w:eastAsia="zh-CN"/>
              </w:rPr>
            </w:pPr>
            <w:r>
              <w:rPr>
                <w:rFonts w:hint="default"/>
                <w:lang w:val="en-US" w:eastAsia="zh-CN"/>
              </w:rPr>
              <w:t>5</w:t>
            </w:r>
          </w:p>
        </w:tc>
        <w:tc>
          <w:tcPr>
            <w:tcW w:w="2354" w:type="dxa"/>
            <w:noWrap w:val="0"/>
            <w:vAlign w:val="center"/>
          </w:tcPr>
          <w:p w14:paraId="302C5AA6">
            <w:pPr>
              <w:bidi w:val="0"/>
              <w:ind w:left="0" w:leftChars="0" w:firstLine="0" w:firstLineChars="0"/>
              <w:jc w:val="center"/>
              <w:rPr>
                <w:rFonts w:hint="default"/>
              </w:rPr>
            </w:pPr>
            <w:r>
              <w:rPr>
                <w:rFonts w:hint="default"/>
                <w:lang w:val="en-US" w:eastAsia="zh-CN"/>
              </w:rPr>
              <w:t>邹城市市场监管局</w:t>
            </w:r>
          </w:p>
        </w:tc>
        <w:tc>
          <w:tcPr>
            <w:tcW w:w="1465" w:type="dxa"/>
            <w:noWrap w:val="0"/>
            <w:vAlign w:val="center"/>
          </w:tcPr>
          <w:p w14:paraId="4EA761DD">
            <w:pPr>
              <w:bidi w:val="0"/>
              <w:ind w:left="0" w:leftChars="0" w:firstLine="0" w:firstLineChars="0"/>
              <w:jc w:val="center"/>
              <w:rPr>
                <w:rFonts w:hint="default"/>
                <w:lang w:val="en-US" w:eastAsia="zh-CN"/>
              </w:rPr>
            </w:pPr>
            <w:r>
              <w:rPr>
                <w:rFonts w:hint="default"/>
                <w:lang w:val="en-US" w:eastAsia="zh-CN"/>
              </w:rPr>
              <w:t>5307303</w:t>
            </w:r>
          </w:p>
        </w:tc>
        <w:tc>
          <w:tcPr>
            <w:tcW w:w="727" w:type="dxa"/>
            <w:noWrap w:val="0"/>
            <w:vAlign w:val="center"/>
          </w:tcPr>
          <w:p w14:paraId="21E05A60">
            <w:pPr>
              <w:bidi w:val="0"/>
              <w:ind w:left="0" w:leftChars="0" w:firstLine="0" w:firstLineChars="0"/>
              <w:jc w:val="center"/>
              <w:rPr>
                <w:rFonts w:hint="default"/>
                <w:lang w:val="en-US" w:eastAsia="zh-CN"/>
              </w:rPr>
            </w:pPr>
            <w:r>
              <w:rPr>
                <w:rFonts w:hint="default"/>
                <w:lang w:val="en-US" w:eastAsia="zh-CN"/>
              </w:rPr>
              <w:t>12</w:t>
            </w:r>
          </w:p>
        </w:tc>
        <w:tc>
          <w:tcPr>
            <w:tcW w:w="2481" w:type="dxa"/>
            <w:noWrap w:val="0"/>
            <w:vAlign w:val="center"/>
          </w:tcPr>
          <w:p w14:paraId="22F3DAFC">
            <w:pPr>
              <w:bidi w:val="0"/>
              <w:ind w:left="0" w:leftChars="0" w:firstLine="0" w:firstLineChars="0"/>
              <w:jc w:val="center"/>
              <w:rPr>
                <w:rFonts w:hint="default"/>
              </w:rPr>
            </w:pPr>
            <w:r>
              <w:rPr>
                <w:rFonts w:hint="default"/>
                <w:lang w:val="en-US" w:eastAsia="zh-CN"/>
              </w:rPr>
              <w:t>高新区市场监管局</w:t>
            </w:r>
          </w:p>
        </w:tc>
        <w:tc>
          <w:tcPr>
            <w:tcW w:w="1387" w:type="dxa"/>
            <w:noWrap w:val="0"/>
            <w:vAlign w:val="center"/>
          </w:tcPr>
          <w:p w14:paraId="7138B3EB">
            <w:pPr>
              <w:bidi w:val="0"/>
              <w:ind w:left="0" w:leftChars="0" w:firstLine="0" w:firstLineChars="0"/>
              <w:jc w:val="center"/>
              <w:rPr>
                <w:rFonts w:hint="default"/>
                <w:lang w:val="en-US" w:eastAsia="zh-CN"/>
              </w:rPr>
            </w:pPr>
            <w:r>
              <w:rPr>
                <w:rFonts w:hint="default"/>
                <w:lang w:val="en-US" w:eastAsia="zh-CN"/>
              </w:rPr>
              <w:t>7813011</w:t>
            </w:r>
          </w:p>
        </w:tc>
      </w:tr>
      <w:tr w14:paraId="53CE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074E83D2">
            <w:pPr>
              <w:bidi w:val="0"/>
              <w:ind w:left="0" w:leftChars="0" w:firstLine="0" w:firstLineChars="0"/>
              <w:jc w:val="center"/>
              <w:rPr>
                <w:rFonts w:hint="default"/>
                <w:lang w:val="en-US" w:eastAsia="zh-CN"/>
              </w:rPr>
            </w:pPr>
            <w:r>
              <w:rPr>
                <w:rFonts w:hint="default"/>
                <w:lang w:val="en-US" w:eastAsia="zh-CN"/>
              </w:rPr>
              <w:t>6</w:t>
            </w:r>
          </w:p>
        </w:tc>
        <w:tc>
          <w:tcPr>
            <w:tcW w:w="2354" w:type="dxa"/>
            <w:noWrap w:val="0"/>
            <w:vAlign w:val="center"/>
          </w:tcPr>
          <w:p w14:paraId="24B5954C">
            <w:pPr>
              <w:bidi w:val="0"/>
              <w:ind w:left="0" w:leftChars="0" w:firstLine="0" w:firstLineChars="0"/>
              <w:jc w:val="center"/>
              <w:rPr>
                <w:rFonts w:hint="default"/>
              </w:rPr>
            </w:pPr>
            <w:r>
              <w:rPr>
                <w:rFonts w:hint="default"/>
                <w:lang w:val="en-US" w:eastAsia="zh-CN"/>
              </w:rPr>
              <w:t>微山县市场监管局</w:t>
            </w:r>
          </w:p>
        </w:tc>
        <w:tc>
          <w:tcPr>
            <w:tcW w:w="1465" w:type="dxa"/>
            <w:noWrap w:val="0"/>
            <w:vAlign w:val="center"/>
          </w:tcPr>
          <w:p w14:paraId="206241F0">
            <w:pPr>
              <w:bidi w:val="0"/>
              <w:ind w:left="0" w:leftChars="0" w:firstLine="0" w:firstLineChars="0"/>
              <w:jc w:val="center"/>
              <w:rPr>
                <w:rFonts w:hint="default"/>
                <w:lang w:val="en-US" w:eastAsia="zh-CN"/>
              </w:rPr>
            </w:pPr>
            <w:r>
              <w:rPr>
                <w:rFonts w:hint="default"/>
                <w:lang w:val="en-US" w:eastAsia="zh-CN"/>
              </w:rPr>
              <w:t>781056</w:t>
            </w:r>
            <w:r>
              <w:rPr>
                <w:rFonts w:hint="eastAsia"/>
                <w:lang w:val="en-US" w:eastAsia="zh-CN"/>
              </w:rPr>
              <w:t>2</w:t>
            </w:r>
          </w:p>
        </w:tc>
        <w:tc>
          <w:tcPr>
            <w:tcW w:w="727" w:type="dxa"/>
            <w:noWrap w:val="0"/>
            <w:vAlign w:val="center"/>
          </w:tcPr>
          <w:p w14:paraId="5B833420">
            <w:pPr>
              <w:bidi w:val="0"/>
              <w:ind w:left="0" w:leftChars="0" w:firstLine="0" w:firstLineChars="0"/>
              <w:jc w:val="center"/>
              <w:rPr>
                <w:rFonts w:hint="default"/>
                <w:lang w:val="en-US" w:eastAsia="zh-CN"/>
              </w:rPr>
            </w:pPr>
            <w:r>
              <w:rPr>
                <w:rFonts w:hint="default"/>
                <w:lang w:val="en-US" w:eastAsia="zh-CN"/>
              </w:rPr>
              <w:t>13</w:t>
            </w:r>
          </w:p>
        </w:tc>
        <w:tc>
          <w:tcPr>
            <w:tcW w:w="2481" w:type="dxa"/>
            <w:noWrap w:val="0"/>
            <w:vAlign w:val="center"/>
          </w:tcPr>
          <w:p w14:paraId="1C449475">
            <w:pPr>
              <w:bidi w:val="0"/>
              <w:ind w:left="0" w:leftChars="0" w:firstLine="0" w:firstLineChars="0"/>
              <w:jc w:val="center"/>
              <w:rPr>
                <w:rFonts w:hint="default"/>
              </w:rPr>
            </w:pPr>
            <w:r>
              <w:rPr>
                <w:rFonts w:hint="default"/>
                <w:lang w:val="en-US" w:eastAsia="zh-CN"/>
              </w:rPr>
              <w:t>太白湖区市场监管局</w:t>
            </w:r>
          </w:p>
        </w:tc>
        <w:tc>
          <w:tcPr>
            <w:tcW w:w="1387" w:type="dxa"/>
            <w:noWrap w:val="0"/>
            <w:vAlign w:val="center"/>
          </w:tcPr>
          <w:p w14:paraId="13789486">
            <w:pPr>
              <w:bidi w:val="0"/>
              <w:ind w:left="0" w:leftChars="0" w:firstLine="0" w:firstLineChars="0"/>
              <w:jc w:val="center"/>
              <w:rPr>
                <w:rFonts w:hint="default"/>
                <w:lang w:val="en-US" w:eastAsia="zh-CN"/>
              </w:rPr>
            </w:pPr>
            <w:r>
              <w:rPr>
                <w:rFonts w:hint="default"/>
                <w:lang w:val="en-US" w:eastAsia="zh-CN"/>
              </w:rPr>
              <w:t>3297992</w:t>
            </w:r>
          </w:p>
        </w:tc>
      </w:tr>
      <w:tr w14:paraId="2070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noWrap w:val="0"/>
            <w:vAlign w:val="center"/>
          </w:tcPr>
          <w:p w14:paraId="61CB7942">
            <w:pPr>
              <w:bidi w:val="0"/>
              <w:ind w:left="0" w:leftChars="0" w:firstLine="0" w:firstLineChars="0"/>
              <w:jc w:val="center"/>
              <w:rPr>
                <w:rFonts w:hint="default"/>
                <w:lang w:val="en-US" w:eastAsia="zh-CN"/>
              </w:rPr>
            </w:pPr>
            <w:r>
              <w:rPr>
                <w:rFonts w:hint="default"/>
                <w:lang w:val="en-US" w:eastAsia="zh-CN"/>
              </w:rPr>
              <w:t>7</w:t>
            </w:r>
          </w:p>
        </w:tc>
        <w:tc>
          <w:tcPr>
            <w:tcW w:w="2354" w:type="dxa"/>
            <w:noWrap w:val="0"/>
            <w:vAlign w:val="center"/>
          </w:tcPr>
          <w:p w14:paraId="71369EA1">
            <w:pPr>
              <w:bidi w:val="0"/>
              <w:ind w:left="0" w:leftChars="0" w:firstLine="0" w:firstLineChars="0"/>
              <w:jc w:val="center"/>
              <w:rPr>
                <w:rFonts w:hint="default"/>
              </w:rPr>
            </w:pPr>
            <w:r>
              <w:rPr>
                <w:rFonts w:hint="default"/>
                <w:lang w:val="en-US" w:eastAsia="zh-CN"/>
              </w:rPr>
              <w:t>鱼台县市场监管局</w:t>
            </w:r>
          </w:p>
        </w:tc>
        <w:tc>
          <w:tcPr>
            <w:tcW w:w="1465" w:type="dxa"/>
            <w:noWrap w:val="0"/>
            <w:vAlign w:val="center"/>
          </w:tcPr>
          <w:p w14:paraId="450C151A">
            <w:pPr>
              <w:bidi w:val="0"/>
              <w:ind w:left="0" w:leftChars="0" w:firstLine="0" w:firstLineChars="0"/>
              <w:jc w:val="center"/>
              <w:rPr>
                <w:rFonts w:hint="default"/>
                <w:lang w:val="en-US" w:eastAsia="zh-CN"/>
              </w:rPr>
            </w:pPr>
            <w:r>
              <w:rPr>
                <w:rFonts w:hint="default"/>
                <w:lang w:val="en-US" w:eastAsia="zh-CN"/>
              </w:rPr>
              <w:t>6229315</w:t>
            </w:r>
          </w:p>
        </w:tc>
        <w:tc>
          <w:tcPr>
            <w:tcW w:w="727" w:type="dxa"/>
            <w:noWrap w:val="0"/>
            <w:vAlign w:val="center"/>
          </w:tcPr>
          <w:p w14:paraId="049A3B10">
            <w:pPr>
              <w:bidi w:val="0"/>
              <w:ind w:left="0" w:leftChars="0" w:firstLine="0" w:firstLineChars="0"/>
              <w:jc w:val="center"/>
              <w:rPr>
                <w:rFonts w:hint="default"/>
                <w:lang w:val="en-US" w:eastAsia="zh-CN"/>
              </w:rPr>
            </w:pPr>
            <w:r>
              <w:rPr>
                <w:rFonts w:hint="default"/>
                <w:lang w:val="en-US" w:eastAsia="zh-CN"/>
              </w:rPr>
              <w:t>14</w:t>
            </w:r>
          </w:p>
        </w:tc>
        <w:tc>
          <w:tcPr>
            <w:tcW w:w="2481" w:type="dxa"/>
            <w:noWrap w:val="0"/>
            <w:vAlign w:val="center"/>
          </w:tcPr>
          <w:p w14:paraId="79F08A50">
            <w:pPr>
              <w:bidi w:val="0"/>
              <w:ind w:left="0" w:leftChars="0" w:firstLine="0" w:firstLineChars="0"/>
              <w:jc w:val="center"/>
              <w:rPr>
                <w:rFonts w:hint="default"/>
              </w:rPr>
            </w:pPr>
            <w:r>
              <w:rPr>
                <w:rFonts w:hint="default"/>
                <w:lang w:val="en-US" w:eastAsia="zh-CN"/>
              </w:rPr>
              <w:t>经开区市场监管中心</w:t>
            </w:r>
          </w:p>
        </w:tc>
        <w:tc>
          <w:tcPr>
            <w:tcW w:w="1387" w:type="dxa"/>
            <w:noWrap w:val="0"/>
            <w:vAlign w:val="center"/>
          </w:tcPr>
          <w:p w14:paraId="2B56CDB8">
            <w:pPr>
              <w:bidi w:val="0"/>
              <w:ind w:left="0" w:leftChars="0" w:firstLine="0" w:firstLineChars="0"/>
              <w:jc w:val="center"/>
              <w:rPr>
                <w:rFonts w:hint="default"/>
                <w:lang w:val="en-US" w:eastAsia="zh-CN"/>
              </w:rPr>
            </w:pPr>
            <w:r>
              <w:rPr>
                <w:rFonts w:hint="default"/>
                <w:lang w:val="en-US" w:eastAsia="zh-CN"/>
              </w:rPr>
              <w:t>6990904</w:t>
            </w:r>
          </w:p>
        </w:tc>
      </w:tr>
    </w:tbl>
    <w:p w14:paraId="26E58273">
      <w:pPr>
        <w:pStyle w:val="2"/>
        <w:bidi w:val="0"/>
        <w:rPr>
          <w:rFonts w:hint="default" w:ascii="Times New Roman" w:hAnsi="Times New Roman" w:cs="Times New Roman"/>
          <w:b w:val="0"/>
          <w:bCs w:val="0"/>
        </w:rPr>
      </w:pPr>
      <w:bookmarkStart w:id="53" w:name="_Toc11589"/>
      <w:r>
        <w:rPr>
          <w:rFonts w:hint="default" w:ascii="Times New Roman" w:hAnsi="Times New Roman" w:cs="Times New Roman"/>
          <w:b w:val="0"/>
          <w:bCs w:val="0"/>
        </w:rPr>
        <w:t>（二）办理使用登记</w:t>
      </w:r>
      <w:bookmarkEnd w:id="53"/>
    </w:p>
    <w:p w14:paraId="67F072D5">
      <w:pPr>
        <w:bidi w:val="0"/>
        <w:rPr>
          <w:rFonts w:hint="default"/>
        </w:rPr>
      </w:pPr>
      <w:r>
        <w:rPr>
          <w:rFonts w:hint="default"/>
        </w:rPr>
        <w:t>特种设备使用单位应当在特种设备投入使用前或投入使用后</w:t>
      </w:r>
      <w:r>
        <w:rPr>
          <w:rFonts w:hint="default"/>
          <w:lang w:val="en-US" w:eastAsia="zh-CN"/>
        </w:rPr>
        <w:t>30</w:t>
      </w:r>
      <w:r>
        <w:rPr>
          <w:rFonts w:hint="default"/>
        </w:rPr>
        <w:t>日内，向设备所在地县（市</w:t>
      </w:r>
      <w:r>
        <w:rPr>
          <w:rFonts w:hint="default"/>
          <w:lang w:eastAsia="zh-CN"/>
        </w:rPr>
        <w:t>、</w:t>
      </w:r>
      <w:r>
        <w:rPr>
          <w:rFonts w:hint="default"/>
        </w:rPr>
        <w:t>区）市场监管部门</w:t>
      </w:r>
      <w:r>
        <w:rPr>
          <w:rFonts w:hint="default"/>
          <w:lang w:val="en-US" w:eastAsia="zh-CN"/>
        </w:rPr>
        <w:t>或行政审批部门</w:t>
      </w:r>
      <w:r>
        <w:rPr>
          <w:rFonts w:hint="default"/>
        </w:rPr>
        <w:t>办理使用登记证书。可登陆</w:t>
      </w:r>
      <w:r>
        <w:rPr>
          <w:rFonts w:hint="default"/>
          <w:lang w:val="en-US" w:eastAsia="zh-CN"/>
        </w:rPr>
        <w:t>山东</w:t>
      </w:r>
      <w:r>
        <w:rPr>
          <w:rFonts w:hint="default"/>
        </w:rPr>
        <w:t>省特种设备</w:t>
      </w:r>
      <w:r>
        <w:rPr>
          <w:rFonts w:hint="default"/>
          <w:lang w:val="en-US" w:eastAsia="zh-CN"/>
        </w:rPr>
        <w:t>企业端管理</w:t>
      </w:r>
      <w:r>
        <w:rPr>
          <w:rFonts w:hint="default"/>
        </w:rPr>
        <w:t>平台（http://218.57.139.17:9070/QYSE/）</w:t>
      </w:r>
      <w:r>
        <w:rPr>
          <w:rFonts w:hint="default"/>
          <w:lang w:eastAsia="zh-CN"/>
        </w:rPr>
        <w:t>（</w:t>
      </w:r>
      <w:r>
        <w:rPr>
          <w:rFonts w:hint="default"/>
          <w:lang w:val="en-US" w:eastAsia="zh-CN"/>
        </w:rPr>
        <w:t>建议使用360浏览器极速模式或谷歌浏览器登录</w:t>
      </w:r>
      <w:r>
        <w:rPr>
          <w:rFonts w:hint="default"/>
          <w:lang w:eastAsia="zh-CN"/>
        </w:rPr>
        <w:t>），</w:t>
      </w:r>
      <w:r>
        <w:rPr>
          <w:rFonts w:hint="default"/>
          <w:lang w:val="en-US" w:eastAsia="zh-CN"/>
        </w:rPr>
        <w:t>注册“使用单位”账号后</w:t>
      </w:r>
      <w:r>
        <w:rPr>
          <w:rFonts w:hint="default"/>
        </w:rPr>
        <w:t>办理，具体可咨询各县（市、区）市场监管部门</w:t>
      </w:r>
      <w:r>
        <w:rPr>
          <w:rFonts w:hint="default"/>
          <w:lang w:val="en-US" w:eastAsia="zh-CN"/>
        </w:rPr>
        <w:t>或行政审批部门</w:t>
      </w:r>
      <w:r>
        <w:rPr>
          <w:rFonts w:hint="default"/>
        </w:rPr>
        <w:t>。</w:t>
      </w:r>
    </w:p>
    <w:p w14:paraId="5518C14B">
      <w:pPr>
        <w:bidi w:val="0"/>
        <w:ind w:left="0" w:leftChars="0" w:firstLine="0" w:firstLineChars="0"/>
        <w:jc w:val="center"/>
        <w:rPr>
          <w:rFonts w:hint="default"/>
          <w:lang w:val="en-US" w:eastAsia="zh-CN"/>
        </w:rPr>
      </w:pPr>
      <w:r>
        <w:rPr>
          <w:rFonts w:hint="default"/>
          <w:lang w:val="en-US" w:eastAsia="zh-CN"/>
        </w:rPr>
        <w:t>济宁市特种设备使用登记业务受理部门</w:t>
      </w:r>
    </w:p>
    <w:tbl>
      <w:tblPr>
        <w:tblStyle w:val="17"/>
        <w:tblW w:w="90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2192"/>
        <w:gridCol w:w="1408"/>
        <w:gridCol w:w="877"/>
        <w:gridCol w:w="2469"/>
        <w:gridCol w:w="1367"/>
      </w:tblGrid>
      <w:tr w14:paraId="2E6A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center"/>
          </w:tcPr>
          <w:p w14:paraId="746E0F0A">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编号</w:t>
            </w:r>
          </w:p>
        </w:tc>
        <w:tc>
          <w:tcPr>
            <w:tcW w:w="2192" w:type="dxa"/>
            <w:noWrap w:val="0"/>
            <w:vAlign w:val="center"/>
          </w:tcPr>
          <w:p w14:paraId="2FF95500">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单位</w:t>
            </w:r>
          </w:p>
        </w:tc>
        <w:tc>
          <w:tcPr>
            <w:tcW w:w="1408" w:type="dxa"/>
            <w:noWrap w:val="0"/>
            <w:vAlign w:val="center"/>
          </w:tcPr>
          <w:p w14:paraId="644543A1">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咨询电话</w:t>
            </w:r>
          </w:p>
        </w:tc>
        <w:tc>
          <w:tcPr>
            <w:tcW w:w="877" w:type="dxa"/>
            <w:noWrap w:val="0"/>
            <w:vAlign w:val="center"/>
          </w:tcPr>
          <w:p w14:paraId="3FF36311">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编号</w:t>
            </w:r>
          </w:p>
        </w:tc>
        <w:tc>
          <w:tcPr>
            <w:tcW w:w="2469" w:type="dxa"/>
            <w:noWrap w:val="0"/>
            <w:vAlign w:val="center"/>
          </w:tcPr>
          <w:p w14:paraId="16F253F2">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单位</w:t>
            </w:r>
          </w:p>
        </w:tc>
        <w:tc>
          <w:tcPr>
            <w:tcW w:w="1367" w:type="dxa"/>
            <w:noWrap w:val="0"/>
            <w:vAlign w:val="center"/>
          </w:tcPr>
          <w:p w14:paraId="5484FF63">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咨询电话</w:t>
            </w:r>
          </w:p>
        </w:tc>
      </w:tr>
      <w:tr w14:paraId="5E5F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center"/>
          </w:tcPr>
          <w:p w14:paraId="4B574C0C">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w:t>
            </w:r>
          </w:p>
        </w:tc>
        <w:tc>
          <w:tcPr>
            <w:tcW w:w="2192" w:type="dxa"/>
            <w:noWrap w:val="0"/>
            <w:vAlign w:val="center"/>
          </w:tcPr>
          <w:p w14:paraId="56BF2B70">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任城区市场监管局</w:t>
            </w:r>
          </w:p>
        </w:tc>
        <w:tc>
          <w:tcPr>
            <w:tcW w:w="1408" w:type="dxa"/>
            <w:noWrap w:val="0"/>
            <w:vAlign w:val="center"/>
          </w:tcPr>
          <w:p w14:paraId="083E5528">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3233151</w:t>
            </w:r>
          </w:p>
        </w:tc>
        <w:tc>
          <w:tcPr>
            <w:tcW w:w="877" w:type="dxa"/>
            <w:noWrap w:val="0"/>
            <w:vAlign w:val="center"/>
          </w:tcPr>
          <w:p w14:paraId="51EFA00A">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8</w:t>
            </w:r>
          </w:p>
        </w:tc>
        <w:tc>
          <w:tcPr>
            <w:tcW w:w="2469" w:type="dxa"/>
            <w:noWrap w:val="0"/>
            <w:vAlign w:val="center"/>
          </w:tcPr>
          <w:p w14:paraId="546530A0">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金乡县市场监管局</w:t>
            </w:r>
          </w:p>
        </w:tc>
        <w:tc>
          <w:tcPr>
            <w:tcW w:w="1367" w:type="dxa"/>
            <w:noWrap w:val="0"/>
            <w:vAlign w:val="center"/>
          </w:tcPr>
          <w:p w14:paraId="2D3BA80E">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8712776</w:t>
            </w:r>
          </w:p>
        </w:tc>
      </w:tr>
      <w:tr w14:paraId="01F8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center"/>
          </w:tcPr>
          <w:p w14:paraId="29BED179">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2</w:t>
            </w:r>
          </w:p>
        </w:tc>
        <w:tc>
          <w:tcPr>
            <w:tcW w:w="2192" w:type="dxa"/>
            <w:noWrap w:val="0"/>
            <w:vAlign w:val="center"/>
          </w:tcPr>
          <w:p w14:paraId="2F3E1F81">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兖州区市场监管局</w:t>
            </w:r>
          </w:p>
        </w:tc>
        <w:tc>
          <w:tcPr>
            <w:tcW w:w="1408" w:type="dxa"/>
            <w:noWrap w:val="0"/>
            <w:vAlign w:val="center"/>
          </w:tcPr>
          <w:p w14:paraId="3AC9E02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3128628</w:t>
            </w:r>
          </w:p>
        </w:tc>
        <w:tc>
          <w:tcPr>
            <w:tcW w:w="877" w:type="dxa"/>
            <w:noWrap w:val="0"/>
            <w:vAlign w:val="center"/>
          </w:tcPr>
          <w:p w14:paraId="797E8741">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9</w:t>
            </w:r>
          </w:p>
        </w:tc>
        <w:tc>
          <w:tcPr>
            <w:tcW w:w="2469" w:type="dxa"/>
            <w:noWrap w:val="0"/>
            <w:vAlign w:val="center"/>
          </w:tcPr>
          <w:p w14:paraId="36D67EF1">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嘉祥县市场监管局</w:t>
            </w:r>
          </w:p>
        </w:tc>
        <w:tc>
          <w:tcPr>
            <w:tcW w:w="1367" w:type="dxa"/>
            <w:noWrap w:val="0"/>
            <w:vAlign w:val="center"/>
          </w:tcPr>
          <w:p w14:paraId="0C450179">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6986136</w:t>
            </w:r>
          </w:p>
        </w:tc>
      </w:tr>
      <w:tr w14:paraId="0799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center"/>
          </w:tcPr>
          <w:p w14:paraId="4C86D49C">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w:t>
            </w:r>
          </w:p>
        </w:tc>
        <w:tc>
          <w:tcPr>
            <w:tcW w:w="2192" w:type="dxa"/>
            <w:noWrap w:val="0"/>
            <w:vAlign w:val="center"/>
          </w:tcPr>
          <w:p w14:paraId="37D46B48">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曲阜市市场监管局</w:t>
            </w:r>
          </w:p>
        </w:tc>
        <w:tc>
          <w:tcPr>
            <w:tcW w:w="1408" w:type="dxa"/>
            <w:noWrap w:val="0"/>
            <w:vAlign w:val="center"/>
          </w:tcPr>
          <w:p w14:paraId="6073338B">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6508979</w:t>
            </w:r>
          </w:p>
        </w:tc>
        <w:tc>
          <w:tcPr>
            <w:tcW w:w="877" w:type="dxa"/>
            <w:noWrap w:val="0"/>
            <w:vAlign w:val="center"/>
          </w:tcPr>
          <w:p w14:paraId="0B08E06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10</w:t>
            </w:r>
          </w:p>
        </w:tc>
        <w:tc>
          <w:tcPr>
            <w:tcW w:w="2469" w:type="dxa"/>
            <w:noWrap w:val="0"/>
            <w:vAlign w:val="center"/>
          </w:tcPr>
          <w:p w14:paraId="298E3066">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汶上县市场监管局</w:t>
            </w:r>
          </w:p>
        </w:tc>
        <w:tc>
          <w:tcPr>
            <w:tcW w:w="1367" w:type="dxa"/>
            <w:noWrap w:val="0"/>
            <w:vAlign w:val="center"/>
          </w:tcPr>
          <w:p w14:paraId="196C99C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3231292</w:t>
            </w:r>
          </w:p>
        </w:tc>
      </w:tr>
      <w:tr w14:paraId="093F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center"/>
          </w:tcPr>
          <w:p w14:paraId="2E8CB9A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4</w:t>
            </w:r>
          </w:p>
        </w:tc>
        <w:tc>
          <w:tcPr>
            <w:tcW w:w="2192" w:type="dxa"/>
            <w:noWrap w:val="0"/>
            <w:vAlign w:val="center"/>
          </w:tcPr>
          <w:p w14:paraId="2F148015">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泗水县行政审批局</w:t>
            </w:r>
          </w:p>
        </w:tc>
        <w:tc>
          <w:tcPr>
            <w:tcW w:w="1408" w:type="dxa"/>
            <w:noWrap w:val="0"/>
            <w:vAlign w:val="center"/>
          </w:tcPr>
          <w:p w14:paraId="63C445FD">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4221220</w:t>
            </w:r>
          </w:p>
        </w:tc>
        <w:tc>
          <w:tcPr>
            <w:tcW w:w="877" w:type="dxa"/>
            <w:noWrap w:val="0"/>
            <w:vAlign w:val="center"/>
          </w:tcPr>
          <w:p w14:paraId="209CE03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11</w:t>
            </w:r>
          </w:p>
        </w:tc>
        <w:tc>
          <w:tcPr>
            <w:tcW w:w="2469" w:type="dxa"/>
            <w:noWrap w:val="0"/>
            <w:vAlign w:val="center"/>
          </w:tcPr>
          <w:p w14:paraId="7B1C019C">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梁山县市场监管局</w:t>
            </w:r>
          </w:p>
        </w:tc>
        <w:tc>
          <w:tcPr>
            <w:tcW w:w="1367" w:type="dxa"/>
            <w:noWrap w:val="0"/>
            <w:vAlign w:val="center"/>
          </w:tcPr>
          <w:p w14:paraId="1963033D">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7312248</w:t>
            </w:r>
          </w:p>
        </w:tc>
      </w:tr>
      <w:tr w14:paraId="756B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center"/>
          </w:tcPr>
          <w:p w14:paraId="216EE401">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5</w:t>
            </w:r>
          </w:p>
        </w:tc>
        <w:tc>
          <w:tcPr>
            <w:tcW w:w="2192" w:type="dxa"/>
            <w:noWrap w:val="0"/>
            <w:vAlign w:val="center"/>
          </w:tcPr>
          <w:p w14:paraId="07BB99F9">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邹城市市场监管局</w:t>
            </w:r>
          </w:p>
        </w:tc>
        <w:tc>
          <w:tcPr>
            <w:tcW w:w="1408" w:type="dxa"/>
            <w:noWrap w:val="0"/>
            <w:vAlign w:val="center"/>
          </w:tcPr>
          <w:p w14:paraId="78477AF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5307303</w:t>
            </w:r>
          </w:p>
        </w:tc>
        <w:tc>
          <w:tcPr>
            <w:tcW w:w="877" w:type="dxa"/>
            <w:noWrap w:val="0"/>
            <w:vAlign w:val="center"/>
          </w:tcPr>
          <w:p w14:paraId="3218781F">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12</w:t>
            </w:r>
          </w:p>
        </w:tc>
        <w:tc>
          <w:tcPr>
            <w:tcW w:w="2469" w:type="dxa"/>
            <w:noWrap w:val="0"/>
            <w:vAlign w:val="center"/>
          </w:tcPr>
          <w:p w14:paraId="7FD61B21">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高新区市场监管局</w:t>
            </w:r>
          </w:p>
        </w:tc>
        <w:tc>
          <w:tcPr>
            <w:tcW w:w="1367" w:type="dxa"/>
            <w:noWrap w:val="0"/>
            <w:vAlign w:val="center"/>
          </w:tcPr>
          <w:p w14:paraId="0057AA0F">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7813011</w:t>
            </w:r>
          </w:p>
        </w:tc>
      </w:tr>
      <w:tr w14:paraId="38EA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center"/>
          </w:tcPr>
          <w:p w14:paraId="0928CE10">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w:t>
            </w:r>
          </w:p>
        </w:tc>
        <w:tc>
          <w:tcPr>
            <w:tcW w:w="2192" w:type="dxa"/>
            <w:noWrap w:val="0"/>
            <w:vAlign w:val="center"/>
          </w:tcPr>
          <w:p w14:paraId="790D9D51">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微山县市场监管局</w:t>
            </w:r>
          </w:p>
        </w:tc>
        <w:tc>
          <w:tcPr>
            <w:tcW w:w="1408" w:type="dxa"/>
            <w:noWrap w:val="0"/>
            <w:vAlign w:val="center"/>
          </w:tcPr>
          <w:p w14:paraId="3C785B1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781056</w:t>
            </w:r>
            <w:r>
              <w:rPr>
                <w:rFonts w:hint="eastAsia" w:cs="Times New Roman"/>
                <w:b w:val="0"/>
                <w:bCs w:val="0"/>
                <w:lang w:val="en-US" w:eastAsia="zh-CN"/>
              </w:rPr>
              <w:t>2</w:t>
            </w:r>
          </w:p>
        </w:tc>
        <w:tc>
          <w:tcPr>
            <w:tcW w:w="877" w:type="dxa"/>
            <w:noWrap w:val="0"/>
            <w:vAlign w:val="center"/>
          </w:tcPr>
          <w:p w14:paraId="43D7E6FE">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13</w:t>
            </w:r>
          </w:p>
        </w:tc>
        <w:tc>
          <w:tcPr>
            <w:tcW w:w="2469" w:type="dxa"/>
            <w:noWrap w:val="0"/>
            <w:vAlign w:val="center"/>
          </w:tcPr>
          <w:p w14:paraId="548EF475">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太白湖区市场监管局</w:t>
            </w:r>
          </w:p>
        </w:tc>
        <w:tc>
          <w:tcPr>
            <w:tcW w:w="1367" w:type="dxa"/>
            <w:noWrap w:val="0"/>
            <w:vAlign w:val="center"/>
          </w:tcPr>
          <w:p w14:paraId="6F345FEE">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3297992</w:t>
            </w:r>
          </w:p>
        </w:tc>
      </w:tr>
      <w:tr w14:paraId="1240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noWrap w:val="0"/>
            <w:vAlign w:val="center"/>
          </w:tcPr>
          <w:p w14:paraId="65C8B5B1">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w:t>
            </w:r>
          </w:p>
        </w:tc>
        <w:tc>
          <w:tcPr>
            <w:tcW w:w="2192" w:type="dxa"/>
            <w:noWrap w:val="0"/>
            <w:vAlign w:val="center"/>
          </w:tcPr>
          <w:p w14:paraId="69A03485">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鱼台县市场监管局</w:t>
            </w:r>
          </w:p>
        </w:tc>
        <w:tc>
          <w:tcPr>
            <w:tcW w:w="1408" w:type="dxa"/>
            <w:noWrap w:val="0"/>
            <w:vAlign w:val="center"/>
          </w:tcPr>
          <w:p w14:paraId="3C5A2DF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6229315</w:t>
            </w:r>
          </w:p>
        </w:tc>
        <w:tc>
          <w:tcPr>
            <w:tcW w:w="877" w:type="dxa"/>
            <w:noWrap w:val="0"/>
            <w:vAlign w:val="center"/>
          </w:tcPr>
          <w:p w14:paraId="3C19F73E">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14</w:t>
            </w:r>
          </w:p>
        </w:tc>
        <w:tc>
          <w:tcPr>
            <w:tcW w:w="2469" w:type="dxa"/>
            <w:noWrap w:val="0"/>
            <w:vAlign w:val="center"/>
          </w:tcPr>
          <w:p w14:paraId="388B1AED">
            <w:pPr>
              <w:bidi w:val="0"/>
              <w:ind w:left="0" w:leftChars="0" w:firstLine="0" w:firstLineChars="0"/>
              <w:jc w:val="center"/>
              <w:rPr>
                <w:rFonts w:hint="default" w:ascii="Times New Roman" w:hAnsi="Times New Roman" w:cs="Times New Roman"/>
                <w:b w:val="0"/>
                <w:bCs w:val="0"/>
              </w:rPr>
            </w:pPr>
            <w:r>
              <w:rPr>
                <w:rFonts w:hint="default" w:ascii="Times New Roman" w:hAnsi="Times New Roman" w:cs="Times New Roman"/>
                <w:b w:val="0"/>
                <w:bCs w:val="0"/>
                <w:lang w:val="en-US" w:eastAsia="zh-CN"/>
              </w:rPr>
              <w:t>经开区市场监管中心</w:t>
            </w:r>
          </w:p>
        </w:tc>
        <w:tc>
          <w:tcPr>
            <w:tcW w:w="1367" w:type="dxa"/>
            <w:noWrap w:val="0"/>
            <w:vAlign w:val="center"/>
          </w:tcPr>
          <w:p w14:paraId="2CE03AE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6990904</w:t>
            </w:r>
          </w:p>
        </w:tc>
      </w:tr>
    </w:tbl>
    <w:p w14:paraId="5FC703FD">
      <w:pPr>
        <w:pStyle w:val="2"/>
        <w:bidi w:val="0"/>
        <w:rPr>
          <w:rFonts w:hint="default" w:ascii="Times New Roman" w:hAnsi="Times New Roman" w:cs="Times New Roman"/>
          <w:b w:val="0"/>
          <w:bCs w:val="0"/>
          <w:lang w:val="en-US" w:eastAsia="zh-CN"/>
        </w:rPr>
      </w:pPr>
      <w:bookmarkStart w:id="54" w:name="_Toc12871"/>
      <w:r>
        <w:rPr>
          <w:rFonts w:hint="default" w:ascii="Times New Roman" w:hAnsi="Times New Roman" w:cs="Times New Roman"/>
          <w:b w:val="0"/>
          <w:bCs w:val="0"/>
        </w:rPr>
        <w:t>（三）</w:t>
      </w:r>
      <w:r>
        <w:rPr>
          <w:rFonts w:hint="default" w:ascii="Times New Roman" w:hAnsi="Times New Roman" w:cs="Times New Roman"/>
          <w:b w:val="0"/>
          <w:bCs w:val="0"/>
          <w:lang w:eastAsia="zh-CN"/>
        </w:rPr>
        <w:t>申报安装监检和定期</w:t>
      </w:r>
      <w:r>
        <w:rPr>
          <w:rFonts w:hint="default" w:ascii="Times New Roman" w:hAnsi="Times New Roman" w:cs="Times New Roman"/>
          <w:b w:val="0"/>
          <w:bCs w:val="0"/>
        </w:rPr>
        <w:t>检验</w:t>
      </w:r>
      <w:bookmarkEnd w:id="54"/>
    </w:p>
    <w:p w14:paraId="52144E7E">
      <w:pPr>
        <w:pStyle w:val="4"/>
        <w:numPr>
          <w:ilvl w:val="0"/>
          <w:numId w:val="0"/>
        </w:numPr>
        <w:bidi w:val="0"/>
        <w:ind w:leftChars="200"/>
        <w:rPr>
          <w:rFonts w:hint="default" w:ascii="Times New Roman" w:hAnsi="Times New Roman" w:eastAsia="方正楷体简体" w:cs="Times New Roman"/>
          <w:b w:val="0"/>
          <w:bCs w:val="0"/>
          <w:lang w:val="en-US" w:eastAsia="zh-CN"/>
        </w:rPr>
      </w:pPr>
      <w:bookmarkStart w:id="55" w:name="_Toc19375"/>
      <w:r>
        <w:rPr>
          <w:rFonts w:hint="default" w:ascii="Times New Roman" w:hAnsi="Times New Roman" w:cs="Times New Roman"/>
          <w:b w:val="0"/>
          <w:bCs w:val="0"/>
          <w:lang w:val="en-US" w:eastAsia="zh-CN"/>
        </w:rPr>
        <w:t>1.申报安装监检</w:t>
      </w:r>
      <w:bookmarkEnd w:id="55"/>
    </w:p>
    <w:p w14:paraId="1D29F63F">
      <w:pPr>
        <w:bidi w:val="0"/>
        <w:rPr>
          <w:rFonts w:hint="default"/>
          <w:lang w:val="en-US" w:eastAsia="zh-CN"/>
        </w:rPr>
      </w:pPr>
      <w:r>
        <w:rPr>
          <w:rFonts w:hint="default"/>
        </w:rPr>
        <w:t>锅炉、压力容器、压力管道、电梯、起重机械、客运索道、大型游乐设施的安装、改造、重大修理过程，应当</w:t>
      </w:r>
      <w:r>
        <w:rPr>
          <w:rFonts w:hint="default"/>
          <w:lang w:eastAsia="zh-CN"/>
        </w:rPr>
        <w:t>申报安装</w:t>
      </w:r>
      <w:r>
        <w:rPr>
          <w:rFonts w:hint="default"/>
        </w:rPr>
        <w:t>监督检验。</w:t>
      </w:r>
      <w:r>
        <w:rPr>
          <w:rFonts w:hint="default"/>
          <w:lang w:val="en-US" w:eastAsia="zh-CN"/>
        </w:rPr>
        <w:t>使用单位应当约请具有相应检验资质并在济宁市市场监管局进行备案的检验机构开展安装监检。</w:t>
      </w:r>
    </w:p>
    <w:p w14:paraId="0A7D53C0">
      <w:pPr>
        <w:bidi w:val="0"/>
        <w:rPr>
          <w:rFonts w:hint="default"/>
          <w:highlight w:val="none"/>
          <w:lang w:eastAsia="zh-CN"/>
        </w:rPr>
      </w:pPr>
      <w:r>
        <w:rPr>
          <w:rFonts w:hint="default"/>
          <w:highlight w:val="none"/>
          <w:lang w:eastAsia="zh-CN"/>
        </w:rPr>
        <w:t>一般特种设备的安装监检需前往</w:t>
      </w:r>
      <w:r>
        <w:rPr>
          <w:rFonts w:hint="default"/>
          <w:highlight w:val="none"/>
        </w:rPr>
        <w:t>济宁市特检院业务大厅办理，地址：济宁高新区广安路西首。</w:t>
      </w:r>
      <w:r>
        <w:rPr>
          <w:rFonts w:hint="default"/>
          <w:highlight w:val="none"/>
          <w:lang w:eastAsia="zh-CN"/>
        </w:rPr>
        <w:t>济宁市特检院不具备相应资质的，可委托在市市场监管局备案的外地检验机构。</w:t>
      </w:r>
    </w:p>
    <w:p w14:paraId="08326B6B">
      <w:pPr>
        <w:pStyle w:val="4"/>
        <w:numPr>
          <w:ilvl w:val="0"/>
          <w:numId w:val="0"/>
        </w:numPr>
        <w:bidi w:val="0"/>
        <w:ind w:leftChars="200"/>
        <w:rPr>
          <w:rFonts w:hint="default" w:ascii="Times New Roman" w:hAnsi="Times New Roman" w:eastAsia="方正楷体简体" w:cs="Times New Roman"/>
          <w:b w:val="0"/>
          <w:bCs w:val="0"/>
          <w:lang w:val="en-US" w:eastAsia="zh-CN"/>
        </w:rPr>
      </w:pPr>
      <w:bookmarkStart w:id="56" w:name="_Toc10586"/>
      <w:r>
        <w:rPr>
          <w:rFonts w:hint="default" w:ascii="Times New Roman" w:hAnsi="Times New Roman" w:cs="Times New Roman"/>
          <w:b w:val="0"/>
          <w:bCs w:val="0"/>
          <w:lang w:val="en-US" w:eastAsia="zh-CN"/>
        </w:rPr>
        <w:t>2.申报定期检验</w:t>
      </w:r>
      <w:bookmarkEnd w:id="56"/>
    </w:p>
    <w:p w14:paraId="6566AE76">
      <w:pPr>
        <w:bidi w:val="0"/>
        <w:rPr>
          <w:rFonts w:hint="default"/>
          <w:lang w:val="en-US" w:eastAsia="zh-CN"/>
        </w:rPr>
      </w:pPr>
      <w:r>
        <w:rPr>
          <w:rFonts w:hint="default"/>
          <w:lang w:val="en-US" w:eastAsia="zh-CN"/>
        </w:rPr>
        <w:t>使用单位应当约请具有相应检验资质并在济宁市市场监管局进行备案的检验机构（含安全阀校验）开展定期检验。</w:t>
      </w:r>
      <w:r>
        <w:rPr>
          <w:rFonts w:hint="default"/>
          <w:lang w:eastAsia="zh-CN"/>
        </w:rPr>
        <w:t>一般</w:t>
      </w:r>
      <w:r>
        <w:rPr>
          <w:rFonts w:hint="default"/>
        </w:rPr>
        <w:t>特种设备</w:t>
      </w:r>
      <w:r>
        <w:rPr>
          <w:rFonts w:hint="default"/>
          <w:lang w:eastAsia="zh-CN"/>
        </w:rPr>
        <w:t>应向济宁市特检院申报检验，济宁市特检院不具备相应资质，可委托在市市场监管局备案的外地检验机构。</w:t>
      </w:r>
      <w:r>
        <w:rPr>
          <w:rFonts w:hint="default"/>
          <w:lang w:val="en-US" w:eastAsia="zh-CN"/>
        </w:rPr>
        <w:t>济宁市特检院报检方法：</w:t>
      </w:r>
    </w:p>
    <w:p w14:paraId="4ED882E9">
      <w:pPr>
        <w:bidi w:val="0"/>
        <w:rPr>
          <w:rFonts w:hint="default"/>
        </w:rPr>
      </w:pPr>
      <w:r>
        <w:rPr>
          <w:rFonts w:hint="default"/>
        </w:rPr>
        <w:t>方法1：下载“爱山东”APP,选择“济宁”站点，搜索“网上报检”，点击“济宁市特种设备网上报检”后，按提示办理；</w:t>
      </w:r>
    </w:p>
    <w:p w14:paraId="239EBB56">
      <w:pPr>
        <w:bidi w:val="0"/>
        <w:rPr>
          <w:rFonts w:hint="default"/>
        </w:rPr>
      </w:pPr>
      <w:r>
        <w:rPr>
          <w:rFonts w:hint="default"/>
        </w:rPr>
        <w:t>方法2：通过“济宁特检”微信公众号的“网上业务”-“网上报检”栏目，跳转“爱山东”APP后，按照提示办理；</w:t>
      </w:r>
    </w:p>
    <w:p w14:paraId="14D00170">
      <w:pPr>
        <w:bidi w:val="0"/>
        <w:rPr>
          <w:rFonts w:hint="default"/>
        </w:rPr>
      </w:pPr>
      <w:r>
        <w:rPr>
          <w:rFonts w:hint="default"/>
        </w:rPr>
        <w:t>方法3：登陆济宁市特检院网站（www.jnsei.org.cn），在</w:t>
      </w:r>
      <w:r>
        <w:rPr>
          <w:rFonts w:hint="default"/>
          <w:lang w:eastAsia="zh-CN"/>
        </w:rPr>
        <w:t>“检验业务”</w:t>
      </w:r>
      <w:r>
        <w:rPr>
          <w:rFonts w:hint="default"/>
        </w:rPr>
        <w:t>“</w:t>
      </w:r>
      <w:r>
        <w:rPr>
          <w:rFonts w:hint="default"/>
          <w:lang w:eastAsia="zh-CN"/>
        </w:rPr>
        <w:t>检验相关</w:t>
      </w:r>
      <w:r>
        <w:rPr>
          <w:rFonts w:hint="default"/>
        </w:rPr>
        <w:t>下载”栏目下载</w:t>
      </w:r>
      <w:r>
        <w:rPr>
          <w:rFonts w:hint="default"/>
          <w:lang w:eastAsia="zh-CN"/>
        </w:rPr>
        <w:t>《法定检验</w:t>
      </w:r>
      <w:r>
        <w:rPr>
          <w:rFonts w:hint="default"/>
        </w:rPr>
        <w:t>报检申请</w:t>
      </w:r>
      <w:r>
        <w:rPr>
          <w:rFonts w:hint="default"/>
          <w:lang w:eastAsia="zh-CN"/>
        </w:rPr>
        <w:t>单》</w:t>
      </w:r>
      <w:r>
        <w:rPr>
          <w:rFonts w:hint="default"/>
        </w:rPr>
        <w:t>，按要求填写后，盖章扫描发送至济宁市特检院邮箱jiningtjy@vip.126.com办理；</w:t>
      </w:r>
    </w:p>
    <w:p w14:paraId="719D5D8E">
      <w:pPr>
        <w:bidi w:val="0"/>
        <w:rPr>
          <w:rFonts w:hint="default"/>
        </w:rPr>
      </w:pPr>
      <w:r>
        <w:rPr>
          <w:rFonts w:hint="default"/>
        </w:rPr>
        <w:t>方法4：前往济宁市特检院业务大厅办理，地址：济宁高新区广安路西首。</w:t>
      </w:r>
    </w:p>
    <w:p w14:paraId="287354BB">
      <w:pPr>
        <w:bidi w:val="0"/>
        <w:rPr>
          <w:rFonts w:hint="default"/>
        </w:rPr>
      </w:pPr>
      <w:r>
        <w:rPr>
          <w:rFonts w:hint="default"/>
        </w:rPr>
        <w:t>具体可咨询济宁市特检院，联系电话：6508666、6508715</w:t>
      </w:r>
      <w:r>
        <w:rPr>
          <w:rFonts w:hint="eastAsia"/>
          <w:lang w:eastAsia="zh-CN"/>
        </w:rPr>
        <w:t>、</w:t>
      </w:r>
      <w:r>
        <w:rPr>
          <w:rFonts w:hint="eastAsia"/>
          <w:lang w:val="en-US" w:eastAsia="zh-CN"/>
        </w:rPr>
        <w:t>6508669</w:t>
      </w:r>
      <w:r>
        <w:rPr>
          <w:rFonts w:hint="default"/>
        </w:rPr>
        <w:t>。</w:t>
      </w:r>
    </w:p>
    <w:p w14:paraId="66517A2A">
      <w:pPr>
        <w:pStyle w:val="2"/>
        <w:bidi w:val="0"/>
        <w:rPr>
          <w:rFonts w:hint="default" w:ascii="Times New Roman" w:hAnsi="Times New Roman" w:cs="Times New Roman"/>
          <w:b w:val="0"/>
          <w:bCs w:val="0"/>
        </w:rPr>
      </w:pPr>
      <w:bookmarkStart w:id="57" w:name="_Toc26913"/>
      <w:r>
        <w:rPr>
          <w:rFonts w:hint="default" w:ascii="Times New Roman" w:hAnsi="Times New Roman" w:cs="Times New Roman"/>
          <w:b w:val="0"/>
          <w:bCs w:val="0"/>
        </w:rPr>
        <w:t>（四）</w:t>
      </w:r>
      <w:r>
        <w:rPr>
          <w:rFonts w:hint="eastAsia" w:cs="Times New Roman"/>
          <w:b w:val="0"/>
          <w:bCs w:val="0"/>
          <w:lang w:eastAsia="zh-CN"/>
        </w:rPr>
        <w:t>安全管理和</w:t>
      </w:r>
      <w:r>
        <w:rPr>
          <w:rFonts w:hint="default" w:ascii="Times New Roman" w:hAnsi="Times New Roman" w:cs="Times New Roman"/>
          <w:b w:val="0"/>
          <w:bCs w:val="0"/>
        </w:rPr>
        <w:t>作业人员考核发证及复审</w:t>
      </w:r>
      <w:bookmarkEnd w:id="57"/>
    </w:p>
    <w:p w14:paraId="18DA2E13">
      <w:pPr>
        <w:bidi w:val="0"/>
        <w:rPr>
          <w:rFonts w:hint="default"/>
          <w:lang w:val="en-US" w:eastAsia="zh-CN"/>
        </w:rPr>
      </w:pPr>
      <w:r>
        <w:rPr>
          <w:rFonts w:hint="default"/>
        </w:rPr>
        <w:t>特种设备</w:t>
      </w:r>
      <w:r>
        <w:rPr>
          <w:rFonts w:hint="eastAsia"/>
          <w:lang w:eastAsia="zh-CN"/>
        </w:rPr>
        <w:t>安全管理和</w:t>
      </w:r>
      <w:r>
        <w:rPr>
          <w:rFonts w:hint="default"/>
        </w:rPr>
        <w:t>作业人员首次取证</w:t>
      </w:r>
      <w:r>
        <w:rPr>
          <w:rFonts w:hint="default"/>
          <w:lang w:val="en-US" w:eastAsia="zh-CN"/>
        </w:rPr>
        <w:t>由济宁市行政审批局负责办理，</w:t>
      </w:r>
      <w:r>
        <w:rPr>
          <w:rFonts w:hint="eastAsia"/>
          <w:lang w:eastAsia="zh-CN"/>
        </w:rPr>
        <w:t>安全管理和</w:t>
      </w:r>
      <w:r>
        <w:rPr>
          <w:rFonts w:hint="default"/>
          <w:lang w:val="en-US" w:eastAsia="zh-CN"/>
        </w:rPr>
        <w:t>作业人员证到期复审可到工作单位所在地或户籍所在地的县级行政审批部门或市场监管部门办理（特种设备焊接作业人员证在市级行政审批部门办理）。具体办理流程如下：</w:t>
      </w:r>
    </w:p>
    <w:p w14:paraId="321516D5">
      <w:pPr>
        <w:bidi w:val="0"/>
        <w:rPr>
          <w:rFonts w:hint="default"/>
          <w:lang w:val="en-US" w:eastAsia="zh-CN"/>
        </w:rPr>
      </w:pPr>
      <w:r>
        <w:rPr>
          <w:rFonts w:hint="default"/>
          <w:lang w:val="en-US" w:eastAsia="zh-CN"/>
        </w:rPr>
        <w:t>方法1：登录“山东省市场监督管理局”网站—市场监管网上服务—特种设备—特种设备作业人员申请—在线申报—进入到“山东省统一身份认证平台”—个人登录—立即注册，进行取证申请和复审申请填报。</w:t>
      </w:r>
    </w:p>
    <w:p w14:paraId="38BF8872">
      <w:pPr>
        <w:bidi w:val="0"/>
        <w:rPr>
          <w:rFonts w:hint="default"/>
          <w:lang w:val="en-US" w:eastAsia="zh-CN"/>
        </w:rPr>
      </w:pPr>
      <w:r>
        <w:rPr>
          <w:rFonts w:hint="default"/>
          <w:lang w:val="en-US" w:eastAsia="zh-CN"/>
        </w:rPr>
        <w:t>方法2：下载“爱山东APP”，登陆成功后搜索：“特种设备作业人员资格特好办”，点击“发证申请”根据提示进行填报。</w:t>
      </w:r>
    </w:p>
    <w:p w14:paraId="6CD0E6C2">
      <w:pPr>
        <w:bidi w:val="0"/>
        <w:ind w:left="0" w:leftChars="0" w:firstLine="0" w:firstLineChars="0"/>
        <w:rPr>
          <w:rFonts w:hint="default"/>
          <w:lang w:val="en-US" w:eastAsia="zh-CN"/>
        </w:rPr>
      </w:pPr>
    </w:p>
    <w:p w14:paraId="422CF8EB">
      <w:pPr>
        <w:bidi w:val="0"/>
        <w:ind w:left="0" w:leftChars="0" w:firstLine="0" w:firstLineChars="0"/>
        <w:rPr>
          <w:rFonts w:hint="default"/>
          <w:lang w:val="en-US" w:eastAsia="zh-CN"/>
        </w:rPr>
      </w:pPr>
    </w:p>
    <w:p w14:paraId="622791E6">
      <w:pPr>
        <w:bidi w:val="0"/>
        <w:ind w:left="0" w:leftChars="0" w:firstLine="0" w:firstLineChars="0"/>
        <w:jc w:val="center"/>
        <w:rPr>
          <w:rFonts w:hint="default"/>
          <w:lang w:val="en-US" w:eastAsia="zh-CN"/>
        </w:rPr>
      </w:pPr>
      <w:r>
        <w:rPr>
          <w:rFonts w:hint="default"/>
          <w:lang w:val="en-US" w:eastAsia="zh-CN"/>
        </w:rPr>
        <w:t>济宁市特种设备</w:t>
      </w:r>
      <w:r>
        <w:rPr>
          <w:rFonts w:hint="eastAsia"/>
          <w:lang w:val="en-US" w:eastAsia="zh-CN"/>
        </w:rPr>
        <w:t>安全管理和</w:t>
      </w:r>
      <w:r>
        <w:rPr>
          <w:rFonts w:hint="default"/>
          <w:lang w:val="en-US" w:eastAsia="zh-CN"/>
        </w:rPr>
        <w:t>作业人员证复审业务受理部门</w:t>
      </w:r>
    </w:p>
    <w:tbl>
      <w:tblPr>
        <w:tblStyle w:val="17"/>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2250"/>
        <w:gridCol w:w="1590"/>
        <w:gridCol w:w="794"/>
        <w:gridCol w:w="2388"/>
        <w:gridCol w:w="1273"/>
      </w:tblGrid>
      <w:tr w14:paraId="343B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2A7B4F3C">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序号</w:t>
            </w:r>
          </w:p>
        </w:tc>
        <w:tc>
          <w:tcPr>
            <w:tcW w:w="2250" w:type="dxa"/>
            <w:noWrap w:val="0"/>
            <w:vAlign w:val="center"/>
          </w:tcPr>
          <w:p w14:paraId="3F8B42BF">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单位</w:t>
            </w:r>
          </w:p>
        </w:tc>
        <w:tc>
          <w:tcPr>
            <w:tcW w:w="1590" w:type="dxa"/>
            <w:noWrap w:val="0"/>
            <w:vAlign w:val="center"/>
          </w:tcPr>
          <w:p w14:paraId="131FB2DA">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咨询电话</w:t>
            </w:r>
          </w:p>
        </w:tc>
        <w:tc>
          <w:tcPr>
            <w:tcW w:w="794" w:type="dxa"/>
            <w:noWrap w:val="0"/>
            <w:vAlign w:val="center"/>
          </w:tcPr>
          <w:p w14:paraId="1B9E017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序号</w:t>
            </w:r>
          </w:p>
        </w:tc>
        <w:tc>
          <w:tcPr>
            <w:tcW w:w="2388" w:type="dxa"/>
            <w:noWrap w:val="0"/>
            <w:vAlign w:val="center"/>
          </w:tcPr>
          <w:p w14:paraId="198B3CE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单位</w:t>
            </w:r>
          </w:p>
        </w:tc>
        <w:tc>
          <w:tcPr>
            <w:tcW w:w="1273" w:type="dxa"/>
            <w:noWrap w:val="0"/>
            <w:vAlign w:val="center"/>
          </w:tcPr>
          <w:p w14:paraId="038AD5D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咨询电话</w:t>
            </w:r>
          </w:p>
        </w:tc>
      </w:tr>
      <w:tr w14:paraId="42A7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2DA6C4F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w:t>
            </w:r>
          </w:p>
        </w:tc>
        <w:tc>
          <w:tcPr>
            <w:tcW w:w="2250" w:type="dxa"/>
            <w:noWrap w:val="0"/>
            <w:vAlign w:val="center"/>
          </w:tcPr>
          <w:p w14:paraId="1EBDABEF">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任城区行政审批局</w:t>
            </w:r>
          </w:p>
        </w:tc>
        <w:tc>
          <w:tcPr>
            <w:tcW w:w="1590" w:type="dxa"/>
            <w:noWrap w:val="0"/>
            <w:vAlign w:val="center"/>
          </w:tcPr>
          <w:p w14:paraId="6E4F031A">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3233192</w:t>
            </w:r>
          </w:p>
        </w:tc>
        <w:tc>
          <w:tcPr>
            <w:tcW w:w="794" w:type="dxa"/>
            <w:noWrap w:val="0"/>
            <w:vAlign w:val="center"/>
          </w:tcPr>
          <w:p w14:paraId="14783BE1">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8</w:t>
            </w:r>
          </w:p>
        </w:tc>
        <w:tc>
          <w:tcPr>
            <w:tcW w:w="2388" w:type="dxa"/>
            <w:noWrap w:val="0"/>
            <w:vAlign w:val="center"/>
          </w:tcPr>
          <w:p w14:paraId="68DDD59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金乡县行政审批局</w:t>
            </w:r>
          </w:p>
        </w:tc>
        <w:tc>
          <w:tcPr>
            <w:tcW w:w="1273" w:type="dxa"/>
            <w:noWrap w:val="0"/>
            <w:vAlign w:val="center"/>
          </w:tcPr>
          <w:p w14:paraId="7CFE1D1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8012399</w:t>
            </w:r>
          </w:p>
        </w:tc>
      </w:tr>
      <w:tr w14:paraId="78DC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2B30D6DE">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2</w:t>
            </w:r>
          </w:p>
        </w:tc>
        <w:tc>
          <w:tcPr>
            <w:tcW w:w="2250" w:type="dxa"/>
            <w:noWrap w:val="0"/>
            <w:vAlign w:val="center"/>
          </w:tcPr>
          <w:p w14:paraId="3FD08F31">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兖州区行政审批局</w:t>
            </w:r>
          </w:p>
        </w:tc>
        <w:tc>
          <w:tcPr>
            <w:tcW w:w="1590" w:type="dxa"/>
            <w:noWrap w:val="0"/>
            <w:vAlign w:val="center"/>
          </w:tcPr>
          <w:p w14:paraId="37E1A46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3411127</w:t>
            </w:r>
          </w:p>
        </w:tc>
        <w:tc>
          <w:tcPr>
            <w:tcW w:w="794" w:type="dxa"/>
            <w:noWrap w:val="0"/>
            <w:vAlign w:val="center"/>
          </w:tcPr>
          <w:p w14:paraId="128EFDB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9</w:t>
            </w:r>
          </w:p>
        </w:tc>
        <w:tc>
          <w:tcPr>
            <w:tcW w:w="2388" w:type="dxa"/>
            <w:noWrap w:val="0"/>
            <w:vAlign w:val="center"/>
          </w:tcPr>
          <w:p w14:paraId="6F06F747">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嘉祥县行政审批局</w:t>
            </w:r>
          </w:p>
        </w:tc>
        <w:tc>
          <w:tcPr>
            <w:tcW w:w="1273" w:type="dxa"/>
            <w:noWrap w:val="0"/>
            <w:vAlign w:val="center"/>
          </w:tcPr>
          <w:p w14:paraId="6DCDD16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6828036</w:t>
            </w:r>
          </w:p>
        </w:tc>
      </w:tr>
      <w:tr w14:paraId="478F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2A469C91">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w:t>
            </w:r>
          </w:p>
        </w:tc>
        <w:tc>
          <w:tcPr>
            <w:tcW w:w="2250" w:type="dxa"/>
            <w:noWrap w:val="0"/>
            <w:vAlign w:val="center"/>
          </w:tcPr>
          <w:p w14:paraId="0FECA923">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曲阜市行政审批局</w:t>
            </w:r>
          </w:p>
        </w:tc>
        <w:tc>
          <w:tcPr>
            <w:tcW w:w="1590" w:type="dxa"/>
            <w:noWrap w:val="0"/>
            <w:vAlign w:val="center"/>
          </w:tcPr>
          <w:p w14:paraId="673E07EC">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4890503</w:t>
            </w:r>
          </w:p>
        </w:tc>
        <w:tc>
          <w:tcPr>
            <w:tcW w:w="794" w:type="dxa"/>
            <w:noWrap w:val="0"/>
            <w:vAlign w:val="center"/>
          </w:tcPr>
          <w:p w14:paraId="3A4F7037">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10</w:t>
            </w:r>
          </w:p>
        </w:tc>
        <w:tc>
          <w:tcPr>
            <w:tcW w:w="2388" w:type="dxa"/>
            <w:noWrap w:val="0"/>
            <w:vAlign w:val="center"/>
          </w:tcPr>
          <w:p w14:paraId="37CDD20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汶上县行政审批局</w:t>
            </w:r>
          </w:p>
        </w:tc>
        <w:tc>
          <w:tcPr>
            <w:tcW w:w="1273" w:type="dxa"/>
            <w:noWrap w:val="0"/>
            <w:vAlign w:val="center"/>
          </w:tcPr>
          <w:p w14:paraId="3C79B363">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7211506</w:t>
            </w:r>
          </w:p>
        </w:tc>
      </w:tr>
      <w:tr w14:paraId="0DF4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30178E7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4</w:t>
            </w:r>
          </w:p>
        </w:tc>
        <w:tc>
          <w:tcPr>
            <w:tcW w:w="2250" w:type="dxa"/>
            <w:noWrap w:val="0"/>
            <w:vAlign w:val="center"/>
          </w:tcPr>
          <w:p w14:paraId="2CB3BF0A">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泗水县行政审批局</w:t>
            </w:r>
          </w:p>
        </w:tc>
        <w:tc>
          <w:tcPr>
            <w:tcW w:w="1590" w:type="dxa"/>
            <w:noWrap w:val="0"/>
            <w:vAlign w:val="center"/>
          </w:tcPr>
          <w:p w14:paraId="57999990">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4221220</w:t>
            </w:r>
          </w:p>
        </w:tc>
        <w:tc>
          <w:tcPr>
            <w:tcW w:w="794" w:type="dxa"/>
            <w:noWrap w:val="0"/>
            <w:vAlign w:val="center"/>
          </w:tcPr>
          <w:p w14:paraId="290510D3">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11</w:t>
            </w:r>
          </w:p>
        </w:tc>
        <w:tc>
          <w:tcPr>
            <w:tcW w:w="2388" w:type="dxa"/>
            <w:noWrap w:val="0"/>
            <w:vAlign w:val="center"/>
          </w:tcPr>
          <w:p w14:paraId="31D16C4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梁山县行政审批局</w:t>
            </w:r>
          </w:p>
        </w:tc>
        <w:tc>
          <w:tcPr>
            <w:tcW w:w="1273" w:type="dxa"/>
            <w:noWrap w:val="0"/>
            <w:vAlign w:val="center"/>
          </w:tcPr>
          <w:p w14:paraId="7C8606E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7025592</w:t>
            </w:r>
          </w:p>
        </w:tc>
      </w:tr>
      <w:tr w14:paraId="3707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0972ACA9">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5</w:t>
            </w:r>
          </w:p>
        </w:tc>
        <w:tc>
          <w:tcPr>
            <w:tcW w:w="2250" w:type="dxa"/>
            <w:noWrap w:val="0"/>
            <w:vAlign w:val="center"/>
          </w:tcPr>
          <w:p w14:paraId="0A9F87DF">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邹城市市场监管局</w:t>
            </w:r>
          </w:p>
        </w:tc>
        <w:tc>
          <w:tcPr>
            <w:tcW w:w="1590" w:type="dxa"/>
            <w:noWrap w:val="0"/>
            <w:vAlign w:val="center"/>
          </w:tcPr>
          <w:p w14:paraId="3C00B1EA">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5219913</w:t>
            </w:r>
          </w:p>
        </w:tc>
        <w:tc>
          <w:tcPr>
            <w:tcW w:w="794" w:type="dxa"/>
            <w:noWrap w:val="0"/>
            <w:vAlign w:val="center"/>
          </w:tcPr>
          <w:p w14:paraId="4D81814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12</w:t>
            </w:r>
          </w:p>
        </w:tc>
        <w:tc>
          <w:tcPr>
            <w:tcW w:w="2388" w:type="dxa"/>
            <w:noWrap w:val="0"/>
            <w:vAlign w:val="center"/>
          </w:tcPr>
          <w:p w14:paraId="432B7C66">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高新区市场监管局</w:t>
            </w:r>
          </w:p>
        </w:tc>
        <w:tc>
          <w:tcPr>
            <w:tcW w:w="1273" w:type="dxa"/>
            <w:noWrap w:val="0"/>
            <w:vAlign w:val="center"/>
          </w:tcPr>
          <w:p w14:paraId="3CA95AA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7813011</w:t>
            </w:r>
          </w:p>
        </w:tc>
      </w:tr>
      <w:tr w14:paraId="1722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5B3B1F0C">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w:t>
            </w:r>
          </w:p>
        </w:tc>
        <w:tc>
          <w:tcPr>
            <w:tcW w:w="2250" w:type="dxa"/>
            <w:noWrap w:val="0"/>
            <w:vAlign w:val="center"/>
          </w:tcPr>
          <w:p w14:paraId="0CFBA458">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微山县行政审批局</w:t>
            </w:r>
          </w:p>
        </w:tc>
        <w:tc>
          <w:tcPr>
            <w:tcW w:w="1590" w:type="dxa"/>
            <w:noWrap w:val="0"/>
            <w:vAlign w:val="center"/>
          </w:tcPr>
          <w:p w14:paraId="7C727C83">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6509101</w:t>
            </w:r>
          </w:p>
        </w:tc>
        <w:tc>
          <w:tcPr>
            <w:tcW w:w="794" w:type="dxa"/>
            <w:noWrap w:val="0"/>
            <w:vAlign w:val="center"/>
          </w:tcPr>
          <w:p w14:paraId="184C7C27">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13</w:t>
            </w:r>
          </w:p>
        </w:tc>
        <w:tc>
          <w:tcPr>
            <w:tcW w:w="2388" w:type="dxa"/>
            <w:noWrap w:val="0"/>
            <w:vAlign w:val="center"/>
          </w:tcPr>
          <w:p w14:paraId="177B56B3">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太白湖区行政审批局</w:t>
            </w:r>
          </w:p>
        </w:tc>
        <w:tc>
          <w:tcPr>
            <w:tcW w:w="1273" w:type="dxa"/>
            <w:noWrap w:val="0"/>
            <w:vAlign w:val="center"/>
          </w:tcPr>
          <w:p w14:paraId="3CF3BC28">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3297992</w:t>
            </w:r>
          </w:p>
        </w:tc>
      </w:tr>
      <w:tr w14:paraId="744C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noWrap w:val="0"/>
            <w:vAlign w:val="center"/>
          </w:tcPr>
          <w:p w14:paraId="7767B48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7</w:t>
            </w:r>
          </w:p>
        </w:tc>
        <w:tc>
          <w:tcPr>
            <w:tcW w:w="2250" w:type="dxa"/>
            <w:noWrap w:val="0"/>
            <w:vAlign w:val="center"/>
          </w:tcPr>
          <w:p w14:paraId="251BF1E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鱼台县行政审批局</w:t>
            </w:r>
          </w:p>
        </w:tc>
        <w:tc>
          <w:tcPr>
            <w:tcW w:w="1590" w:type="dxa"/>
            <w:noWrap w:val="0"/>
            <w:vAlign w:val="center"/>
          </w:tcPr>
          <w:p w14:paraId="5ED1336A">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6281069</w:t>
            </w:r>
          </w:p>
        </w:tc>
        <w:tc>
          <w:tcPr>
            <w:tcW w:w="794" w:type="dxa"/>
            <w:noWrap w:val="0"/>
            <w:vAlign w:val="center"/>
          </w:tcPr>
          <w:p w14:paraId="18C85859">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14</w:t>
            </w:r>
          </w:p>
        </w:tc>
        <w:tc>
          <w:tcPr>
            <w:tcW w:w="2388" w:type="dxa"/>
            <w:noWrap w:val="0"/>
            <w:vAlign w:val="center"/>
          </w:tcPr>
          <w:p w14:paraId="183F02B2">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经开区行政审批局</w:t>
            </w:r>
          </w:p>
        </w:tc>
        <w:tc>
          <w:tcPr>
            <w:tcW w:w="1273" w:type="dxa"/>
            <w:noWrap w:val="0"/>
            <w:vAlign w:val="center"/>
          </w:tcPr>
          <w:p w14:paraId="2AA4BB44">
            <w:pPr>
              <w:bidi w:val="0"/>
              <w:ind w:left="0" w:leftChars="0" w:firstLine="0" w:firstLine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6990802</w:t>
            </w:r>
          </w:p>
        </w:tc>
      </w:tr>
    </w:tbl>
    <w:p w14:paraId="48286260">
      <w:pPr>
        <w:bidi w:val="0"/>
        <w:rPr>
          <w:rFonts w:hint="default"/>
          <w:lang w:eastAsia="zh-CN"/>
        </w:rPr>
      </w:pPr>
      <w:r>
        <w:rPr>
          <w:rFonts w:hint="default"/>
          <w:lang w:val="en-US" w:eastAsia="zh-CN"/>
        </w:rPr>
        <w:t>济宁市行政审批局</w:t>
      </w:r>
      <w:r>
        <w:rPr>
          <w:rFonts w:hint="default"/>
        </w:rPr>
        <w:t>电话：2397767</w:t>
      </w:r>
      <w:r>
        <w:rPr>
          <w:rFonts w:hint="default"/>
          <w:lang w:eastAsia="zh-CN"/>
        </w:rPr>
        <w:t>。</w:t>
      </w:r>
    </w:p>
    <w:p w14:paraId="33FD16DC">
      <w:pPr>
        <w:pStyle w:val="2"/>
        <w:bidi w:val="0"/>
        <w:rPr>
          <w:rFonts w:hint="default" w:ascii="Times New Roman" w:hAnsi="Times New Roman" w:eastAsia="黑体" w:cs="Times New Roman"/>
          <w:b w:val="0"/>
          <w:bCs w:val="0"/>
          <w:lang w:eastAsia="zh-CN"/>
        </w:rPr>
      </w:pPr>
      <w:bookmarkStart w:id="58" w:name="_Toc23590"/>
      <w:r>
        <w:rPr>
          <w:rFonts w:hint="default" w:ascii="Times New Roman" w:hAnsi="Times New Roman" w:cs="Times New Roman"/>
          <w:b w:val="0"/>
          <w:bCs w:val="0"/>
        </w:rPr>
        <w:t>（</w:t>
      </w:r>
      <w:r>
        <w:rPr>
          <w:rFonts w:hint="eastAsia" w:ascii="Times New Roman" w:hAnsi="Times New Roman" w:cs="Times New Roman"/>
          <w:b w:val="0"/>
          <w:bCs w:val="0"/>
          <w:lang w:eastAsia="zh-CN"/>
        </w:rPr>
        <w:t>五</w:t>
      </w:r>
      <w:r>
        <w:rPr>
          <w:rFonts w:hint="default" w:ascii="Times New Roman" w:hAnsi="Times New Roman" w:cs="Times New Roman"/>
          <w:b w:val="0"/>
          <w:bCs w:val="0"/>
        </w:rPr>
        <w:t>）</w:t>
      </w:r>
      <w:r>
        <w:rPr>
          <w:rFonts w:hint="default" w:ascii="Times New Roman" w:hAnsi="Times New Roman" w:cs="Times New Roman"/>
          <w:b w:val="0"/>
          <w:bCs w:val="0"/>
          <w:lang w:eastAsia="zh-CN"/>
        </w:rPr>
        <w:t>安全管理和</w:t>
      </w:r>
      <w:r>
        <w:rPr>
          <w:rFonts w:hint="default" w:ascii="Times New Roman" w:hAnsi="Times New Roman" w:cs="Times New Roman"/>
          <w:b w:val="0"/>
          <w:bCs w:val="0"/>
        </w:rPr>
        <w:t>作业人员</w:t>
      </w:r>
      <w:r>
        <w:rPr>
          <w:rFonts w:hint="default" w:ascii="Times New Roman" w:hAnsi="Times New Roman" w:cs="Times New Roman"/>
          <w:b w:val="0"/>
          <w:bCs w:val="0"/>
          <w:lang w:eastAsia="zh-CN"/>
        </w:rPr>
        <w:t>考试发证流程图</w:t>
      </w:r>
      <w:bookmarkEnd w:id="58"/>
    </w:p>
    <w:p w14:paraId="5CBB2F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 w:val="0"/>
          <w:bCs w:val="0"/>
          <w:lang w:eastAsia="zh-CN"/>
        </w:rPr>
      </w:pPr>
      <w:r>
        <w:rPr>
          <w:rFonts w:hint="default" w:ascii="Times New Roman" w:hAnsi="Times New Roman" w:cs="Times New Roman"/>
          <w:b w:val="0"/>
          <w:bCs w:val="0"/>
        </w:rPr>
        <w:drawing>
          <wp:inline distT="0" distB="0" distL="114300" distR="114300">
            <wp:extent cx="5275580" cy="6962140"/>
            <wp:effectExtent l="0" t="0" r="1270" b="10160"/>
            <wp:docPr id="4" name="图片 2" descr="8c7cd8a34aa3ede751c3fe20a71d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8c7cd8a34aa3ede751c3fe20a71db9c"/>
                    <pic:cNvPicPr>
                      <a:picLocks noChangeAspect="1"/>
                    </pic:cNvPicPr>
                  </pic:nvPicPr>
                  <pic:blipFill>
                    <a:blip r:embed="rId15"/>
                    <a:srcRect l="11322" t="7119" r="14460"/>
                    <a:stretch>
                      <a:fillRect/>
                    </a:stretch>
                  </pic:blipFill>
                  <pic:spPr>
                    <a:xfrm>
                      <a:off x="0" y="0"/>
                      <a:ext cx="5275580" cy="6962140"/>
                    </a:xfrm>
                    <a:prstGeom prst="rect">
                      <a:avLst/>
                    </a:prstGeom>
                    <a:noFill/>
                    <a:ln w="9525">
                      <a:noFill/>
                    </a:ln>
                  </pic:spPr>
                </pic:pic>
              </a:graphicData>
            </a:graphic>
          </wp:inline>
        </w:drawing>
      </w:r>
    </w:p>
    <w:p w14:paraId="660C5D4E">
      <w:pPr>
        <w:pStyle w:val="3"/>
        <w:bidi w:val="0"/>
        <w:rPr>
          <w:rFonts w:hint="default" w:ascii="Times New Roman" w:hAnsi="Times New Roman" w:cs="Times New Roman"/>
          <w:b w:val="0"/>
          <w:bCs w:val="0"/>
          <w:lang w:val="en-US" w:eastAsia="zh-CN"/>
        </w:rPr>
      </w:pPr>
    </w:p>
    <w:p w14:paraId="453BDB80">
      <w:pPr>
        <w:pStyle w:val="3"/>
        <w:bidi w:val="0"/>
        <w:rPr>
          <w:rFonts w:hint="default" w:ascii="Times New Roman" w:hAnsi="Times New Roman" w:cs="Times New Roman"/>
          <w:b w:val="0"/>
          <w:bCs w:val="0"/>
          <w:lang w:val="en-US" w:eastAsia="zh-CN"/>
        </w:rPr>
      </w:pPr>
    </w:p>
    <w:p w14:paraId="152C95C5">
      <w:pPr>
        <w:pStyle w:val="3"/>
        <w:bidi w:val="0"/>
        <w:rPr>
          <w:rFonts w:hint="default" w:ascii="Times New Roman" w:hAnsi="Times New Roman" w:cs="Times New Roman"/>
          <w:b w:val="0"/>
          <w:bCs w:val="0"/>
          <w:lang w:val="en-US" w:eastAsia="zh-CN"/>
        </w:rPr>
      </w:pPr>
    </w:p>
    <w:p w14:paraId="47A939B3">
      <w:pPr>
        <w:pStyle w:val="3"/>
        <w:bidi w:val="0"/>
        <w:rPr>
          <w:rFonts w:hint="default" w:ascii="Times New Roman" w:hAnsi="Times New Roman" w:cs="Times New Roman"/>
          <w:b w:val="0"/>
          <w:bCs w:val="0"/>
          <w:lang w:val="en-US" w:eastAsia="zh-CN"/>
        </w:rPr>
      </w:pPr>
    </w:p>
    <w:p w14:paraId="29CB31B3">
      <w:pPr>
        <w:pStyle w:val="3"/>
        <w:bidi w:val="0"/>
        <w:rPr>
          <w:rFonts w:hint="default" w:ascii="Times New Roman" w:hAnsi="Times New Roman" w:cs="Times New Roman"/>
          <w:b w:val="0"/>
          <w:bCs w:val="0"/>
          <w:lang w:val="en-US" w:eastAsia="zh-CN"/>
        </w:rPr>
      </w:pPr>
    </w:p>
    <w:p w14:paraId="0F9FE0DC">
      <w:pPr>
        <w:pStyle w:val="3"/>
        <w:bidi w:val="0"/>
        <w:rPr>
          <w:rFonts w:hint="default" w:ascii="Times New Roman" w:hAnsi="Times New Roman" w:cs="Times New Roman"/>
          <w:b w:val="0"/>
          <w:bCs w:val="0"/>
          <w:lang w:val="en-US" w:eastAsia="zh-CN"/>
        </w:rPr>
      </w:pPr>
    </w:p>
    <w:p w14:paraId="40D2B81A">
      <w:pPr>
        <w:pStyle w:val="3"/>
        <w:bidi w:val="0"/>
        <w:rPr>
          <w:rFonts w:hint="default" w:ascii="黑体" w:hAnsi="黑体" w:cs="黑体"/>
          <w:b w:val="0"/>
          <w:bCs w:val="0"/>
          <w:sz w:val="28"/>
          <w:szCs w:val="28"/>
          <w:lang w:val="en-US" w:eastAsia="zh-CN"/>
        </w:rPr>
      </w:pPr>
      <w:bookmarkStart w:id="59" w:name="_Toc30202"/>
      <w:r>
        <w:rPr>
          <w:rFonts w:hint="eastAsia" w:ascii="黑体" w:hAnsi="黑体" w:cs="黑体"/>
          <w:b w:val="0"/>
          <w:bCs w:val="0"/>
          <w:sz w:val="28"/>
          <w:szCs w:val="28"/>
          <w:lang w:val="en-US" w:eastAsia="zh-CN"/>
        </w:rPr>
        <w:t>十四、</w:t>
      </w:r>
      <w:r>
        <w:rPr>
          <w:rFonts w:hint="default" w:ascii="黑体" w:hAnsi="黑体" w:cs="黑体"/>
          <w:b w:val="0"/>
          <w:bCs w:val="0"/>
          <w:sz w:val="28"/>
          <w:szCs w:val="28"/>
          <w:lang w:val="en-US" w:eastAsia="zh-CN"/>
        </w:rPr>
        <w:t>附件</w:t>
      </w:r>
      <w:bookmarkEnd w:id="59"/>
    </w:p>
    <w:p w14:paraId="3AB91542">
      <w:pPr>
        <w:rPr>
          <w:rFonts w:hint="default" w:ascii="Times New Roman" w:hAnsi="Times New Roman" w:eastAsia="黑体" w:cs="Times New Roman"/>
          <w:b w:val="0"/>
          <w:bCs w:val="0"/>
          <w:lang w:val="en-US" w:eastAsia="zh-CN"/>
        </w:rPr>
      </w:pPr>
      <w:r>
        <w:rPr>
          <w:rFonts w:hint="default" w:ascii="Times New Roman" w:hAnsi="Times New Roman" w:eastAsia="黑体" w:cs="Times New Roman"/>
          <w:b w:val="0"/>
          <w:bCs w:val="0"/>
          <w:lang w:val="en-US" w:eastAsia="zh-CN"/>
        </w:rPr>
        <w:br w:type="page"/>
      </w:r>
    </w:p>
    <w:p w14:paraId="6552997D">
      <w:pPr>
        <w:pStyle w:val="2"/>
        <w:bidi w:val="0"/>
        <w:ind w:left="0" w:leftChars="0" w:firstLine="0" w:firstLineChars="0"/>
        <w:jc w:val="both"/>
        <w:rPr>
          <w:rFonts w:hint="default" w:ascii="Times New Roman" w:hAnsi="Times New Roman" w:cs="Times New Roman"/>
          <w:b w:val="0"/>
          <w:bCs w:val="0"/>
          <w:lang w:val="en-US" w:eastAsia="zh-CN"/>
        </w:rPr>
      </w:pPr>
      <w:bookmarkStart w:id="60" w:name="_Toc29189"/>
      <w:r>
        <w:rPr>
          <w:rFonts w:hint="default" w:ascii="Times New Roman" w:hAnsi="Times New Roman" w:cs="Times New Roman"/>
          <w:b w:val="0"/>
          <w:bCs w:val="0"/>
          <w:lang w:val="en-US" w:eastAsia="zh-CN"/>
        </w:rPr>
        <w:t>附件1</w:t>
      </w:r>
      <w:r>
        <w:rPr>
          <w:rFonts w:hint="eastAsia" w:cs="Times New Roman"/>
          <w:b w:val="0"/>
          <w:bCs w:val="0"/>
          <w:lang w:val="en-US" w:eastAsia="zh-CN"/>
        </w:rPr>
        <w:t>设置</w:t>
      </w:r>
      <w:r>
        <w:rPr>
          <w:rFonts w:hint="default" w:ascii="Times New Roman" w:hAnsi="Times New Roman" w:cs="Times New Roman"/>
          <w:b w:val="0"/>
          <w:bCs w:val="0"/>
          <w:lang w:val="en-US" w:eastAsia="zh-CN"/>
        </w:rPr>
        <w:t>安全管理机构和</w:t>
      </w:r>
      <w:r>
        <w:rPr>
          <w:rFonts w:hint="eastAsia" w:cs="Times New Roman"/>
          <w:b w:val="0"/>
          <w:bCs w:val="0"/>
          <w:lang w:val="en-US" w:eastAsia="zh-CN"/>
        </w:rPr>
        <w:t>任命</w:t>
      </w:r>
      <w:r>
        <w:rPr>
          <w:rFonts w:hint="default" w:ascii="Times New Roman" w:hAnsi="Times New Roman" w:cs="Times New Roman"/>
          <w:b w:val="0"/>
          <w:bCs w:val="0"/>
          <w:lang w:val="en-US" w:eastAsia="zh-CN"/>
        </w:rPr>
        <w:t>安全管理人员</w:t>
      </w:r>
      <w:r>
        <w:rPr>
          <w:rFonts w:hint="eastAsia" w:cs="Times New Roman"/>
          <w:b w:val="0"/>
          <w:bCs w:val="0"/>
          <w:lang w:val="en-US" w:eastAsia="zh-CN"/>
        </w:rPr>
        <w:t>（</w:t>
      </w:r>
      <w:r>
        <w:rPr>
          <w:rFonts w:hint="default" w:ascii="Times New Roman" w:hAnsi="Times New Roman" w:cs="Times New Roman"/>
          <w:b w:val="0"/>
          <w:bCs w:val="0"/>
          <w:lang w:val="en-US" w:eastAsia="zh-CN"/>
        </w:rPr>
        <w:t>参考模板</w:t>
      </w:r>
      <w:r>
        <w:rPr>
          <w:rFonts w:hint="eastAsia" w:cs="Times New Roman"/>
          <w:b w:val="0"/>
          <w:bCs w:val="0"/>
          <w:lang w:val="en-US" w:eastAsia="zh-CN"/>
        </w:rPr>
        <w:t>）</w:t>
      </w:r>
      <w:bookmarkEnd w:id="60"/>
    </w:p>
    <w:p w14:paraId="1803224D">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Times New Roman" w:hAnsi="Times New Roman" w:eastAsia="黑体" w:cs="Times New Roman"/>
          <w:b w:val="0"/>
          <w:bCs w:val="0"/>
          <w:lang w:val="en-US" w:eastAsia="zh-CN"/>
        </w:rPr>
      </w:pPr>
      <w:r>
        <w:rPr>
          <w:rFonts w:hint="default" w:ascii="Times New Roman" w:hAnsi="Times New Roman" w:eastAsia="黑体" w:cs="Times New Roman"/>
          <w:b w:val="0"/>
          <w:bCs w:val="0"/>
          <w:lang w:val="en-US" w:eastAsia="zh-CN"/>
        </w:rPr>
        <w:t>附件1-1</w:t>
      </w:r>
      <w:r>
        <w:rPr>
          <w:rFonts w:hint="default" w:ascii="Times New Roman" w:hAnsi="Times New Roman" w:cs="Times New Roman"/>
          <w:b w:val="0"/>
          <w:bCs w:val="0"/>
          <w:lang w:val="en-US" w:eastAsia="zh-CN"/>
        </w:rPr>
        <w:t>（适用于依规应当设置安全管理机构的单位）</w:t>
      </w:r>
    </w:p>
    <w:p w14:paraId="03376704">
      <w:pPr>
        <w:pStyle w:val="13"/>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520" w:lineRule="exact"/>
        <w:ind w:left="0" w:leftChars="0" w:firstLine="0" w:firstLineChars="0"/>
        <w:jc w:val="center"/>
        <w:textAlignment w:val="auto"/>
        <w:rPr>
          <w:rFonts w:hint="eastAsia" w:ascii="宋体" w:hAnsi="宋体" w:eastAsia="宋体" w:cs="宋体"/>
          <w:b w:val="0"/>
          <w:bCs w:val="0"/>
          <w:color w:val="FF0000"/>
          <w:kern w:val="2"/>
          <w:sz w:val="44"/>
          <w:szCs w:val="44"/>
          <w:lang w:val="en-US" w:eastAsia="zh-CN"/>
        </w:rPr>
      </w:pPr>
      <w:r>
        <w:rPr>
          <w:rFonts w:hint="eastAsia" w:ascii="宋体" w:hAnsi="宋体" w:eastAsia="宋体" w:cs="宋体"/>
          <w:b w:val="0"/>
          <w:bCs w:val="0"/>
          <w:color w:val="FF0000"/>
          <w:kern w:val="2"/>
          <w:sz w:val="44"/>
          <w:szCs w:val="44"/>
          <w:lang w:val="en-US" w:eastAsia="zh-CN"/>
        </w:rPr>
        <w:t>XX公司文件</w:t>
      </w:r>
    </w:p>
    <w:p w14:paraId="6CB9C973">
      <w:pPr>
        <w:pStyle w:val="13"/>
        <w:keepNext w:val="0"/>
        <w:keepLines w:val="0"/>
        <w:pageBreakBefore w:val="0"/>
        <w:widowControl/>
        <w:kinsoku/>
        <w:wordWrap/>
        <w:overflowPunct/>
        <w:topLinePunct w:val="0"/>
        <w:autoSpaceDE/>
        <w:autoSpaceDN/>
        <w:bidi w:val="0"/>
        <w:adjustRightInd/>
        <w:snapToGrid/>
        <w:spacing w:before="313" w:beforeLines="100" w:beforeAutospacing="0" w:after="0" w:afterAutospacing="0" w:line="520" w:lineRule="exact"/>
        <w:ind w:left="0" w:leftChars="0" w:firstLine="0" w:firstLineChars="0"/>
        <w:jc w:val="center"/>
        <w:textAlignment w:val="auto"/>
        <w:rPr>
          <w:rFonts w:hint="eastAsia" w:ascii="宋体" w:hAnsi="宋体" w:eastAsia="宋体" w:cs="宋体"/>
          <w:b w:val="0"/>
          <w:bCs w:val="0"/>
          <w:kern w:val="2"/>
          <w:sz w:val="44"/>
          <w:szCs w:val="44"/>
          <w:lang w:eastAsia="zh-CN"/>
        </w:rPr>
      </w:pPr>
      <w:r>
        <w:rPr>
          <w:rFonts w:hint="eastAsia" w:ascii="宋体" w:hAnsi="宋体" w:eastAsia="宋体" w:cs="宋体"/>
          <w:b w:val="0"/>
          <w:bCs w:val="0"/>
          <w:kern w:val="2"/>
          <w:sz w:val="44"/>
          <w:szCs w:val="44"/>
        </w:rPr>
        <w:t>关于设立特种设备安全管理机构</w:t>
      </w:r>
      <w:r>
        <w:rPr>
          <w:rFonts w:hint="eastAsia" w:ascii="宋体" w:hAnsi="宋体" w:eastAsia="宋体" w:cs="宋体"/>
          <w:b w:val="0"/>
          <w:bCs w:val="0"/>
          <w:kern w:val="2"/>
          <w:sz w:val="44"/>
          <w:szCs w:val="44"/>
          <w:lang w:eastAsia="zh-CN"/>
        </w:rPr>
        <w:t>和任命</w:t>
      </w:r>
    </w:p>
    <w:p w14:paraId="402A28F5">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leftChars="0" w:firstLine="0" w:firstLineChars="0"/>
        <w:jc w:val="center"/>
        <w:textAlignment w:val="auto"/>
        <w:rPr>
          <w:rFonts w:hint="eastAsia" w:ascii="宋体" w:hAnsi="宋体" w:eastAsia="宋体" w:cs="宋体"/>
          <w:b w:val="0"/>
          <w:bCs w:val="0"/>
          <w:kern w:val="2"/>
          <w:sz w:val="44"/>
          <w:szCs w:val="44"/>
        </w:rPr>
      </w:pPr>
      <w:r>
        <w:rPr>
          <w:rFonts w:hint="eastAsia" w:ascii="宋体" w:hAnsi="宋体" w:eastAsia="宋体" w:cs="宋体"/>
          <w:b w:val="0"/>
          <w:bCs w:val="0"/>
          <w:kern w:val="2"/>
          <w:sz w:val="44"/>
          <w:szCs w:val="44"/>
          <w:lang w:eastAsia="zh-CN"/>
        </w:rPr>
        <w:t>特种设备安全管理人员</w:t>
      </w:r>
      <w:r>
        <w:rPr>
          <w:rFonts w:hint="eastAsia" w:ascii="宋体" w:hAnsi="宋体" w:eastAsia="宋体" w:cs="宋体"/>
          <w:b w:val="0"/>
          <w:bCs w:val="0"/>
          <w:kern w:val="2"/>
          <w:sz w:val="44"/>
          <w:szCs w:val="44"/>
        </w:rPr>
        <w:t>的通知</w:t>
      </w:r>
    </w:p>
    <w:p w14:paraId="1FC249C4">
      <w:pPr>
        <w:pStyle w:val="13"/>
        <w:keepNext w:val="0"/>
        <w:keepLines w:val="0"/>
        <w:pageBreakBefore w:val="0"/>
        <w:widowControl/>
        <w:kinsoku/>
        <w:wordWrap/>
        <w:overflowPunct/>
        <w:topLinePunct w:val="0"/>
        <w:autoSpaceDE/>
        <w:autoSpaceDN/>
        <w:bidi w:val="0"/>
        <w:adjustRightInd/>
        <w:snapToGrid/>
        <w:spacing w:before="313" w:beforeLines="100" w:beforeAutospacing="0" w:after="0" w:afterAutospacing="0" w:line="520" w:lineRule="exact"/>
        <w:ind w:firstLine="640" w:firstLineChars="200"/>
        <w:textAlignment w:val="auto"/>
        <w:rPr>
          <w:rFonts w:hint="eastAsia" w:ascii="宋体" w:hAnsi="宋体" w:eastAsia="宋体" w:cs="宋体"/>
          <w:b w:val="0"/>
          <w:bCs w:val="0"/>
          <w:kern w:val="2"/>
          <w:sz w:val="32"/>
          <w:szCs w:val="32"/>
        </w:rPr>
      </w:pPr>
      <w:r>
        <w:rPr>
          <w:rFonts w:hint="eastAsia" w:ascii="宋体" w:hAnsi="宋体" w:eastAsia="宋体" w:cs="宋体"/>
          <w:b w:val="0"/>
          <w:bCs w:val="0"/>
          <w:kern w:val="2"/>
          <w:sz w:val="32"/>
          <w:szCs w:val="32"/>
        </w:rPr>
        <w:t>为加强</w:t>
      </w:r>
      <w:r>
        <w:rPr>
          <w:rFonts w:hint="eastAsia" w:ascii="宋体" w:hAnsi="宋体" w:eastAsia="宋体" w:cs="宋体"/>
          <w:b w:val="0"/>
          <w:bCs w:val="0"/>
          <w:kern w:val="2"/>
          <w:sz w:val="32"/>
          <w:szCs w:val="32"/>
          <w:lang w:eastAsia="zh-CN"/>
        </w:rPr>
        <w:t>公司</w:t>
      </w:r>
      <w:r>
        <w:rPr>
          <w:rFonts w:hint="eastAsia" w:ascii="宋体" w:hAnsi="宋体" w:eastAsia="宋体" w:cs="宋体"/>
          <w:b w:val="0"/>
          <w:bCs w:val="0"/>
          <w:kern w:val="2"/>
          <w:sz w:val="32"/>
          <w:szCs w:val="32"/>
        </w:rPr>
        <w:t>特种设备使用安全管理，贯彻</w:t>
      </w:r>
      <w:r>
        <w:rPr>
          <w:rFonts w:hint="eastAsia" w:ascii="宋体" w:hAnsi="宋体" w:eastAsia="宋体" w:cs="宋体"/>
          <w:b w:val="0"/>
          <w:bCs w:val="0"/>
          <w:kern w:val="2"/>
          <w:sz w:val="32"/>
          <w:szCs w:val="32"/>
          <w:lang w:eastAsia="zh-CN"/>
        </w:rPr>
        <w:t>落实</w:t>
      </w:r>
      <w:r>
        <w:rPr>
          <w:rFonts w:hint="eastAsia" w:ascii="宋体" w:hAnsi="宋体" w:eastAsia="宋体" w:cs="宋体"/>
          <w:b w:val="0"/>
          <w:bCs w:val="0"/>
          <w:kern w:val="2"/>
          <w:sz w:val="32"/>
          <w:szCs w:val="32"/>
        </w:rPr>
        <w:t>特种设备</w:t>
      </w:r>
      <w:r>
        <w:rPr>
          <w:rFonts w:hint="eastAsia" w:ascii="宋体" w:hAnsi="宋体" w:eastAsia="宋体" w:cs="宋体"/>
          <w:b w:val="0"/>
          <w:bCs w:val="0"/>
          <w:kern w:val="2"/>
          <w:sz w:val="32"/>
          <w:szCs w:val="32"/>
          <w:lang w:eastAsia="zh-CN"/>
        </w:rPr>
        <w:t>安全</w:t>
      </w:r>
      <w:r>
        <w:rPr>
          <w:rFonts w:hint="eastAsia" w:ascii="宋体" w:hAnsi="宋体" w:eastAsia="宋体" w:cs="宋体"/>
          <w:b w:val="0"/>
          <w:bCs w:val="0"/>
          <w:kern w:val="2"/>
          <w:sz w:val="32"/>
          <w:szCs w:val="32"/>
        </w:rPr>
        <w:t>法律、法规和安全技术规范</w:t>
      </w:r>
      <w:r>
        <w:rPr>
          <w:rFonts w:hint="eastAsia" w:ascii="宋体" w:hAnsi="宋体" w:eastAsia="宋体" w:cs="宋体"/>
          <w:b w:val="0"/>
          <w:bCs w:val="0"/>
          <w:kern w:val="2"/>
          <w:sz w:val="32"/>
          <w:szCs w:val="32"/>
          <w:lang w:eastAsia="zh-CN"/>
        </w:rPr>
        <w:t>要求</w:t>
      </w:r>
      <w:r>
        <w:rPr>
          <w:rFonts w:hint="eastAsia" w:ascii="宋体" w:hAnsi="宋体" w:eastAsia="宋体" w:cs="宋体"/>
          <w:b w:val="0"/>
          <w:bCs w:val="0"/>
          <w:kern w:val="2"/>
          <w:sz w:val="32"/>
          <w:szCs w:val="32"/>
        </w:rPr>
        <w:t>，经研究，确定</w:t>
      </w:r>
      <w:r>
        <w:rPr>
          <w:rFonts w:hint="eastAsia" w:ascii="宋体" w:hAnsi="宋体" w:eastAsia="宋体" w:cs="宋体"/>
          <w:b w:val="0"/>
          <w:bCs w:val="0"/>
          <w:kern w:val="2"/>
          <w:sz w:val="32"/>
          <w:szCs w:val="32"/>
          <w:lang w:val="en-US" w:eastAsia="zh-CN"/>
        </w:rPr>
        <w:t>XX</w:t>
      </w:r>
      <w:r>
        <w:rPr>
          <w:rFonts w:hint="eastAsia" w:ascii="宋体" w:hAnsi="宋体" w:eastAsia="宋体" w:cs="宋体"/>
          <w:b w:val="0"/>
          <w:bCs w:val="0"/>
          <w:kern w:val="2"/>
          <w:sz w:val="32"/>
          <w:szCs w:val="32"/>
        </w:rPr>
        <w:t>部为本公司的特种设备安全管理部门</w:t>
      </w:r>
      <w:r>
        <w:rPr>
          <w:rFonts w:hint="eastAsia" w:ascii="宋体" w:hAnsi="宋体" w:eastAsia="宋体" w:cs="宋体"/>
          <w:b w:val="0"/>
          <w:bCs w:val="0"/>
          <w:kern w:val="2"/>
          <w:sz w:val="32"/>
          <w:szCs w:val="32"/>
          <w:lang w:eastAsia="zh-CN"/>
        </w:rPr>
        <w:t>，负责特种设备安全监督管理工作</w:t>
      </w:r>
      <w:r>
        <w:rPr>
          <w:rFonts w:hint="eastAsia" w:ascii="宋体" w:hAnsi="宋体" w:eastAsia="宋体" w:cs="宋体"/>
          <w:b w:val="0"/>
          <w:bCs w:val="0"/>
          <w:kern w:val="2"/>
          <w:sz w:val="32"/>
          <w:szCs w:val="32"/>
        </w:rPr>
        <w:t>。</w:t>
      </w:r>
    </w:p>
    <w:p w14:paraId="773AB84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hint="eastAsia" w:ascii="宋体" w:hAnsi="宋体" w:eastAsia="宋体" w:cs="宋体"/>
          <w:b w:val="0"/>
          <w:bCs w:val="0"/>
          <w:kern w:val="2"/>
          <w:sz w:val="32"/>
          <w:szCs w:val="32"/>
          <w:lang w:val="en-US" w:eastAsia="zh-CN"/>
        </w:rPr>
      </w:pPr>
      <w:r>
        <w:rPr>
          <w:rFonts w:hint="eastAsia" w:ascii="宋体" w:hAnsi="宋体" w:eastAsia="宋体" w:cs="宋体"/>
          <w:b w:val="0"/>
          <w:bCs w:val="0"/>
          <w:kern w:val="2"/>
          <w:sz w:val="32"/>
          <w:szCs w:val="32"/>
          <w:lang w:eastAsia="zh-CN"/>
        </w:rPr>
        <w:t>任命</w:t>
      </w:r>
      <w:r>
        <w:rPr>
          <w:rFonts w:hint="eastAsia" w:ascii="宋体" w:hAnsi="宋体" w:eastAsia="宋体" w:cs="宋体"/>
          <w:b w:val="0"/>
          <w:bCs w:val="0"/>
          <w:kern w:val="2"/>
          <w:sz w:val="32"/>
          <w:szCs w:val="32"/>
          <w:lang w:val="en-US" w:eastAsia="zh-CN"/>
        </w:rPr>
        <w:t>XXX为特种设备安全总监。</w:t>
      </w:r>
      <w:r>
        <w:rPr>
          <w:rFonts w:hint="eastAsia" w:ascii="宋体" w:hAnsi="宋体" w:eastAsia="宋体" w:cs="宋体"/>
          <w:b w:val="0"/>
          <w:bCs w:val="0"/>
          <w:color w:val="FF0000"/>
          <w:kern w:val="2"/>
          <w:sz w:val="32"/>
          <w:szCs w:val="32"/>
          <w:lang w:val="en-US" w:eastAsia="zh-CN"/>
        </w:rPr>
        <w:t>（注意：安全总监</w:t>
      </w:r>
      <w:r>
        <w:rPr>
          <w:rFonts w:hint="eastAsia" w:cs="宋体"/>
          <w:b w:val="0"/>
          <w:bCs w:val="0"/>
          <w:color w:val="FF0000"/>
          <w:kern w:val="2"/>
          <w:sz w:val="32"/>
          <w:szCs w:val="32"/>
          <w:lang w:val="en-US" w:eastAsia="zh-CN"/>
        </w:rPr>
        <w:t>应为高级管理层，且</w:t>
      </w:r>
      <w:r>
        <w:rPr>
          <w:rFonts w:hint="eastAsia" w:ascii="宋体" w:hAnsi="宋体" w:eastAsia="宋体" w:cs="宋体"/>
          <w:b w:val="0"/>
          <w:bCs w:val="0"/>
          <w:color w:val="FF0000"/>
          <w:kern w:val="2"/>
          <w:sz w:val="32"/>
          <w:szCs w:val="32"/>
          <w:lang w:val="en-US" w:eastAsia="zh-CN"/>
        </w:rPr>
        <w:t>需持A证）</w:t>
      </w:r>
    </w:p>
    <w:p w14:paraId="4EDEF171">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hint="eastAsia" w:ascii="宋体" w:hAnsi="宋体" w:eastAsia="宋体" w:cs="宋体"/>
          <w:b w:val="0"/>
          <w:bCs w:val="0"/>
          <w:kern w:val="2"/>
          <w:sz w:val="32"/>
          <w:szCs w:val="32"/>
          <w:lang w:val="en-US" w:eastAsia="zh-CN"/>
        </w:rPr>
      </w:pPr>
      <w:r>
        <w:rPr>
          <w:rFonts w:hint="eastAsia" w:ascii="宋体" w:hAnsi="宋体" w:eastAsia="宋体" w:cs="宋体"/>
          <w:b w:val="0"/>
          <w:bCs w:val="0"/>
          <w:kern w:val="2"/>
          <w:sz w:val="32"/>
          <w:szCs w:val="32"/>
          <w:lang w:val="en-US" w:eastAsia="zh-CN"/>
        </w:rPr>
        <w:t>任命XXX为特种设备安全员。（或者任命XXX（负责XX、XX类特种设备）、XXX（负责XX、XX类特种设备）为特种设备安全员）。</w:t>
      </w:r>
      <w:r>
        <w:rPr>
          <w:rFonts w:hint="eastAsia" w:ascii="宋体" w:hAnsi="宋体" w:eastAsia="宋体" w:cs="宋体"/>
          <w:b w:val="0"/>
          <w:bCs w:val="0"/>
          <w:color w:val="FF0000"/>
          <w:kern w:val="2"/>
          <w:sz w:val="32"/>
          <w:szCs w:val="32"/>
          <w:lang w:val="en-US" w:eastAsia="zh-CN"/>
        </w:rPr>
        <w:t>（注意：安全员需持A证）</w:t>
      </w:r>
    </w:p>
    <w:p w14:paraId="221D9B53">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1440" w:leftChars="200" w:hanging="960" w:hangingChars="300"/>
        <w:textAlignment w:val="auto"/>
        <w:rPr>
          <w:rFonts w:hint="eastAsia" w:ascii="宋体" w:hAnsi="宋体" w:eastAsia="宋体" w:cs="宋体"/>
          <w:b w:val="0"/>
          <w:bCs w:val="0"/>
          <w:kern w:val="2"/>
          <w:sz w:val="32"/>
          <w:szCs w:val="32"/>
          <w:lang w:val="en-US" w:eastAsia="zh-CN"/>
        </w:rPr>
      </w:pPr>
    </w:p>
    <w:p w14:paraId="02DC2BCC">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3840" w:firstLineChars="1200"/>
        <w:jc w:val="left"/>
        <w:textAlignment w:val="auto"/>
        <w:rPr>
          <w:rFonts w:hint="eastAsia" w:ascii="宋体" w:hAnsi="宋体" w:eastAsia="宋体" w:cs="宋体"/>
          <w:b w:val="0"/>
          <w:bCs w:val="0"/>
          <w:kern w:val="2"/>
          <w:sz w:val="32"/>
          <w:szCs w:val="32"/>
          <w:lang w:val="en-US" w:eastAsia="zh-CN"/>
        </w:rPr>
      </w:pPr>
    </w:p>
    <w:p w14:paraId="0F1D1C62">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3840" w:firstLineChars="1200"/>
        <w:jc w:val="left"/>
        <w:textAlignment w:val="auto"/>
        <w:rPr>
          <w:rFonts w:hint="eastAsia" w:ascii="宋体" w:hAnsi="宋体" w:eastAsia="宋体" w:cs="宋体"/>
          <w:b w:val="0"/>
          <w:bCs w:val="0"/>
          <w:kern w:val="2"/>
          <w:sz w:val="32"/>
          <w:szCs w:val="32"/>
          <w:lang w:eastAsia="zh-CN"/>
        </w:rPr>
      </w:pPr>
      <w:r>
        <w:rPr>
          <w:rFonts w:hint="eastAsia" w:ascii="宋体" w:hAnsi="宋体" w:eastAsia="宋体" w:cs="宋体"/>
          <w:b w:val="0"/>
          <w:bCs w:val="0"/>
          <w:kern w:val="2"/>
          <w:sz w:val="32"/>
          <w:szCs w:val="32"/>
          <w:lang w:val="en-US" w:eastAsia="zh-CN"/>
        </w:rPr>
        <w:t>XXXX</w:t>
      </w:r>
      <w:r>
        <w:rPr>
          <w:rFonts w:hint="eastAsia" w:ascii="宋体" w:hAnsi="宋体" w:eastAsia="宋体" w:cs="宋体"/>
          <w:b w:val="0"/>
          <w:bCs w:val="0"/>
          <w:kern w:val="2"/>
          <w:sz w:val="32"/>
          <w:szCs w:val="32"/>
        </w:rPr>
        <w:t>有限公司</w:t>
      </w:r>
      <w:r>
        <w:rPr>
          <w:rFonts w:hint="eastAsia" w:ascii="宋体" w:hAnsi="宋体" w:eastAsia="宋体" w:cs="宋体"/>
          <w:b w:val="0"/>
          <w:bCs w:val="0"/>
          <w:kern w:val="2"/>
          <w:sz w:val="32"/>
          <w:szCs w:val="32"/>
          <w:lang w:eastAsia="zh-CN"/>
        </w:rPr>
        <w:t>（公司印章）</w:t>
      </w:r>
    </w:p>
    <w:p w14:paraId="4A60D0E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765"/>
        <w:textAlignment w:val="auto"/>
        <w:rPr>
          <w:rFonts w:hint="eastAsia" w:ascii="宋体" w:hAnsi="宋体" w:eastAsia="宋体" w:cs="宋体"/>
          <w:b w:val="0"/>
          <w:bCs w:val="0"/>
          <w:kern w:val="2"/>
          <w:sz w:val="32"/>
          <w:szCs w:val="32"/>
        </w:rPr>
      </w:pPr>
      <w:r>
        <w:rPr>
          <w:rFonts w:hint="eastAsia" w:ascii="宋体" w:hAnsi="宋体" w:eastAsia="宋体" w:cs="宋体"/>
          <w:b w:val="0"/>
          <w:bCs w:val="0"/>
          <w:kern w:val="2"/>
          <w:sz w:val="32"/>
          <w:szCs w:val="32"/>
        </w:rPr>
        <w:t xml:space="preserve">                  20</w:t>
      </w:r>
      <w:r>
        <w:rPr>
          <w:rFonts w:hint="eastAsia" w:cs="宋体"/>
          <w:b w:val="0"/>
          <w:bCs w:val="0"/>
          <w:kern w:val="2"/>
          <w:sz w:val="32"/>
          <w:szCs w:val="32"/>
          <w:lang w:val="en-US" w:eastAsia="zh-CN"/>
        </w:rPr>
        <w:t>X</w:t>
      </w:r>
      <w:r>
        <w:rPr>
          <w:rFonts w:hint="eastAsia" w:ascii="宋体" w:hAnsi="宋体" w:eastAsia="宋体" w:cs="宋体"/>
          <w:b w:val="0"/>
          <w:bCs w:val="0"/>
          <w:kern w:val="2"/>
          <w:sz w:val="32"/>
          <w:szCs w:val="32"/>
          <w:lang w:val="en-US" w:eastAsia="zh-CN"/>
        </w:rPr>
        <w:t>X</w:t>
      </w:r>
      <w:r>
        <w:rPr>
          <w:rFonts w:hint="eastAsia" w:ascii="宋体" w:hAnsi="宋体" w:eastAsia="宋体" w:cs="宋体"/>
          <w:b w:val="0"/>
          <w:bCs w:val="0"/>
          <w:kern w:val="2"/>
          <w:sz w:val="32"/>
          <w:szCs w:val="32"/>
        </w:rPr>
        <w:t>年</w:t>
      </w:r>
      <w:r>
        <w:rPr>
          <w:rFonts w:hint="eastAsia" w:ascii="宋体" w:hAnsi="宋体" w:eastAsia="宋体" w:cs="宋体"/>
          <w:b w:val="0"/>
          <w:bCs w:val="0"/>
          <w:kern w:val="2"/>
          <w:sz w:val="32"/>
          <w:szCs w:val="32"/>
          <w:lang w:val="en-US" w:eastAsia="zh-CN"/>
        </w:rPr>
        <w:t>XX</w:t>
      </w:r>
      <w:r>
        <w:rPr>
          <w:rFonts w:hint="eastAsia" w:ascii="宋体" w:hAnsi="宋体" w:eastAsia="宋体" w:cs="宋体"/>
          <w:b w:val="0"/>
          <w:bCs w:val="0"/>
          <w:kern w:val="2"/>
          <w:sz w:val="32"/>
          <w:szCs w:val="32"/>
        </w:rPr>
        <w:t>月</w:t>
      </w:r>
      <w:r>
        <w:rPr>
          <w:rFonts w:hint="eastAsia" w:ascii="宋体" w:hAnsi="宋体" w:eastAsia="宋体" w:cs="宋体"/>
          <w:b w:val="0"/>
          <w:bCs w:val="0"/>
          <w:kern w:val="2"/>
          <w:sz w:val="32"/>
          <w:szCs w:val="32"/>
          <w:lang w:val="en-US" w:eastAsia="zh-CN"/>
        </w:rPr>
        <w:t>XX</w:t>
      </w:r>
      <w:r>
        <w:rPr>
          <w:rFonts w:hint="eastAsia" w:ascii="宋体" w:hAnsi="宋体" w:eastAsia="宋体" w:cs="宋体"/>
          <w:b w:val="0"/>
          <w:bCs w:val="0"/>
          <w:kern w:val="2"/>
          <w:sz w:val="32"/>
          <w:szCs w:val="32"/>
        </w:rPr>
        <w:t>日</w:t>
      </w:r>
    </w:p>
    <w:p w14:paraId="23CAED9F">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leftChars="0" w:firstLine="0" w:firstLineChars="0"/>
        <w:textAlignment w:val="auto"/>
        <w:rPr>
          <w:rFonts w:hint="eastAsia" w:cs="宋体"/>
          <w:b w:val="0"/>
          <w:bCs w:val="0"/>
          <w:kern w:val="2"/>
          <w:sz w:val="32"/>
          <w:szCs w:val="32"/>
          <w:lang w:eastAsia="zh-CN"/>
        </w:rPr>
      </w:pPr>
    </w:p>
    <w:p w14:paraId="4BF7055F">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leftChars="0" w:firstLine="0" w:firstLineChars="0"/>
        <w:textAlignment w:val="auto"/>
        <w:rPr>
          <w:rFonts w:hint="eastAsia" w:ascii="宋体" w:hAnsi="宋体" w:eastAsia="宋体" w:cs="宋体"/>
          <w:b w:val="0"/>
          <w:bCs w:val="0"/>
          <w:kern w:val="2"/>
          <w:sz w:val="28"/>
          <w:szCs w:val="28"/>
          <w:lang w:eastAsia="zh-CN"/>
        </w:rPr>
      </w:pPr>
      <w:r>
        <w:rPr>
          <w:rFonts w:hint="eastAsia" w:cs="宋体"/>
          <w:b w:val="0"/>
          <w:bCs w:val="0"/>
          <w:kern w:val="2"/>
          <w:sz w:val="28"/>
          <w:szCs w:val="28"/>
          <w:lang w:eastAsia="zh-CN"/>
        </w:rPr>
        <w:t>备注：机关、事业单位、行业协会等参考此模板制定。</w:t>
      </w:r>
    </w:p>
    <w:p w14:paraId="333BF192">
      <w:pPr>
        <w:rPr>
          <w:rFonts w:hint="default" w:ascii="Times New Roman" w:hAnsi="Times New Roman" w:eastAsia="方正仿宋简体" w:cs="Times New Roman"/>
          <w:b w:val="0"/>
          <w:bCs w:val="0"/>
          <w:kern w:val="2"/>
          <w:sz w:val="32"/>
          <w:szCs w:val="32"/>
        </w:rPr>
      </w:pPr>
      <w:r>
        <w:rPr>
          <w:rFonts w:hint="default" w:ascii="Times New Roman" w:hAnsi="Times New Roman" w:eastAsia="方正仿宋简体" w:cs="Times New Roman"/>
          <w:b w:val="0"/>
          <w:bCs w:val="0"/>
          <w:kern w:val="2"/>
          <w:sz w:val="32"/>
          <w:szCs w:val="32"/>
        </w:rPr>
        <w:br w:type="page"/>
      </w:r>
    </w:p>
    <w:p w14:paraId="4489113C">
      <w:pPr>
        <w:bidi w:val="0"/>
        <w:ind w:left="0" w:leftChars="0" w:firstLine="0" w:firstLineChars="0"/>
        <w:rPr>
          <w:rFonts w:hint="default" w:ascii="黑体" w:hAnsi="黑体" w:eastAsia="黑体" w:cs="黑体"/>
          <w:b w:val="0"/>
          <w:bCs w:val="0"/>
          <w:lang w:val="en-US" w:eastAsia="zh-CN"/>
        </w:rPr>
      </w:pPr>
      <w:r>
        <w:rPr>
          <w:rFonts w:hint="default" w:ascii="黑体" w:hAnsi="黑体" w:eastAsia="黑体" w:cs="黑体"/>
          <w:b w:val="0"/>
          <w:bCs w:val="0"/>
          <w:lang w:val="en-US" w:eastAsia="zh-CN"/>
        </w:rPr>
        <w:t>附件1-2（适用于依规无需设置安全管理机构的单位）</w:t>
      </w:r>
    </w:p>
    <w:p w14:paraId="46CC4D50">
      <w:pPr>
        <w:pStyle w:val="13"/>
        <w:pageBreakBefore w:val="0"/>
        <w:kinsoku/>
        <w:wordWrap/>
        <w:overflowPunct/>
        <w:topLinePunct w:val="0"/>
        <w:autoSpaceDE/>
        <w:autoSpaceDN/>
        <w:bidi w:val="0"/>
        <w:adjustRightInd/>
        <w:snapToGrid/>
        <w:spacing w:before="0" w:beforeAutospacing="0" w:after="0" w:afterAutospacing="0" w:line="560" w:lineRule="exact"/>
        <w:jc w:val="center"/>
        <w:textAlignment w:val="auto"/>
        <w:rPr>
          <w:rFonts w:hint="default" w:ascii="Times New Roman" w:hAnsi="Times New Roman" w:eastAsia="黑体" w:cs="Times New Roman"/>
          <w:b w:val="0"/>
          <w:bCs w:val="0"/>
          <w:kern w:val="2"/>
          <w:sz w:val="44"/>
          <w:szCs w:val="44"/>
          <w:lang w:val="en-US" w:eastAsia="zh-CN"/>
        </w:rPr>
      </w:pPr>
    </w:p>
    <w:p w14:paraId="3DC6893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firstLine="0" w:firstLineChars="0"/>
        <w:jc w:val="center"/>
        <w:textAlignment w:val="auto"/>
        <w:rPr>
          <w:rFonts w:hint="eastAsia" w:ascii="宋体" w:hAnsi="宋体" w:eastAsia="宋体" w:cs="宋体"/>
          <w:b w:val="0"/>
          <w:bCs w:val="0"/>
          <w:color w:val="FF0000"/>
          <w:kern w:val="2"/>
          <w:sz w:val="44"/>
          <w:szCs w:val="44"/>
          <w:lang w:val="en-US" w:eastAsia="zh-CN"/>
        </w:rPr>
      </w:pPr>
      <w:r>
        <w:rPr>
          <w:rFonts w:hint="eastAsia" w:ascii="宋体" w:hAnsi="宋体" w:eastAsia="宋体" w:cs="宋体"/>
          <w:b w:val="0"/>
          <w:bCs w:val="0"/>
          <w:color w:val="FF0000"/>
          <w:kern w:val="2"/>
          <w:sz w:val="44"/>
          <w:szCs w:val="44"/>
          <w:lang w:val="en-US" w:eastAsia="zh-CN"/>
        </w:rPr>
        <w:t>XX公司文件</w:t>
      </w:r>
    </w:p>
    <w:p w14:paraId="4D02BBA5">
      <w:pPr>
        <w:pStyle w:val="13"/>
        <w:keepNext w:val="0"/>
        <w:keepLines w:val="0"/>
        <w:pageBreakBefore w:val="0"/>
        <w:widowControl/>
        <w:kinsoku/>
        <w:wordWrap/>
        <w:overflowPunct/>
        <w:topLinePunct w:val="0"/>
        <w:autoSpaceDE/>
        <w:autoSpaceDN/>
        <w:bidi w:val="0"/>
        <w:adjustRightInd/>
        <w:snapToGrid/>
        <w:spacing w:before="313" w:beforeLines="100" w:beforeAutospacing="0" w:after="0" w:afterAutospacing="0" w:line="560" w:lineRule="exact"/>
        <w:ind w:left="0" w:leftChars="0" w:firstLine="0" w:firstLineChars="0"/>
        <w:jc w:val="center"/>
        <w:textAlignment w:val="auto"/>
        <w:rPr>
          <w:rFonts w:hint="eastAsia" w:ascii="宋体" w:hAnsi="宋体" w:eastAsia="宋体" w:cs="宋体"/>
          <w:b w:val="0"/>
          <w:bCs w:val="0"/>
          <w:kern w:val="2"/>
          <w:sz w:val="44"/>
          <w:szCs w:val="44"/>
        </w:rPr>
      </w:pPr>
      <w:r>
        <w:rPr>
          <w:rFonts w:hint="eastAsia" w:ascii="宋体" w:hAnsi="宋体" w:eastAsia="宋体" w:cs="宋体"/>
          <w:b w:val="0"/>
          <w:bCs w:val="0"/>
          <w:kern w:val="2"/>
          <w:sz w:val="44"/>
          <w:szCs w:val="44"/>
        </w:rPr>
        <w:t>关于</w:t>
      </w:r>
      <w:r>
        <w:rPr>
          <w:rFonts w:hint="eastAsia" w:ascii="宋体" w:hAnsi="宋体" w:eastAsia="宋体" w:cs="宋体"/>
          <w:b w:val="0"/>
          <w:bCs w:val="0"/>
          <w:kern w:val="2"/>
          <w:sz w:val="44"/>
          <w:szCs w:val="44"/>
          <w:lang w:eastAsia="zh-CN"/>
        </w:rPr>
        <w:t>任命特种设备安全管理人员</w:t>
      </w:r>
      <w:r>
        <w:rPr>
          <w:rFonts w:hint="eastAsia" w:ascii="宋体" w:hAnsi="宋体" w:eastAsia="宋体" w:cs="宋体"/>
          <w:b w:val="0"/>
          <w:bCs w:val="0"/>
          <w:kern w:val="2"/>
          <w:sz w:val="44"/>
          <w:szCs w:val="44"/>
        </w:rPr>
        <w:t>的通知</w:t>
      </w:r>
    </w:p>
    <w:p w14:paraId="1A5E1BED">
      <w:pPr>
        <w:pStyle w:val="13"/>
        <w:keepNext w:val="0"/>
        <w:keepLines w:val="0"/>
        <w:pageBreakBefore w:val="0"/>
        <w:widowControl/>
        <w:kinsoku/>
        <w:wordWrap/>
        <w:overflowPunct/>
        <w:topLinePunct w:val="0"/>
        <w:autoSpaceDE/>
        <w:autoSpaceDN/>
        <w:bidi w:val="0"/>
        <w:adjustRightInd/>
        <w:snapToGrid/>
        <w:spacing w:before="313" w:beforeLines="100" w:beforeAutospacing="0" w:after="0" w:afterAutospacing="0" w:line="560" w:lineRule="exact"/>
        <w:ind w:firstLine="640" w:firstLineChars="200"/>
        <w:textAlignment w:val="auto"/>
        <w:rPr>
          <w:rFonts w:hint="eastAsia" w:ascii="宋体" w:hAnsi="宋体" w:eastAsia="宋体" w:cs="宋体"/>
          <w:b w:val="0"/>
          <w:bCs w:val="0"/>
          <w:kern w:val="2"/>
          <w:sz w:val="32"/>
          <w:szCs w:val="32"/>
        </w:rPr>
      </w:pPr>
      <w:r>
        <w:rPr>
          <w:rFonts w:hint="eastAsia" w:ascii="宋体" w:hAnsi="宋体" w:eastAsia="宋体" w:cs="宋体"/>
          <w:b w:val="0"/>
          <w:bCs w:val="0"/>
          <w:kern w:val="2"/>
          <w:sz w:val="32"/>
          <w:szCs w:val="32"/>
        </w:rPr>
        <w:t>为加强</w:t>
      </w:r>
      <w:r>
        <w:rPr>
          <w:rFonts w:hint="eastAsia" w:ascii="宋体" w:hAnsi="宋体" w:eastAsia="宋体" w:cs="宋体"/>
          <w:b w:val="0"/>
          <w:bCs w:val="0"/>
          <w:kern w:val="2"/>
          <w:sz w:val="32"/>
          <w:szCs w:val="32"/>
          <w:lang w:eastAsia="zh-CN"/>
        </w:rPr>
        <w:t>公司</w:t>
      </w:r>
      <w:r>
        <w:rPr>
          <w:rFonts w:hint="eastAsia" w:ascii="宋体" w:hAnsi="宋体" w:eastAsia="宋体" w:cs="宋体"/>
          <w:b w:val="0"/>
          <w:bCs w:val="0"/>
          <w:kern w:val="2"/>
          <w:sz w:val="32"/>
          <w:szCs w:val="32"/>
        </w:rPr>
        <w:t>特种设备使用安全管理，贯彻</w:t>
      </w:r>
      <w:r>
        <w:rPr>
          <w:rFonts w:hint="eastAsia" w:ascii="宋体" w:hAnsi="宋体" w:eastAsia="宋体" w:cs="宋体"/>
          <w:b w:val="0"/>
          <w:bCs w:val="0"/>
          <w:kern w:val="2"/>
          <w:sz w:val="32"/>
          <w:szCs w:val="32"/>
          <w:lang w:eastAsia="zh-CN"/>
        </w:rPr>
        <w:t>落实</w:t>
      </w:r>
      <w:r>
        <w:rPr>
          <w:rFonts w:hint="eastAsia" w:ascii="宋体" w:hAnsi="宋体" w:eastAsia="宋体" w:cs="宋体"/>
          <w:b w:val="0"/>
          <w:bCs w:val="0"/>
          <w:kern w:val="2"/>
          <w:sz w:val="32"/>
          <w:szCs w:val="32"/>
        </w:rPr>
        <w:t>特种设备</w:t>
      </w:r>
      <w:r>
        <w:rPr>
          <w:rFonts w:hint="eastAsia" w:ascii="宋体" w:hAnsi="宋体" w:eastAsia="宋体" w:cs="宋体"/>
          <w:b w:val="0"/>
          <w:bCs w:val="0"/>
          <w:kern w:val="2"/>
          <w:sz w:val="32"/>
          <w:szCs w:val="32"/>
          <w:lang w:eastAsia="zh-CN"/>
        </w:rPr>
        <w:t>安全</w:t>
      </w:r>
      <w:r>
        <w:rPr>
          <w:rFonts w:hint="eastAsia" w:ascii="宋体" w:hAnsi="宋体" w:eastAsia="宋体" w:cs="宋体"/>
          <w:b w:val="0"/>
          <w:bCs w:val="0"/>
          <w:kern w:val="2"/>
          <w:sz w:val="32"/>
          <w:szCs w:val="32"/>
        </w:rPr>
        <w:t>法律、法规和安全技术规范</w:t>
      </w:r>
      <w:r>
        <w:rPr>
          <w:rFonts w:hint="eastAsia" w:ascii="宋体" w:hAnsi="宋体" w:eastAsia="宋体" w:cs="宋体"/>
          <w:b w:val="0"/>
          <w:bCs w:val="0"/>
          <w:kern w:val="2"/>
          <w:sz w:val="32"/>
          <w:szCs w:val="32"/>
          <w:lang w:eastAsia="zh-CN"/>
        </w:rPr>
        <w:t>要求</w:t>
      </w:r>
      <w:r>
        <w:rPr>
          <w:rFonts w:hint="eastAsia" w:ascii="宋体" w:hAnsi="宋体" w:eastAsia="宋体" w:cs="宋体"/>
          <w:b w:val="0"/>
          <w:bCs w:val="0"/>
          <w:kern w:val="2"/>
          <w:sz w:val="32"/>
          <w:szCs w:val="32"/>
        </w:rPr>
        <w:t>，经研究决定</w:t>
      </w:r>
      <w:r>
        <w:rPr>
          <w:rFonts w:hint="eastAsia" w:ascii="宋体" w:hAnsi="宋体" w:eastAsia="宋体" w:cs="宋体"/>
          <w:b w:val="0"/>
          <w:bCs w:val="0"/>
          <w:kern w:val="2"/>
          <w:sz w:val="32"/>
          <w:szCs w:val="32"/>
          <w:lang w:eastAsia="zh-CN"/>
        </w:rPr>
        <w:t>任命以下人员为本公司特种设备安全管理人员</w:t>
      </w:r>
      <w:r>
        <w:rPr>
          <w:rFonts w:hint="eastAsia" w:ascii="宋体" w:hAnsi="宋体" w:eastAsia="宋体" w:cs="宋体"/>
          <w:b w:val="0"/>
          <w:bCs w:val="0"/>
          <w:kern w:val="2"/>
          <w:sz w:val="32"/>
          <w:szCs w:val="32"/>
        </w:rPr>
        <w:t>。</w:t>
      </w:r>
    </w:p>
    <w:p w14:paraId="0FB4C3CF">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宋体" w:hAnsi="宋体" w:eastAsia="宋体" w:cs="宋体"/>
          <w:b w:val="0"/>
          <w:bCs w:val="0"/>
          <w:kern w:val="2"/>
          <w:sz w:val="32"/>
          <w:szCs w:val="32"/>
          <w:lang w:val="en-US" w:eastAsia="zh-CN"/>
        </w:rPr>
      </w:pPr>
      <w:r>
        <w:rPr>
          <w:rFonts w:hint="eastAsia" w:ascii="宋体" w:hAnsi="宋体" w:eastAsia="宋体" w:cs="宋体"/>
          <w:b w:val="0"/>
          <w:bCs w:val="0"/>
          <w:kern w:val="2"/>
          <w:sz w:val="32"/>
          <w:szCs w:val="32"/>
          <w:lang w:eastAsia="zh-CN"/>
        </w:rPr>
        <w:t>任命</w:t>
      </w:r>
      <w:r>
        <w:rPr>
          <w:rFonts w:hint="eastAsia" w:ascii="宋体" w:hAnsi="宋体" w:eastAsia="宋体" w:cs="宋体"/>
          <w:b w:val="0"/>
          <w:bCs w:val="0"/>
          <w:kern w:val="2"/>
          <w:sz w:val="32"/>
          <w:szCs w:val="32"/>
          <w:lang w:val="en-US" w:eastAsia="zh-CN"/>
        </w:rPr>
        <w:t>XXX为特种设备安全总监。</w:t>
      </w:r>
      <w:r>
        <w:rPr>
          <w:rFonts w:hint="eastAsia" w:ascii="宋体" w:hAnsi="宋体" w:eastAsia="宋体" w:cs="宋体"/>
          <w:b w:val="0"/>
          <w:bCs w:val="0"/>
          <w:color w:val="FF0000"/>
          <w:kern w:val="2"/>
          <w:sz w:val="32"/>
          <w:szCs w:val="32"/>
          <w:lang w:val="en-US" w:eastAsia="zh-CN"/>
        </w:rPr>
        <w:t>（注意：安全总监</w:t>
      </w:r>
      <w:r>
        <w:rPr>
          <w:rFonts w:hint="eastAsia" w:cs="宋体"/>
          <w:b w:val="0"/>
          <w:bCs w:val="0"/>
          <w:color w:val="FF0000"/>
          <w:kern w:val="2"/>
          <w:sz w:val="32"/>
          <w:szCs w:val="32"/>
          <w:lang w:val="en-US" w:eastAsia="zh-CN"/>
        </w:rPr>
        <w:t>应为高级管理层，</w:t>
      </w:r>
      <w:r>
        <w:rPr>
          <w:rFonts w:hint="eastAsia" w:ascii="宋体" w:hAnsi="宋体" w:eastAsia="宋体" w:cs="宋体"/>
          <w:b w:val="0"/>
          <w:bCs w:val="0"/>
          <w:color w:val="FF0000"/>
          <w:kern w:val="2"/>
          <w:sz w:val="32"/>
          <w:szCs w:val="32"/>
          <w:lang w:val="en-US" w:eastAsia="zh-CN"/>
        </w:rPr>
        <w:t>无需持A证）</w:t>
      </w:r>
    </w:p>
    <w:p w14:paraId="533BC9FB">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宋体" w:hAnsi="宋体" w:eastAsia="宋体" w:cs="宋体"/>
          <w:b w:val="0"/>
          <w:bCs w:val="0"/>
          <w:kern w:val="2"/>
          <w:sz w:val="32"/>
          <w:szCs w:val="32"/>
          <w:lang w:val="en-US" w:eastAsia="zh-CN"/>
        </w:rPr>
      </w:pPr>
      <w:r>
        <w:rPr>
          <w:rFonts w:hint="eastAsia" w:ascii="宋体" w:hAnsi="宋体" w:eastAsia="宋体" w:cs="宋体"/>
          <w:b w:val="0"/>
          <w:bCs w:val="0"/>
          <w:kern w:val="2"/>
          <w:sz w:val="32"/>
          <w:szCs w:val="32"/>
          <w:lang w:val="en-US" w:eastAsia="zh-CN"/>
        </w:rPr>
        <w:t>任命XXX为特种设备安全员。（或者任命XXX（负责XX、XX类特种设备）、XXX（负责XX、XX类特种设备）为特种设备安全员）。</w:t>
      </w:r>
      <w:r>
        <w:rPr>
          <w:rFonts w:hint="eastAsia" w:ascii="宋体" w:hAnsi="宋体" w:eastAsia="宋体" w:cs="宋体"/>
          <w:b w:val="0"/>
          <w:bCs w:val="0"/>
          <w:color w:val="FF0000"/>
          <w:kern w:val="2"/>
          <w:sz w:val="32"/>
          <w:szCs w:val="32"/>
          <w:lang w:val="en-US" w:eastAsia="zh-CN"/>
        </w:rPr>
        <w:t>（注意：满足《特种设备使用管理规则》2.5.2.2要求的使用单位，特种设备安全员应持A证</w:t>
      </w:r>
      <w:r>
        <w:rPr>
          <w:rFonts w:hint="eastAsia" w:cs="宋体"/>
          <w:b w:val="0"/>
          <w:bCs w:val="0"/>
          <w:color w:val="FF0000"/>
          <w:kern w:val="2"/>
          <w:sz w:val="32"/>
          <w:szCs w:val="32"/>
          <w:lang w:val="en-US" w:eastAsia="zh-CN"/>
        </w:rPr>
        <w:t>；使用单位应逐台（套）明确安全员。</w:t>
      </w:r>
      <w:r>
        <w:rPr>
          <w:rFonts w:hint="eastAsia" w:ascii="宋体" w:hAnsi="宋体" w:eastAsia="宋体" w:cs="宋体"/>
          <w:b w:val="0"/>
          <w:bCs w:val="0"/>
          <w:color w:val="FF0000"/>
          <w:kern w:val="2"/>
          <w:sz w:val="32"/>
          <w:szCs w:val="32"/>
          <w:lang w:val="en-US" w:eastAsia="zh-CN"/>
        </w:rPr>
        <w:t>）</w:t>
      </w:r>
    </w:p>
    <w:p w14:paraId="69162DF8">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宋体" w:hAnsi="宋体" w:eastAsia="宋体" w:cs="宋体"/>
          <w:b w:val="0"/>
          <w:bCs w:val="0"/>
          <w:kern w:val="2"/>
          <w:sz w:val="32"/>
          <w:szCs w:val="32"/>
          <w:lang w:val="en-US" w:eastAsia="zh-CN"/>
        </w:rPr>
      </w:pPr>
    </w:p>
    <w:p w14:paraId="59418240">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3840" w:firstLineChars="1200"/>
        <w:jc w:val="left"/>
        <w:textAlignment w:val="auto"/>
        <w:rPr>
          <w:rFonts w:hint="eastAsia" w:ascii="宋体" w:hAnsi="宋体" w:eastAsia="宋体" w:cs="宋体"/>
          <w:b w:val="0"/>
          <w:bCs w:val="0"/>
          <w:kern w:val="2"/>
          <w:sz w:val="32"/>
          <w:szCs w:val="32"/>
          <w:lang w:val="en-US" w:eastAsia="zh-CN"/>
        </w:rPr>
      </w:pPr>
    </w:p>
    <w:p w14:paraId="7A696C73">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3840" w:firstLineChars="1200"/>
        <w:jc w:val="left"/>
        <w:textAlignment w:val="auto"/>
        <w:rPr>
          <w:rFonts w:hint="eastAsia" w:ascii="宋体" w:hAnsi="宋体" w:eastAsia="宋体" w:cs="宋体"/>
          <w:b w:val="0"/>
          <w:bCs w:val="0"/>
          <w:kern w:val="2"/>
          <w:sz w:val="32"/>
          <w:szCs w:val="32"/>
          <w:lang w:eastAsia="zh-CN"/>
        </w:rPr>
      </w:pPr>
      <w:r>
        <w:rPr>
          <w:rFonts w:hint="eastAsia" w:ascii="宋体" w:hAnsi="宋体" w:eastAsia="宋体" w:cs="宋体"/>
          <w:b w:val="0"/>
          <w:bCs w:val="0"/>
          <w:kern w:val="2"/>
          <w:sz w:val="32"/>
          <w:szCs w:val="32"/>
          <w:lang w:val="en-US" w:eastAsia="zh-CN"/>
        </w:rPr>
        <w:t>XXXX</w:t>
      </w:r>
      <w:r>
        <w:rPr>
          <w:rFonts w:hint="eastAsia" w:ascii="宋体" w:hAnsi="宋体" w:eastAsia="宋体" w:cs="宋体"/>
          <w:b w:val="0"/>
          <w:bCs w:val="0"/>
          <w:kern w:val="2"/>
          <w:sz w:val="32"/>
          <w:szCs w:val="32"/>
        </w:rPr>
        <w:t>有限公司</w:t>
      </w:r>
      <w:r>
        <w:rPr>
          <w:rFonts w:hint="eastAsia" w:ascii="宋体" w:hAnsi="宋体" w:eastAsia="宋体" w:cs="宋体"/>
          <w:b w:val="0"/>
          <w:bCs w:val="0"/>
          <w:kern w:val="2"/>
          <w:sz w:val="32"/>
          <w:szCs w:val="32"/>
          <w:lang w:eastAsia="zh-CN"/>
        </w:rPr>
        <w:t>（公司印章）</w:t>
      </w:r>
    </w:p>
    <w:p w14:paraId="5ED1C7BE">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765"/>
        <w:textAlignment w:val="auto"/>
        <w:rPr>
          <w:rFonts w:hint="eastAsia" w:ascii="宋体" w:hAnsi="宋体" w:eastAsia="宋体" w:cs="宋体"/>
          <w:b w:val="0"/>
          <w:bCs w:val="0"/>
          <w:kern w:val="2"/>
          <w:sz w:val="32"/>
          <w:szCs w:val="32"/>
        </w:rPr>
      </w:pPr>
      <w:r>
        <w:rPr>
          <w:rFonts w:hint="eastAsia" w:ascii="宋体" w:hAnsi="宋体" w:eastAsia="宋体" w:cs="宋体"/>
          <w:b w:val="0"/>
          <w:bCs w:val="0"/>
          <w:kern w:val="2"/>
          <w:sz w:val="32"/>
          <w:szCs w:val="32"/>
        </w:rPr>
        <w:t xml:space="preserve">                   20</w:t>
      </w:r>
      <w:r>
        <w:rPr>
          <w:rFonts w:hint="eastAsia" w:cs="宋体"/>
          <w:b w:val="0"/>
          <w:bCs w:val="0"/>
          <w:kern w:val="2"/>
          <w:sz w:val="32"/>
          <w:szCs w:val="32"/>
          <w:lang w:val="en-US" w:eastAsia="zh-CN"/>
        </w:rPr>
        <w:t>X</w:t>
      </w:r>
      <w:r>
        <w:rPr>
          <w:rFonts w:hint="eastAsia" w:ascii="宋体" w:hAnsi="宋体" w:eastAsia="宋体" w:cs="宋体"/>
          <w:b w:val="0"/>
          <w:bCs w:val="0"/>
          <w:kern w:val="2"/>
          <w:sz w:val="32"/>
          <w:szCs w:val="32"/>
          <w:lang w:val="en-US" w:eastAsia="zh-CN"/>
        </w:rPr>
        <w:t>X</w:t>
      </w:r>
      <w:r>
        <w:rPr>
          <w:rFonts w:hint="eastAsia" w:ascii="宋体" w:hAnsi="宋体" w:eastAsia="宋体" w:cs="宋体"/>
          <w:b w:val="0"/>
          <w:bCs w:val="0"/>
          <w:kern w:val="2"/>
          <w:sz w:val="32"/>
          <w:szCs w:val="32"/>
        </w:rPr>
        <w:t>年</w:t>
      </w:r>
      <w:r>
        <w:rPr>
          <w:rFonts w:hint="eastAsia" w:ascii="宋体" w:hAnsi="宋体" w:eastAsia="宋体" w:cs="宋体"/>
          <w:b w:val="0"/>
          <w:bCs w:val="0"/>
          <w:kern w:val="2"/>
          <w:sz w:val="32"/>
          <w:szCs w:val="32"/>
          <w:lang w:val="en-US" w:eastAsia="zh-CN"/>
        </w:rPr>
        <w:t>XX</w:t>
      </w:r>
      <w:r>
        <w:rPr>
          <w:rFonts w:hint="eastAsia" w:ascii="宋体" w:hAnsi="宋体" w:eastAsia="宋体" w:cs="宋体"/>
          <w:b w:val="0"/>
          <w:bCs w:val="0"/>
          <w:kern w:val="2"/>
          <w:sz w:val="32"/>
          <w:szCs w:val="32"/>
        </w:rPr>
        <w:t>月</w:t>
      </w:r>
      <w:r>
        <w:rPr>
          <w:rFonts w:hint="eastAsia" w:ascii="宋体" w:hAnsi="宋体" w:eastAsia="宋体" w:cs="宋体"/>
          <w:b w:val="0"/>
          <w:bCs w:val="0"/>
          <w:kern w:val="2"/>
          <w:sz w:val="32"/>
          <w:szCs w:val="32"/>
          <w:lang w:val="en-US" w:eastAsia="zh-CN"/>
        </w:rPr>
        <w:t>XX</w:t>
      </w:r>
      <w:r>
        <w:rPr>
          <w:rFonts w:hint="eastAsia" w:ascii="宋体" w:hAnsi="宋体" w:eastAsia="宋体" w:cs="宋体"/>
          <w:b w:val="0"/>
          <w:bCs w:val="0"/>
          <w:kern w:val="2"/>
          <w:sz w:val="32"/>
          <w:szCs w:val="32"/>
        </w:rPr>
        <w:t>日</w:t>
      </w:r>
    </w:p>
    <w:p w14:paraId="6307558F">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leftChars="0" w:firstLine="0" w:firstLineChars="0"/>
        <w:textAlignment w:val="auto"/>
        <w:rPr>
          <w:rFonts w:hint="eastAsia" w:cs="宋体"/>
          <w:b w:val="0"/>
          <w:bCs w:val="0"/>
          <w:kern w:val="2"/>
          <w:sz w:val="28"/>
          <w:szCs w:val="28"/>
          <w:lang w:eastAsia="zh-CN"/>
        </w:rPr>
      </w:pPr>
    </w:p>
    <w:p w14:paraId="783CBE20">
      <w:pPr>
        <w:rPr>
          <w:rFonts w:hint="default" w:ascii="Times New Roman" w:hAnsi="Times New Roman" w:eastAsia="方正仿宋简体" w:cs="Times New Roman"/>
          <w:b w:val="0"/>
          <w:bCs w:val="0"/>
          <w:spacing w:val="4"/>
          <w:kern w:val="2"/>
          <w:sz w:val="32"/>
          <w:szCs w:val="32"/>
        </w:rPr>
      </w:pPr>
      <w:r>
        <w:rPr>
          <w:rFonts w:hint="eastAsia" w:cs="宋体"/>
          <w:b w:val="0"/>
          <w:bCs w:val="0"/>
          <w:kern w:val="2"/>
          <w:sz w:val="28"/>
          <w:szCs w:val="28"/>
          <w:lang w:eastAsia="zh-CN"/>
        </w:rPr>
        <w:t>备注：机关、事业单位、行业协会等参考此模板制定。</w:t>
      </w:r>
      <w:r>
        <w:rPr>
          <w:rFonts w:hint="eastAsia" w:ascii="宋体" w:hAnsi="宋体" w:eastAsia="宋体" w:cs="宋体"/>
          <w:b w:val="0"/>
          <w:bCs w:val="0"/>
          <w:kern w:val="2"/>
        </w:rPr>
        <w:br w:type="page"/>
      </w:r>
    </w:p>
    <w:p w14:paraId="73F7A57B">
      <w:pPr>
        <w:pStyle w:val="2"/>
        <w:bidi w:val="0"/>
        <w:ind w:left="0" w:leftChars="0" w:firstLine="0" w:firstLineChars="0"/>
        <w:jc w:val="both"/>
        <w:rPr>
          <w:rFonts w:hint="default" w:ascii="Times New Roman" w:hAnsi="Times New Roman" w:cs="Times New Roman"/>
          <w:b w:val="0"/>
          <w:bCs w:val="0"/>
          <w:lang w:val="en-US" w:eastAsia="zh-CN"/>
        </w:rPr>
      </w:pPr>
      <w:bookmarkStart w:id="61" w:name="_Toc31421"/>
      <w:r>
        <w:rPr>
          <w:rFonts w:hint="default" w:ascii="Times New Roman" w:hAnsi="Times New Roman" w:cs="Times New Roman"/>
          <w:b w:val="0"/>
          <w:bCs w:val="0"/>
          <w:lang w:val="en-US" w:eastAsia="zh-CN"/>
        </w:rPr>
        <w:t>附件2</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特种设备安全管理制度</w:t>
      </w:r>
      <w:r>
        <w:rPr>
          <w:rFonts w:hint="eastAsia" w:cs="Times New Roman"/>
          <w:b w:val="0"/>
          <w:bCs w:val="0"/>
          <w:lang w:val="en-US" w:eastAsia="zh-CN"/>
        </w:rPr>
        <w:t>汇编（</w:t>
      </w:r>
      <w:r>
        <w:rPr>
          <w:rFonts w:hint="default" w:ascii="Times New Roman" w:hAnsi="Times New Roman" w:cs="Times New Roman"/>
          <w:b w:val="0"/>
          <w:bCs w:val="0"/>
          <w:lang w:val="en-US" w:eastAsia="zh-CN"/>
        </w:rPr>
        <w:t>参考模板</w:t>
      </w:r>
      <w:r>
        <w:rPr>
          <w:rFonts w:hint="eastAsia" w:cs="Times New Roman"/>
          <w:b w:val="0"/>
          <w:bCs w:val="0"/>
          <w:lang w:val="en-US" w:eastAsia="zh-CN"/>
        </w:rPr>
        <w:t>）</w:t>
      </w:r>
      <w:bookmarkEnd w:id="61"/>
    </w:p>
    <w:p w14:paraId="28CD114B">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center"/>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val="en-US" w:eastAsia="zh-CN"/>
        </w:rPr>
        <w:t>特种设备安全管理制度汇编</w:t>
      </w:r>
      <w:r>
        <w:rPr>
          <w:rFonts w:hint="eastAsia" w:ascii="黑体" w:hAnsi="黑体" w:eastAsia="黑体" w:cs="黑体"/>
          <w:b w:val="0"/>
          <w:bCs w:val="0"/>
          <w:sz w:val="28"/>
          <w:szCs w:val="28"/>
          <w:lang w:eastAsia="zh-CN"/>
        </w:rPr>
        <w:t>（参考模板）</w:t>
      </w:r>
    </w:p>
    <w:p w14:paraId="275D9D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lang w:eastAsia="zh-CN"/>
        </w:rPr>
      </w:pPr>
      <w:r>
        <w:rPr>
          <w:rFonts w:hint="eastAsia" w:ascii="黑体" w:hAnsi="黑体" w:eastAsia="黑体" w:cs="黑体"/>
          <w:lang w:eastAsia="zh-CN"/>
        </w:rPr>
        <w:t>一、特种设备相关人员岗位职责</w:t>
      </w:r>
    </w:p>
    <w:p w14:paraId="080764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（一）主要负责人职责</w:t>
      </w:r>
    </w:p>
    <w:p w14:paraId="396BC0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1.建立并落实特种设备使用安全主体责任的长效机制；</w:t>
      </w:r>
    </w:p>
    <w:p w14:paraId="0B601D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2.落实特种设备安全管理机构设置、安全总监和安全员配备；</w:t>
      </w:r>
    </w:p>
    <w:p w14:paraId="30F59E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3.支持和保障安全总监、安全员依法履行工作职责。</w:t>
      </w:r>
    </w:p>
    <w:p w14:paraId="6ACCE2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（二）特种设备安全总监职责</w:t>
      </w:r>
    </w:p>
    <w:p w14:paraId="304C1C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w:t>
      </w:r>
      <w:r>
        <w:rPr>
          <w:rFonts w:hint="default" w:asciiTheme="minorEastAsia" w:hAnsiTheme="minorEastAsia" w:eastAsiaTheme="minorEastAsia" w:cstheme="minorEastAsia"/>
          <w:lang w:val="en-US" w:eastAsia="zh-CN"/>
        </w:rPr>
        <w:t>组织宣传、贯彻特种设备有关的法律、法规、规章、安全技术规范及相关标准；</w:t>
      </w:r>
    </w:p>
    <w:p w14:paraId="1A7C94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w:t>
      </w:r>
      <w:r>
        <w:rPr>
          <w:rFonts w:hint="default" w:asciiTheme="minorEastAsia" w:hAnsiTheme="minorEastAsia" w:eastAsiaTheme="minorEastAsia" w:cstheme="minorEastAsia"/>
          <w:lang w:val="en-US" w:eastAsia="zh-CN"/>
        </w:rPr>
        <w:t>组织制定本单位特种设备使用（含充装）安全管理制度，落实特种设备使用安全责任制；</w:t>
      </w:r>
    </w:p>
    <w:p w14:paraId="51DDC0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w:t>
      </w:r>
      <w:r>
        <w:rPr>
          <w:rFonts w:hint="default" w:asciiTheme="minorEastAsia" w:hAnsiTheme="minorEastAsia" w:eastAsiaTheme="minorEastAsia" w:cstheme="minorEastAsia"/>
          <w:lang w:val="en-US" w:eastAsia="zh-CN"/>
        </w:rPr>
        <w:t>组织制定特种设备事故应急专项预案，并且定期组织演练；</w:t>
      </w:r>
    </w:p>
    <w:p w14:paraId="3268D9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w:t>
      </w:r>
      <w:r>
        <w:rPr>
          <w:rFonts w:hint="default" w:asciiTheme="minorEastAsia" w:hAnsiTheme="minorEastAsia" w:eastAsiaTheme="minorEastAsia" w:cstheme="minorEastAsia"/>
          <w:lang w:val="en-US" w:eastAsia="zh-CN"/>
        </w:rPr>
        <w:t>落实特种设备安全事故报告和救援义务，采取措施防止事故扩大；</w:t>
      </w:r>
    </w:p>
    <w:p w14:paraId="10F12B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w:t>
      </w:r>
      <w:r>
        <w:rPr>
          <w:rFonts w:hint="default" w:asciiTheme="minorEastAsia" w:hAnsiTheme="minorEastAsia" w:eastAsiaTheme="minorEastAsia" w:cstheme="minorEastAsia"/>
          <w:lang w:val="en-US" w:eastAsia="zh-CN"/>
        </w:rPr>
        <w:t>对特种设备安全员、高耗能特种设备使用单位的节能管理人员进行安全教育和技术培训，监督、指导特种设备安全员、节能管理人员做好相关工作；</w:t>
      </w:r>
    </w:p>
    <w:p w14:paraId="496B85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w:t>
      </w:r>
      <w:r>
        <w:rPr>
          <w:rFonts w:hint="default" w:asciiTheme="minorEastAsia" w:hAnsiTheme="minorEastAsia" w:eastAsiaTheme="minorEastAsia" w:cstheme="minorEastAsia"/>
          <w:lang w:val="en-US" w:eastAsia="zh-CN"/>
        </w:rPr>
        <w:t>按照规定组织开展特种设备使用安全风险评价工作，制定并且落实特种设备使用安全风险防控措施；</w:t>
      </w:r>
    </w:p>
    <w:p w14:paraId="2D84C7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w:t>
      </w:r>
      <w:r>
        <w:rPr>
          <w:rFonts w:hint="default" w:asciiTheme="minorEastAsia" w:hAnsiTheme="minorEastAsia" w:eastAsiaTheme="minorEastAsia" w:cstheme="minorEastAsia"/>
          <w:lang w:val="en-US" w:eastAsia="zh-CN"/>
        </w:rPr>
        <w:t>对本单位特种设备使用安全管理工作进行检查，并且组织开展特种设备风险隐患排查，及时向主要负责人报告有关情况，提出改进措施；</w:t>
      </w:r>
    </w:p>
    <w:p w14:paraId="56516B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w:t>
      </w:r>
      <w:r>
        <w:rPr>
          <w:rFonts w:hint="default" w:asciiTheme="minorEastAsia" w:hAnsiTheme="minorEastAsia" w:eastAsiaTheme="minorEastAsia" w:cstheme="minorEastAsia"/>
          <w:lang w:val="en-US" w:eastAsia="zh-CN"/>
        </w:rPr>
        <w:t>当特种设备安全员报告特种设备存在严重（重大）事故隐患应当停止使用时，应当组织分析研判，采取处置措施，并且及时报告本单位主要负责人；</w:t>
      </w:r>
    </w:p>
    <w:p w14:paraId="6EFB78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9.</w:t>
      </w:r>
      <w:r>
        <w:rPr>
          <w:rFonts w:hint="default" w:asciiTheme="minorEastAsia" w:hAnsiTheme="minorEastAsia" w:eastAsiaTheme="minorEastAsia" w:cstheme="minorEastAsia"/>
          <w:lang w:val="en-US" w:eastAsia="zh-CN"/>
        </w:rPr>
        <w:t>配合有关部门开展特种设备安全监督检查、监督检验、定期检验和事故调查等工作，如实提供有关材料。</w:t>
      </w:r>
    </w:p>
    <w:p w14:paraId="1B69CA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（三）特种设备安全员职责</w:t>
      </w:r>
    </w:p>
    <w:p w14:paraId="6E20AE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组织建立特种设备安全技术档案，办理特种设备使用登记</w:t>
      </w:r>
      <w:r>
        <w:rPr>
          <w:rFonts w:hint="eastAsia" w:asciiTheme="minorEastAsia" w:hAnsiTheme="minorEastAsia" w:eastAsiaTheme="minorEastAsia" w:cstheme="minorEastAsia"/>
          <w:lang w:eastAsia="zh-CN"/>
        </w:rPr>
        <w:t>；</w:t>
      </w:r>
    </w:p>
    <w:p w14:paraId="23F74D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组织制定特种设备安全操作规程</w:t>
      </w:r>
      <w:r>
        <w:rPr>
          <w:rFonts w:hint="eastAsia" w:asciiTheme="minorEastAsia" w:hAnsiTheme="minorEastAsia" w:eastAsiaTheme="minorEastAsia" w:cstheme="minorEastAsia"/>
          <w:lang w:eastAsia="zh-CN"/>
        </w:rPr>
        <w:t>；</w:t>
      </w:r>
    </w:p>
    <w:p w14:paraId="4E7948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组织对特种设备作业人员和技术人员进行安全教育和技能培训</w:t>
      </w:r>
      <w:r>
        <w:rPr>
          <w:rFonts w:hint="eastAsia" w:asciiTheme="minorEastAsia" w:hAnsiTheme="minorEastAsia" w:eastAsiaTheme="minorEastAsia" w:cstheme="minorEastAsia"/>
          <w:lang w:eastAsia="zh-CN"/>
        </w:rPr>
        <w:t>；</w:t>
      </w:r>
    </w:p>
    <w:p w14:paraId="5B09C4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根据《特种设备安全风险管控清单》，按照相关安全技术规范和本单位安全管理制度的要求</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组织对特种设备进行巡检并且形成检查记录，监督检查特种设备作业人员到岗值守、巡回检查以及安全操作等工作情况，纠正和制止违章作业行为</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对发现的风险隐患立即采取防范措施，及时上报安全总监或者单位主要负责人</w:t>
      </w:r>
      <w:r>
        <w:rPr>
          <w:rFonts w:hint="eastAsia" w:asciiTheme="minorEastAsia" w:hAnsiTheme="minorEastAsia" w:eastAsiaTheme="minorEastAsia" w:cstheme="minorEastAsia"/>
          <w:lang w:eastAsia="zh-CN"/>
        </w:rPr>
        <w:t>；</w:t>
      </w:r>
    </w:p>
    <w:p w14:paraId="5AB87E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编制特种设备定期检验、自行检查计划，督促落实定期检验、自行检查和后续整改工作</w:t>
      </w:r>
      <w:r>
        <w:rPr>
          <w:rFonts w:hint="eastAsia" w:asciiTheme="minorEastAsia" w:hAnsiTheme="minorEastAsia" w:eastAsiaTheme="minorEastAsia" w:cstheme="minorEastAsia"/>
          <w:lang w:eastAsia="zh-CN"/>
        </w:rPr>
        <w:t>；</w:t>
      </w:r>
    </w:p>
    <w:p w14:paraId="7ACCCF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按照规定报告特种设备事故，参加特种设备事故救援，协助进行事故调查和善后处理。</w:t>
      </w:r>
    </w:p>
    <w:p w14:paraId="5E9730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（四）特种设备作业人员职责</w:t>
      </w:r>
    </w:p>
    <w:p w14:paraId="50FF7A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1.</w:t>
      </w:r>
      <w:r>
        <w:rPr>
          <w:rFonts w:hint="default" w:asciiTheme="minorEastAsia" w:hAnsiTheme="minorEastAsia" w:eastAsiaTheme="minorEastAsia" w:cstheme="minorEastAsia"/>
        </w:rPr>
        <w:t>严格执行特种设备有关安全管理制度，并且按照操作规程进行操作</w:t>
      </w:r>
      <w:r>
        <w:rPr>
          <w:rFonts w:hint="default" w:asciiTheme="minorEastAsia" w:hAnsiTheme="minorEastAsia" w:eastAsiaTheme="minorEastAsia" w:cstheme="minorEastAsia"/>
          <w:lang w:eastAsia="zh-CN"/>
        </w:rPr>
        <w:t>；</w:t>
      </w:r>
    </w:p>
    <w:p w14:paraId="7B0C3C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default" w:asciiTheme="minorEastAsia" w:hAnsiTheme="minorEastAsia" w:eastAsiaTheme="minorEastAsia" w:cstheme="minorEastAsia"/>
        </w:rPr>
        <w:t>按照规定填写作业、交接班等记录</w:t>
      </w:r>
      <w:r>
        <w:rPr>
          <w:rFonts w:hint="default" w:asciiTheme="minorEastAsia" w:hAnsiTheme="minorEastAsia" w:eastAsiaTheme="minorEastAsia" w:cstheme="minorEastAsia"/>
          <w:lang w:eastAsia="zh-CN"/>
        </w:rPr>
        <w:t>；</w:t>
      </w:r>
    </w:p>
    <w:p w14:paraId="70DCF3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3.</w:t>
      </w:r>
      <w:r>
        <w:rPr>
          <w:rFonts w:hint="default" w:asciiTheme="minorEastAsia" w:hAnsiTheme="minorEastAsia" w:eastAsiaTheme="minorEastAsia" w:cstheme="minorEastAsia"/>
        </w:rPr>
        <w:t>参加安全教育和技能培训</w:t>
      </w:r>
      <w:r>
        <w:rPr>
          <w:rFonts w:hint="default" w:asciiTheme="minorEastAsia" w:hAnsiTheme="minorEastAsia" w:eastAsiaTheme="minorEastAsia" w:cstheme="minorEastAsia"/>
          <w:lang w:eastAsia="zh-CN"/>
        </w:rPr>
        <w:t>；</w:t>
      </w:r>
    </w:p>
    <w:p w14:paraId="609F30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4.</w:t>
      </w:r>
      <w:r>
        <w:rPr>
          <w:rFonts w:hint="default" w:asciiTheme="minorEastAsia" w:hAnsiTheme="minorEastAsia" w:eastAsiaTheme="minorEastAsia" w:cstheme="minorEastAsia"/>
        </w:rPr>
        <w:t>进行经常性维护保养，对发现的异常情况及时处理，并且做出记录</w:t>
      </w:r>
      <w:r>
        <w:rPr>
          <w:rFonts w:hint="default" w:asciiTheme="minorEastAsia" w:hAnsiTheme="minorEastAsia" w:eastAsiaTheme="minorEastAsia" w:cstheme="minorEastAsia"/>
          <w:lang w:eastAsia="zh-CN"/>
        </w:rPr>
        <w:t>；</w:t>
      </w:r>
    </w:p>
    <w:p w14:paraId="08063C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5.</w:t>
      </w:r>
      <w:r>
        <w:rPr>
          <w:rFonts w:hint="default" w:asciiTheme="minorEastAsia" w:hAnsiTheme="minorEastAsia" w:eastAsiaTheme="minorEastAsia" w:cstheme="minorEastAsia"/>
        </w:rPr>
        <w:t>作业过程中发现事故隐患或者其他不安全因素，应当立即采取紧急措施，并且按照规定的程序向特种设备安全管理人员和单位有关负责人报告</w:t>
      </w:r>
      <w:r>
        <w:rPr>
          <w:rFonts w:hint="default" w:asciiTheme="minorEastAsia" w:hAnsiTheme="minorEastAsia" w:eastAsiaTheme="minorEastAsia" w:cstheme="minorEastAsia"/>
          <w:lang w:eastAsia="zh-CN"/>
        </w:rPr>
        <w:t>；</w:t>
      </w:r>
    </w:p>
    <w:p w14:paraId="6397C3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6.</w:t>
      </w:r>
      <w:r>
        <w:rPr>
          <w:rFonts w:hint="default" w:asciiTheme="minorEastAsia" w:hAnsiTheme="minorEastAsia" w:eastAsiaTheme="minorEastAsia" w:cstheme="minorEastAsia"/>
        </w:rPr>
        <w:t>参加应急演练，掌握相应的应急处置技能</w:t>
      </w:r>
      <w:r>
        <w:rPr>
          <w:rFonts w:hint="default" w:asciiTheme="minorEastAsia" w:hAnsiTheme="minorEastAsia" w:eastAsiaTheme="minorEastAsia" w:cstheme="minorEastAsia"/>
          <w:lang w:eastAsia="zh-CN"/>
        </w:rPr>
        <w:t>；</w:t>
      </w:r>
    </w:p>
    <w:p w14:paraId="595C97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w:t>
      </w:r>
      <w:r>
        <w:rPr>
          <w:rFonts w:hint="default" w:asciiTheme="minorEastAsia" w:hAnsiTheme="minorEastAsia" w:eastAsiaTheme="minorEastAsia" w:cstheme="minorEastAsia"/>
        </w:rPr>
        <w:t>锅炉作业人员应当严格执行锅炉节能管理制度，参加锅炉节能教育和技术培训。</w:t>
      </w:r>
    </w:p>
    <w:p w14:paraId="0C14BC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rPr>
      </w:pPr>
      <w:r>
        <w:rPr>
          <w:rFonts w:hint="eastAsia" w:ascii="黑体" w:hAnsi="黑体" w:eastAsia="黑体" w:cs="黑体"/>
          <w:lang w:eastAsia="zh-CN"/>
        </w:rPr>
        <w:t>二、</w:t>
      </w:r>
      <w:r>
        <w:rPr>
          <w:rFonts w:hint="eastAsia" w:ascii="黑体" w:hAnsi="黑体" w:eastAsia="黑体" w:cs="黑体"/>
        </w:rPr>
        <w:t>特种设备</w:t>
      </w:r>
      <w:r>
        <w:rPr>
          <w:rFonts w:hint="eastAsia" w:ascii="黑体" w:hAnsi="黑体" w:eastAsia="黑体" w:cs="黑体"/>
          <w:lang w:eastAsia="zh-CN"/>
        </w:rPr>
        <w:t>采购</w:t>
      </w:r>
      <w:r>
        <w:rPr>
          <w:rFonts w:hint="eastAsia" w:ascii="黑体" w:hAnsi="黑体" w:eastAsia="黑体" w:cs="黑体"/>
        </w:rPr>
        <w:t>验收制度</w:t>
      </w:r>
    </w:p>
    <w:p w14:paraId="667E1D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宋体" w:hAnsi="宋体" w:eastAsia="宋体" w:cs="宋体"/>
          <w:b w:val="0"/>
          <w:bCs w:val="0"/>
        </w:rPr>
        <w:t>应当采购取得特种设备许可生产(含设计、制造、安装、改造、修理)并经检验合格的特种设备，不得采购超过设计使用年限的特种设备，禁止使用国家明令淘汰和已经报废的特种设备，停止使用存在严重事故隐患，无改造、维修价值，超过安全技术规范规定使用年限，或者已在特种设备监督管理部门办理注销手续予以报废的特种设备</w:t>
      </w:r>
      <w:r>
        <w:rPr>
          <w:rFonts w:hint="eastAsia" w:asciiTheme="minorEastAsia" w:hAnsiTheme="minorEastAsia" w:eastAsiaTheme="minorEastAsia" w:cstheme="minorEastAsia"/>
        </w:rPr>
        <w:t>。</w:t>
      </w:r>
    </w:p>
    <w:p w14:paraId="140EF0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应当根据本单位生产工艺要求选购特种设备，严禁超过特种设备规定参数使用。</w:t>
      </w:r>
    </w:p>
    <w:p w14:paraId="44DFF7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选购特种设备前，应由本单位设备采购部门(或采购人员)会同特种设备安全管理部门(或专兼职</w:t>
      </w:r>
      <w:r>
        <w:rPr>
          <w:rFonts w:hint="eastAsia" w:asciiTheme="minorEastAsia" w:hAnsiTheme="minorEastAsia" w:eastAsiaTheme="minorEastAsia" w:cstheme="minorEastAsia"/>
          <w:lang w:eastAsia="zh-CN"/>
        </w:rPr>
        <w:t>特种设备安全员</w:t>
      </w:r>
      <w:r>
        <w:rPr>
          <w:rFonts w:hint="eastAsia" w:asciiTheme="minorEastAsia" w:hAnsiTheme="minorEastAsia" w:eastAsiaTheme="minorEastAsia" w:cstheme="minorEastAsia"/>
        </w:rPr>
        <w:t>)提出购买计划，并经单位主管负责人审批。</w:t>
      </w:r>
    </w:p>
    <w:p w14:paraId="19BA33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特种设备购进后入库前，必须进行开箱检查特种设备的外部情况和出厂资料。设备、安全、档案、采购部门人员参加验收，验收时有关人员应逐项认真检查验收，并对验收质量负责。</w:t>
      </w:r>
    </w:p>
    <w:p w14:paraId="05195CE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rPr>
        <w:t>5</w:t>
      </w:r>
      <w:r>
        <w:rPr>
          <w:rFonts w:hint="eastAsia" w:asciiTheme="minorEastAsia" w:hAnsiTheme="minorEastAsia" w:eastAsiaTheme="minorEastAsia" w:cstheme="minorEastAsia"/>
          <w:b w:val="0"/>
          <w:bCs w:val="0"/>
          <w:lang w:val="en-US" w:eastAsia="zh-CN"/>
        </w:rPr>
        <w:t>.</w:t>
      </w:r>
      <w:r>
        <w:rPr>
          <w:rFonts w:hint="eastAsia" w:ascii="宋体" w:hAnsi="宋体" w:eastAsia="宋体" w:cs="宋体"/>
          <w:b w:val="0"/>
          <w:bCs w:val="0"/>
        </w:rPr>
        <w:t>购置的特种设备必须附有安全技术规范要求的设计、制造技术资料和文件，包括：产品合格证、质量证明书、强度计算书、使用说明书、竣工图、监督检验证书、型式试验证书等文件</w:t>
      </w:r>
      <w:r>
        <w:rPr>
          <w:rFonts w:hint="eastAsia" w:asciiTheme="minorEastAsia" w:hAnsiTheme="minorEastAsia" w:eastAsiaTheme="minorEastAsia" w:cstheme="minorEastAsia"/>
          <w:b w:val="0"/>
          <w:bCs w:val="0"/>
        </w:rPr>
        <w:t>。</w:t>
      </w:r>
    </w:p>
    <w:p w14:paraId="3ED4231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en-US" w:eastAsia="zh-CN"/>
        </w:rPr>
        <w:t>6.</w:t>
      </w:r>
      <w:r>
        <w:rPr>
          <w:rFonts w:hint="eastAsia" w:asciiTheme="minorEastAsia" w:hAnsiTheme="minorEastAsia" w:eastAsiaTheme="minorEastAsia" w:cstheme="minorEastAsia"/>
          <w:b w:val="0"/>
          <w:bCs w:val="0"/>
        </w:rPr>
        <w:t>验收完毕，特种设备安全员应将特种设备附有的相关文件收集、归档。</w:t>
      </w:r>
    </w:p>
    <w:p w14:paraId="64E63F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rPr>
      </w:pPr>
      <w:r>
        <w:rPr>
          <w:rFonts w:hint="eastAsia" w:ascii="黑体" w:hAnsi="黑体" w:eastAsia="黑体" w:cs="黑体"/>
          <w:lang w:eastAsia="zh-CN"/>
        </w:rPr>
        <w:t>三</w:t>
      </w:r>
      <w:r>
        <w:rPr>
          <w:rFonts w:hint="eastAsia" w:ascii="黑体" w:hAnsi="黑体" w:eastAsia="黑体" w:cs="黑体"/>
        </w:rPr>
        <w:t>、特种设备安装</w:t>
      </w:r>
      <w:r>
        <w:rPr>
          <w:rFonts w:hint="eastAsia" w:ascii="黑体" w:hAnsi="黑体" w:eastAsia="黑体" w:cs="黑体"/>
          <w:lang w:eastAsia="zh-CN"/>
        </w:rPr>
        <w:t>、</w:t>
      </w:r>
      <w:r>
        <w:rPr>
          <w:rFonts w:hint="eastAsia" w:ascii="黑体" w:hAnsi="黑体" w:eastAsia="黑体" w:cs="黑体"/>
        </w:rPr>
        <w:t>改造</w:t>
      </w:r>
      <w:r>
        <w:rPr>
          <w:rFonts w:hint="eastAsia" w:ascii="黑体" w:hAnsi="黑体" w:eastAsia="黑体" w:cs="黑体"/>
          <w:lang w:eastAsia="zh-CN"/>
        </w:rPr>
        <w:t>、修理、报废</w:t>
      </w:r>
      <w:r>
        <w:rPr>
          <w:rFonts w:hint="eastAsia" w:ascii="黑体" w:hAnsi="黑体" w:eastAsia="黑体" w:cs="黑体"/>
        </w:rPr>
        <w:t>制度</w:t>
      </w:r>
    </w:p>
    <w:p w14:paraId="1AFB75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特种设备的安装、改造、维修活动应委托</w:t>
      </w:r>
      <w:r>
        <w:rPr>
          <w:rFonts w:hint="eastAsia" w:asciiTheme="minorEastAsia" w:hAnsiTheme="minorEastAsia" w:eastAsiaTheme="minorEastAsia" w:cstheme="minorEastAsia"/>
          <w:lang w:eastAsia="zh-CN"/>
        </w:rPr>
        <w:t>依法</w:t>
      </w:r>
      <w:r>
        <w:rPr>
          <w:rFonts w:hint="eastAsia" w:asciiTheme="minorEastAsia" w:hAnsiTheme="minorEastAsia" w:eastAsiaTheme="minorEastAsia" w:cstheme="minorEastAsia"/>
        </w:rPr>
        <w:t>取得相应安装、改造、维修许可证的单位进行。</w:t>
      </w:r>
    </w:p>
    <w:p w14:paraId="5DEDFD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签订安装、改造、维修合同前，特种设备安全管理部门（或专、兼职</w:t>
      </w:r>
      <w:r>
        <w:rPr>
          <w:rFonts w:hint="eastAsia" w:asciiTheme="minorEastAsia" w:hAnsiTheme="minorEastAsia" w:eastAsiaTheme="minorEastAsia" w:cstheme="minorEastAsia"/>
          <w:lang w:eastAsia="zh-CN"/>
        </w:rPr>
        <w:t>特种设备</w:t>
      </w:r>
      <w:r>
        <w:rPr>
          <w:rFonts w:hint="eastAsia" w:asciiTheme="minorEastAsia" w:hAnsiTheme="minorEastAsia" w:eastAsiaTheme="minorEastAsia" w:cstheme="minorEastAsia"/>
        </w:rPr>
        <w:t>安全员）必须审查安装、改造、维修单位的资质和相关人员的资质是否符合。</w:t>
      </w:r>
    </w:p>
    <w:p w14:paraId="01CAD7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施工前，配合、督促特种设备安装、改造、维修的施工单位在施工前，将拟进行的特种设备安装，改造、维修情况书面告知当地特种设备安全监督管理部门。坚决制止施工单位未履行书面告知义务而进行施工的行为。</w:t>
      </w:r>
    </w:p>
    <w:p w14:paraId="68F874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en-US" w:eastAsia="zh-CN"/>
        </w:rPr>
        <w:t>.</w:t>
      </w:r>
      <w:r>
        <w:rPr>
          <w:rFonts w:hint="eastAsia" w:ascii="宋体" w:hAnsi="宋体" w:eastAsia="宋体" w:cs="宋体"/>
          <w:b w:val="0"/>
          <w:bCs w:val="0"/>
        </w:rPr>
        <w:t>按照相关安全技术规范的要求，</w:t>
      </w:r>
      <w:r>
        <w:rPr>
          <w:rFonts w:hint="eastAsia" w:asciiTheme="minorEastAsia" w:hAnsiTheme="minorEastAsia" w:eastAsiaTheme="minorEastAsia" w:cstheme="minorEastAsia"/>
        </w:rPr>
        <w:t>督促特种设备安装、改造、维修的施工单位向国务院特种设备安全监督管理部门核准的检验检测机构，申报安装、改造，维修活动的监督检验。</w:t>
      </w:r>
    </w:p>
    <w:p w14:paraId="203496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根据安装、改造、维修的合同规定和相关安全技术规范的要求，配合实施监督检验的检测机构监督安装、改造、维修的施工单位施工，发现未按照告知内容和相关安全技术规范要求施工的，要求施工单位予以整改，不予整改的，要求其停止施工并及时报告当地特种设备安全监督管理部门。</w:t>
      </w:r>
    </w:p>
    <w:p w14:paraId="3CF823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拒绝接</w:t>
      </w:r>
      <w:r>
        <w:rPr>
          <w:rFonts w:hint="eastAsia" w:asciiTheme="minorEastAsia" w:hAnsiTheme="minorEastAsia" w:eastAsiaTheme="minorEastAsia" w:cstheme="minorEastAsia"/>
          <w:lang w:eastAsia="zh-CN"/>
        </w:rPr>
        <w:t>收</w:t>
      </w:r>
      <w:r>
        <w:rPr>
          <w:rFonts w:hint="eastAsia" w:asciiTheme="minorEastAsia" w:hAnsiTheme="minorEastAsia" w:eastAsiaTheme="minorEastAsia" w:cstheme="minorEastAsia"/>
        </w:rPr>
        <w:t>使用未经监督检验和监督检验不合格的设备。</w:t>
      </w:r>
    </w:p>
    <w:p w14:paraId="4F9C9D8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Theme="minorEastAsia" w:hAnsiTheme="minorEastAsia" w:eastAsiaTheme="minorEastAsia" w:cstheme="minorEastAsia"/>
        </w:rPr>
        <w:t>7</w:t>
      </w:r>
      <w:r>
        <w:rPr>
          <w:rFonts w:hint="eastAsia" w:asciiTheme="minorEastAsia" w:hAnsiTheme="minorEastAsia" w:eastAsiaTheme="minorEastAsia" w:cstheme="minorEastAsia"/>
          <w:lang w:val="en-US" w:eastAsia="zh-CN"/>
        </w:rPr>
        <w:t>.</w:t>
      </w:r>
      <w:r>
        <w:rPr>
          <w:rFonts w:hint="eastAsia" w:ascii="宋体" w:hAnsi="宋体" w:eastAsia="宋体" w:cs="宋体"/>
          <w:b w:val="0"/>
          <w:bCs w:val="0"/>
        </w:rPr>
        <w:t>经验收合格的特种设备在验收后30日内从施工单位处接收相关技术资料，包括特种设备安装、改造和修理的方案、图样、材料质量证明书和施工质量证明文件、安装改造修理监督检验报告、验收报告等技术资料，并归档保存。</w:t>
      </w:r>
    </w:p>
    <w:p w14:paraId="23E2125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8.</w:t>
      </w:r>
      <w:r>
        <w:rPr>
          <w:rFonts w:hint="eastAsia" w:ascii="宋体" w:hAnsi="宋体" w:eastAsia="宋体" w:cs="宋体"/>
          <w:b w:val="0"/>
          <w:bCs w:val="0"/>
        </w:rPr>
        <w:t>修理时，应保存特种设备安全附件和安全保护装置校验、检修、更换记录和有关报告，包括特种设备运行故障和事故记录及事故处理报告。</w:t>
      </w:r>
    </w:p>
    <w:p w14:paraId="3B7086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9.</w:t>
      </w:r>
      <w:r>
        <w:rPr>
          <w:rFonts w:hint="eastAsia" w:ascii="宋体" w:hAnsi="宋体" w:eastAsia="宋体" w:cs="宋体"/>
          <w:b w:val="0"/>
          <w:bCs w:val="0"/>
        </w:rPr>
        <w:t>特种设备拟停用1年以上的，特种设备管理部门应当采取有效的保护措施，设置停用标志，在停用后30日内到登记机关办理停用手续。重新启用时，应组织自行检查，到使用登记机关办理启用手续；超过定期检验有效期的，应当按照定期检验的有关要求进行检验。</w:t>
      </w:r>
    </w:p>
    <w:p w14:paraId="4718E12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Cs w:val="24"/>
        </w:rPr>
      </w:pPr>
      <w:r>
        <w:rPr>
          <w:rFonts w:hint="eastAsia" w:ascii="宋体" w:hAnsi="宋体" w:cs="宋体"/>
          <w:b w:val="0"/>
          <w:bCs w:val="0"/>
          <w:lang w:val="en-US" w:eastAsia="zh-CN"/>
        </w:rPr>
        <w:t>10.</w:t>
      </w:r>
      <w:r>
        <w:rPr>
          <w:rFonts w:hint="eastAsia" w:ascii="宋体" w:hAnsi="宋体" w:eastAsia="宋体" w:cs="宋体"/>
          <w:b w:val="0"/>
          <w:bCs w:val="0"/>
        </w:rPr>
        <w:t>对存在严重事故隐患，无改造、修理价值的特种设备，或已到达安全技术规范规定的报废期限的，应当及时予以报废，采取必要措施消除该特种设备的使用功能。报废时，按台(套)登记的特种设备应当办理报废手续，向登记机关办理报废手续，并且将使用登记证交回登记机关。</w:t>
      </w:r>
    </w:p>
    <w:p w14:paraId="0B26A7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rPr>
      </w:pPr>
      <w:r>
        <w:rPr>
          <w:rFonts w:hint="eastAsia" w:ascii="黑体" w:hAnsi="黑体" w:eastAsia="黑体" w:cs="黑体"/>
          <w:lang w:eastAsia="zh-CN"/>
        </w:rPr>
        <w:t>四</w:t>
      </w:r>
      <w:r>
        <w:rPr>
          <w:rFonts w:hint="eastAsia" w:ascii="黑体" w:hAnsi="黑体" w:eastAsia="黑体" w:cs="黑体"/>
        </w:rPr>
        <w:t>、特种设备使用登记制度</w:t>
      </w:r>
    </w:p>
    <w:p w14:paraId="20A1AD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特种设备在投入使用前或者投入使用后30日内，向所在地的登记机关申请办理使用登记。</w:t>
      </w:r>
    </w:p>
    <w:p w14:paraId="533646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办理使用登记时应按照特种设备的使用登记要求备齐以下资料、文件：</w:t>
      </w:r>
    </w:p>
    <w:p w14:paraId="46BEA6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（1）安全技术规范要求的设计文件、产品质量合格证明、安装及使用维护说明、制造过程监督检测证明。</w:t>
      </w:r>
    </w:p>
    <w:p w14:paraId="045980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（2）安装过程的安装告知书、安装质量证明书和安装监督检验报告。</w:t>
      </w:r>
    </w:p>
    <w:p w14:paraId="5C8554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（3）特种设备使用安全管理的有关规章制度，预防事故方案，管理和操作人员名单。</w:t>
      </w:r>
    </w:p>
    <w:p w14:paraId="50C301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（4）相关安全技术规范要求的其他文件资料。</w:t>
      </w:r>
    </w:p>
    <w:p w14:paraId="2BB944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特种设备安全员应逐台填写《特种设备</w:t>
      </w:r>
      <w:r>
        <w:rPr>
          <w:rFonts w:hint="eastAsia" w:asciiTheme="minorEastAsia" w:hAnsiTheme="minorEastAsia" w:eastAsiaTheme="minorEastAsia" w:cstheme="minorEastAsia"/>
          <w:lang w:eastAsia="zh-CN"/>
        </w:rPr>
        <w:t>使用</w:t>
      </w:r>
      <w:r>
        <w:rPr>
          <w:rFonts w:hint="eastAsia" w:asciiTheme="minorEastAsia" w:hAnsiTheme="minorEastAsia" w:eastAsiaTheme="minorEastAsia" w:cstheme="minorEastAsia"/>
        </w:rPr>
        <w:t>登记</w:t>
      </w:r>
      <w:r>
        <w:rPr>
          <w:rFonts w:hint="eastAsia" w:asciiTheme="minorEastAsia" w:hAnsiTheme="minorEastAsia" w:eastAsiaTheme="minorEastAsia" w:cstheme="minorEastAsia"/>
          <w:lang w:eastAsia="zh-CN"/>
        </w:rPr>
        <w:t>表</w:t>
      </w:r>
      <w:r>
        <w:rPr>
          <w:rFonts w:hint="eastAsia" w:asciiTheme="minorEastAsia" w:hAnsiTheme="minorEastAsia" w:eastAsiaTheme="minorEastAsia" w:cstheme="minorEastAsia"/>
        </w:rPr>
        <w:t>》和使用申请书交予登记机关。</w:t>
      </w:r>
    </w:p>
    <w:p w14:paraId="31EA51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办理使用登记后，特种设备安全员应将登记机关退还的文件和颁发的使用登记证明文件交付档案管理人员归档，妥善保存。</w:t>
      </w:r>
    </w:p>
    <w:p w14:paraId="4801E1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5</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特种设备安全员将使用登记证或安全合格证明登记标志置于或者附着于特种设备的显著位置</w:t>
      </w:r>
      <w:r>
        <w:rPr>
          <w:rFonts w:hint="eastAsia" w:asciiTheme="minorEastAsia" w:hAnsiTheme="minorEastAsia" w:eastAsiaTheme="minorEastAsia" w:cstheme="minorEastAsia"/>
          <w:lang w:eastAsia="zh-CN"/>
        </w:rPr>
        <w:t>。</w:t>
      </w:r>
    </w:p>
    <w:p w14:paraId="3C0597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Times New Roman"/>
          <w:b w:val="0"/>
          <w:bCs w:val="0"/>
          <w:highlight w:val="none"/>
          <w:lang w:eastAsia="zh-CN"/>
        </w:rPr>
      </w:pPr>
      <w:r>
        <w:rPr>
          <w:rFonts w:hint="eastAsia" w:asciiTheme="minorEastAsia" w:hAnsiTheme="minorEastAsia" w:eastAsiaTheme="minorEastAsia" w:cstheme="minorEastAsia"/>
          <w:highlight w:val="none"/>
          <w:lang w:val="en-US" w:eastAsia="zh-CN"/>
        </w:rPr>
        <w:t>6.</w:t>
      </w:r>
      <w:r>
        <w:rPr>
          <w:rFonts w:hint="default" w:ascii="Times New Roman" w:hAnsi="Times New Roman" w:cs="Times New Roman"/>
          <w:b w:val="0"/>
          <w:bCs w:val="0"/>
          <w:highlight w:val="none"/>
        </w:rPr>
        <w:t>应建立特种设备</w:t>
      </w:r>
      <w:r>
        <w:rPr>
          <w:rFonts w:hint="eastAsia" w:ascii="Times New Roman" w:hAnsi="Times New Roman" w:cs="Times New Roman"/>
          <w:b w:val="0"/>
          <w:bCs w:val="0"/>
          <w:highlight w:val="none"/>
          <w:lang w:eastAsia="zh-CN"/>
        </w:rPr>
        <w:t>管理</w:t>
      </w:r>
      <w:r>
        <w:rPr>
          <w:rFonts w:hint="default" w:ascii="Times New Roman" w:hAnsi="Times New Roman" w:cs="Times New Roman"/>
          <w:b w:val="0"/>
          <w:bCs w:val="0"/>
          <w:highlight w:val="none"/>
        </w:rPr>
        <w:t>台账，包括特种设备名称、型号、使用地点、</w:t>
      </w:r>
      <w:r>
        <w:rPr>
          <w:rFonts w:hint="eastAsia" w:ascii="Times New Roman" w:hAnsi="Times New Roman" w:cs="Times New Roman"/>
          <w:b w:val="0"/>
          <w:bCs w:val="0"/>
          <w:highlight w:val="none"/>
          <w:lang w:eastAsia="zh-CN"/>
        </w:rPr>
        <w:t>生产日期、设计使用年限、</w:t>
      </w:r>
      <w:r>
        <w:rPr>
          <w:rFonts w:hint="default" w:ascii="Times New Roman" w:hAnsi="Times New Roman" w:cs="Times New Roman"/>
          <w:b w:val="0"/>
          <w:bCs w:val="0"/>
          <w:highlight w:val="none"/>
        </w:rPr>
        <w:t>使用证号、登记日期、定期检验日期</w:t>
      </w:r>
      <w:r>
        <w:rPr>
          <w:rFonts w:hint="eastAsia" w:ascii="Times New Roman" w:hAnsi="Times New Roman" w:cs="Times New Roman"/>
          <w:b w:val="0"/>
          <w:bCs w:val="0"/>
          <w:highlight w:val="none"/>
          <w:lang w:eastAsia="zh-CN"/>
        </w:rPr>
        <w:t>、下次检验日期</w:t>
      </w:r>
      <w:r>
        <w:rPr>
          <w:rFonts w:hint="default" w:ascii="Times New Roman" w:hAnsi="Times New Roman" w:cs="Times New Roman"/>
          <w:b w:val="0"/>
          <w:bCs w:val="0"/>
          <w:highlight w:val="none"/>
        </w:rPr>
        <w:t>等特种设备安全完好的资料等。</w:t>
      </w:r>
      <w:r>
        <w:rPr>
          <w:rFonts w:hint="eastAsia" w:ascii="Times New Roman" w:hAnsi="Times New Roman" w:cs="Times New Roman"/>
          <w:b w:val="0"/>
          <w:bCs w:val="0"/>
          <w:highlight w:val="none"/>
          <w:lang w:eastAsia="zh-CN"/>
        </w:rPr>
        <w:t>同时应建立特种设备安全附件台账。</w:t>
      </w:r>
    </w:p>
    <w:p w14:paraId="062ACD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rPr>
      </w:pPr>
      <w:r>
        <w:rPr>
          <w:rFonts w:hint="eastAsia" w:ascii="黑体" w:hAnsi="黑体" w:eastAsia="黑体" w:cs="黑体"/>
          <w:lang w:eastAsia="zh-CN"/>
        </w:rPr>
        <w:t>五</w:t>
      </w:r>
      <w:r>
        <w:rPr>
          <w:rFonts w:hint="eastAsia" w:ascii="黑体" w:hAnsi="黑体" w:eastAsia="黑体" w:cs="黑体"/>
        </w:rPr>
        <w:t>、特种设备定期</w:t>
      </w:r>
      <w:r>
        <w:rPr>
          <w:rFonts w:hint="eastAsia" w:ascii="黑体" w:hAnsi="黑体" w:eastAsia="黑体" w:cs="黑体"/>
          <w:lang w:eastAsia="zh-CN"/>
        </w:rPr>
        <w:t>检验</w:t>
      </w:r>
      <w:r>
        <w:rPr>
          <w:rFonts w:hint="eastAsia" w:ascii="黑体" w:hAnsi="黑体" w:eastAsia="黑体" w:cs="黑体"/>
        </w:rPr>
        <w:t>制度</w:t>
      </w:r>
    </w:p>
    <w:p w14:paraId="63D0AB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特种设备安全管理机构和管理人员要熟练掌握本单位特种设备定期</w:t>
      </w:r>
      <w:r>
        <w:rPr>
          <w:rFonts w:hint="eastAsia" w:asciiTheme="minorEastAsia" w:hAnsiTheme="minorEastAsia" w:eastAsiaTheme="minorEastAsia" w:cstheme="minorEastAsia"/>
          <w:lang w:eastAsia="zh-CN"/>
        </w:rPr>
        <w:t>检验</w:t>
      </w:r>
      <w:r>
        <w:rPr>
          <w:rFonts w:hint="eastAsia" w:asciiTheme="minorEastAsia" w:hAnsiTheme="minorEastAsia" w:eastAsiaTheme="minorEastAsia" w:cstheme="minorEastAsia"/>
        </w:rPr>
        <w:t>情况，根据自身的特点制定定期检验计划，确保检验检测工作如期实施。</w:t>
      </w:r>
    </w:p>
    <w:p w14:paraId="638FD2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按照安全技术规范的定期</w:t>
      </w:r>
      <w:r>
        <w:rPr>
          <w:rFonts w:hint="eastAsia" w:asciiTheme="minorEastAsia" w:hAnsiTheme="minorEastAsia" w:eastAsiaTheme="minorEastAsia" w:cstheme="minorEastAsia"/>
          <w:lang w:eastAsia="zh-CN"/>
        </w:rPr>
        <w:t>检验</w:t>
      </w:r>
      <w:r>
        <w:rPr>
          <w:rFonts w:hint="eastAsia" w:asciiTheme="minorEastAsia" w:hAnsiTheme="minorEastAsia" w:eastAsiaTheme="minorEastAsia" w:cstheme="minorEastAsia"/>
        </w:rPr>
        <w:t>要求在上次</w:t>
      </w:r>
      <w:r>
        <w:rPr>
          <w:rFonts w:hint="eastAsia" w:asciiTheme="minorEastAsia" w:hAnsiTheme="minorEastAsia" w:eastAsiaTheme="minorEastAsia" w:cstheme="minorEastAsia"/>
          <w:lang w:eastAsia="zh-CN"/>
        </w:rPr>
        <w:t>检验</w:t>
      </w:r>
      <w:r>
        <w:rPr>
          <w:rFonts w:hint="eastAsia" w:asciiTheme="minorEastAsia" w:hAnsiTheme="minorEastAsia" w:eastAsiaTheme="minorEastAsia" w:cstheme="minorEastAsia"/>
        </w:rPr>
        <w:t>有效期满前1个月向特种设备</w:t>
      </w:r>
      <w:r>
        <w:rPr>
          <w:rFonts w:hint="eastAsia" w:asciiTheme="minorEastAsia" w:hAnsiTheme="minorEastAsia" w:eastAsiaTheme="minorEastAsia" w:cstheme="minorEastAsia"/>
          <w:lang w:eastAsia="zh-CN"/>
        </w:rPr>
        <w:t>检验</w:t>
      </w:r>
      <w:r>
        <w:rPr>
          <w:rFonts w:hint="eastAsia" w:asciiTheme="minorEastAsia" w:hAnsiTheme="minorEastAsia" w:eastAsiaTheme="minorEastAsia" w:cstheme="minorEastAsia"/>
        </w:rPr>
        <w:t>机构提出定期</w:t>
      </w:r>
      <w:r>
        <w:rPr>
          <w:rFonts w:hint="eastAsia" w:asciiTheme="minorEastAsia" w:hAnsiTheme="minorEastAsia" w:eastAsiaTheme="minorEastAsia" w:cstheme="minorEastAsia"/>
          <w:lang w:eastAsia="zh-CN"/>
        </w:rPr>
        <w:t>检验</w:t>
      </w:r>
      <w:r>
        <w:rPr>
          <w:rFonts w:hint="eastAsia" w:asciiTheme="minorEastAsia" w:hAnsiTheme="minorEastAsia" w:eastAsiaTheme="minorEastAsia" w:cstheme="minorEastAsia"/>
        </w:rPr>
        <w:t>要求。</w:t>
      </w:r>
    </w:p>
    <w:p w14:paraId="36D57E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eastAsia="zh-CN"/>
        </w:rPr>
        <w:t>检验</w:t>
      </w:r>
      <w:r>
        <w:rPr>
          <w:rFonts w:hint="eastAsia" w:asciiTheme="minorEastAsia" w:hAnsiTheme="minorEastAsia" w:eastAsiaTheme="minorEastAsia" w:cstheme="minorEastAsia"/>
        </w:rPr>
        <w:t>前应当备齐以</w:t>
      </w:r>
      <w:r>
        <w:rPr>
          <w:rFonts w:hint="eastAsia" w:asciiTheme="minorEastAsia" w:hAnsiTheme="minorEastAsia" w:eastAsiaTheme="minorEastAsia" w:cstheme="minorEastAsia"/>
          <w:lang w:eastAsia="zh-CN"/>
        </w:rPr>
        <w:t>下</w:t>
      </w:r>
      <w:r>
        <w:rPr>
          <w:rFonts w:hint="eastAsia" w:asciiTheme="minorEastAsia" w:hAnsiTheme="minorEastAsia" w:eastAsiaTheme="minorEastAsia" w:cstheme="minorEastAsia"/>
        </w:rPr>
        <w:t>特种设备的相关资料</w:t>
      </w:r>
    </w:p>
    <w:p w14:paraId="4A53C2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（1）设备出厂资料：设计文件、安装使用说明、产品合格质量证明</w:t>
      </w:r>
      <w:r>
        <w:rPr>
          <w:rFonts w:hint="eastAsia" w:asciiTheme="minorEastAsia" w:hAnsiTheme="minorEastAsia" w:eastAsiaTheme="minorEastAsia" w:cstheme="minorEastAsia"/>
          <w:lang w:eastAsia="zh-CN"/>
        </w:rPr>
        <w:t>等</w:t>
      </w:r>
      <w:r>
        <w:rPr>
          <w:rFonts w:hint="eastAsia" w:asciiTheme="minorEastAsia" w:hAnsiTheme="minorEastAsia" w:eastAsiaTheme="minorEastAsia" w:cstheme="minorEastAsia"/>
        </w:rPr>
        <w:t>；</w:t>
      </w:r>
    </w:p>
    <w:p w14:paraId="73F503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（2）设备安装资料：安装告知书、安装质量证明、安装监督检验报告</w:t>
      </w:r>
      <w:r>
        <w:rPr>
          <w:rFonts w:hint="eastAsia" w:asciiTheme="minorEastAsia" w:hAnsiTheme="minorEastAsia" w:eastAsiaTheme="minorEastAsia" w:cstheme="minorEastAsia"/>
          <w:lang w:eastAsia="zh-CN"/>
        </w:rPr>
        <w:t>等</w:t>
      </w:r>
      <w:r>
        <w:rPr>
          <w:rFonts w:hint="eastAsia" w:asciiTheme="minorEastAsia" w:hAnsiTheme="minorEastAsia" w:eastAsiaTheme="minorEastAsia" w:cstheme="minorEastAsia"/>
        </w:rPr>
        <w:t>。</w:t>
      </w:r>
    </w:p>
    <w:p w14:paraId="0465C3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（3）使用登记文件</w:t>
      </w:r>
      <w:r>
        <w:rPr>
          <w:rFonts w:hint="eastAsia" w:asciiTheme="minorEastAsia" w:hAnsiTheme="minorEastAsia" w:eastAsiaTheme="minorEastAsia" w:cstheme="minorEastAsia"/>
          <w:lang w:eastAsia="zh-CN"/>
        </w:rPr>
        <w:t>；</w:t>
      </w:r>
    </w:p>
    <w:p w14:paraId="3BE5E1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（4）上次定期检验报告</w:t>
      </w:r>
      <w:r>
        <w:rPr>
          <w:rFonts w:hint="eastAsia" w:asciiTheme="minorEastAsia" w:hAnsiTheme="minorEastAsia" w:eastAsiaTheme="minorEastAsia" w:cstheme="minorEastAsia"/>
          <w:lang w:eastAsia="zh-CN"/>
        </w:rPr>
        <w:t>；</w:t>
      </w:r>
    </w:p>
    <w:p w14:paraId="75DAD0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（5）运行记录、维护保养记录、运行中出现异常情况的记录等。</w:t>
      </w:r>
    </w:p>
    <w:p w14:paraId="7A46D9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en-US" w:eastAsia="zh-CN"/>
        </w:rPr>
        <w:t>.检验</w:t>
      </w:r>
      <w:r>
        <w:rPr>
          <w:rFonts w:hint="eastAsia" w:asciiTheme="minorEastAsia" w:hAnsiTheme="minorEastAsia" w:eastAsiaTheme="minorEastAsia" w:cstheme="minorEastAsia"/>
        </w:rPr>
        <w:t>时，要做到按计划的时间停车检验，并向检验机构和检验人员提供检验所需的条件，配合他们作好检验工作。</w:t>
      </w:r>
    </w:p>
    <w:p w14:paraId="0316E3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w:t>
      </w:r>
      <w:r>
        <w:rPr>
          <w:rFonts w:hint="eastAsia" w:asciiTheme="minorEastAsia" w:hAnsiTheme="minorEastAsia" w:eastAsiaTheme="minorEastAsia" w:cstheme="minorEastAsia"/>
          <w:highlight w:val="none"/>
          <w:lang w:val="en-US" w:eastAsia="zh-CN"/>
        </w:rPr>
        <w:t>.检验</w:t>
      </w:r>
      <w:r>
        <w:rPr>
          <w:rFonts w:hint="eastAsia" w:asciiTheme="minorEastAsia" w:hAnsiTheme="minorEastAsia" w:eastAsiaTheme="minorEastAsia" w:cstheme="minorEastAsia"/>
          <w:highlight w:val="none"/>
        </w:rPr>
        <w:t>后，</w:t>
      </w:r>
      <w:r>
        <w:rPr>
          <w:rFonts w:hint="default" w:ascii="Times New Roman" w:hAnsi="Times New Roman" w:cs="Times New Roman"/>
          <w:b w:val="0"/>
          <w:bCs w:val="0"/>
          <w:highlight w:val="none"/>
        </w:rPr>
        <w:t>对检验合格的特种设备或存在问题已经采取相应措施进行处理并达到合格使用要求的设备，应按照检验结论确定的参数使用。</w:t>
      </w:r>
    </w:p>
    <w:p w14:paraId="4AA246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w:t>
      </w:r>
      <w:r>
        <w:rPr>
          <w:rFonts w:hint="eastAsia" w:asciiTheme="minorEastAsia" w:hAnsiTheme="minorEastAsia" w:eastAsiaTheme="minorEastAsia" w:cstheme="minorEastAsia"/>
          <w:highlight w:val="none"/>
          <w:lang w:val="en-US" w:eastAsia="zh-CN"/>
        </w:rPr>
        <w:t>.</w:t>
      </w:r>
      <w:r>
        <w:rPr>
          <w:rFonts w:hint="eastAsia" w:asciiTheme="minorEastAsia" w:hAnsiTheme="minorEastAsia" w:eastAsiaTheme="minorEastAsia" w:cstheme="minorEastAsia"/>
          <w:highlight w:val="none"/>
        </w:rPr>
        <w:t>凡未经定期检验或者检验不合格的特种设备，不得继续使用。</w:t>
      </w:r>
    </w:p>
    <w:p w14:paraId="4E16AF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s="Times New Roman"/>
          <w:b w:val="0"/>
          <w:bCs w:val="0"/>
          <w:highlight w:val="none"/>
          <w:lang w:eastAsia="zh-CN"/>
        </w:rPr>
      </w:pPr>
      <w:r>
        <w:rPr>
          <w:rFonts w:hint="default" w:ascii="Times New Roman" w:hAnsi="Times New Roman" w:cs="Times New Roman"/>
          <w:b w:val="0"/>
          <w:bCs w:val="0"/>
          <w:highlight w:val="none"/>
          <w:lang w:val="en-US" w:eastAsia="zh-CN"/>
        </w:rPr>
        <w:t>7.</w:t>
      </w:r>
      <w:r>
        <w:rPr>
          <w:rFonts w:hint="default" w:ascii="Times New Roman" w:hAnsi="Times New Roman" w:cs="Times New Roman"/>
          <w:b w:val="0"/>
          <w:bCs w:val="0"/>
          <w:highlight w:val="none"/>
        </w:rPr>
        <w:t>定期检验完成后，组织做好特种设备的管路联结、密封、附件</w:t>
      </w:r>
      <w:r>
        <w:rPr>
          <w:rFonts w:hint="eastAsia" w:cs="Times New Roman"/>
          <w:b w:val="0"/>
          <w:bCs w:val="0"/>
          <w:highlight w:val="none"/>
          <w:lang w:eastAsia="zh-CN"/>
        </w:rPr>
        <w:t>（</w:t>
      </w:r>
      <w:r>
        <w:rPr>
          <w:rFonts w:hint="default" w:ascii="Times New Roman" w:hAnsi="Times New Roman" w:cs="Times New Roman"/>
          <w:b w:val="0"/>
          <w:bCs w:val="0"/>
          <w:highlight w:val="none"/>
        </w:rPr>
        <w:t>含零部件、安全附件、安全保护装置、仪器仪表等</w:t>
      </w:r>
      <w:r>
        <w:rPr>
          <w:rFonts w:hint="eastAsia" w:cs="Times New Roman"/>
          <w:b w:val="0"/>
          <w:bCs w:val="0"/>
          <w:highlight w:val="none"/>
          <w:lang w:eastAsia="zh-CN"/>
        </w:rPr>
        <w:t>）</w:t>
      </w:r>
      <w:r>
        <w:rPr>
          <w:rFonts w:hint="default" w:ascii="Times New Roman" w:hAnsi="Times New Roman" w:cs="Times New Roman"/>
          <w:b w:val="0"/>
          <w:bCs w:val="0"/>
          <w:highlight w:val="none"/>
        </w:rPr>
        <w:t>和内件安装、试运行等工作，并对其安全性负责。</w:t>
      </w:r>
      <w:r>
        <w:rPr>
          <w:rFonts w:hint="eastAsia" w:cs="Times New Roman"/>
          <w:b w:val="0"/>
          <w:bCs w:val="0"/>
          <w:highlight w:val="none"/>
          <w:lang w:eastAsia="zh-CN"/>
        </w:rPr>
        <w:t>及时在特种设备的显著位置更新特种设备使用标志。</w:t>
      </w:r>
    </w:p>
    <w:p w14:paraId="5AEA1BA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s="Times New Roman"/>
          <w:b w:val="0"/>
          <w:bCs w:val="0"/>
          <w:highlight w:val="none"/>
          <w:lang w:eastAsia="zh-CN"/>
        </w:rPr>
      </w:pPr>
      <w:r>
        <w:rPr>
          <w:rFonts w:hint="eastAsia" w:cs="Times New Roman"/>
          <w:b w:val="0"/>
          <w:bCs w:val="0"/>
          <w:highlight w:val="none"/>
          <w:lang w:val="en-US" w:eastAsia="zh-CN"/>
        </w:rPr>
        <w:t>8.检验机构出具检验报告后，应将新的特种设备使用标志固定在设备的显著位置</w:t>
      </w:r>
      <w:r>
        <w:rPr>
          <w:rFonts w:hint="eastAsia" w:cs="Times New Roman"/>
          <w:b w:val="0"/>
          <w:bCs w:val="0"/>
          <w:highlight w:val="none"/>
          <w:lang w:eastAsia="zh-CN"/>
        </w:rPr>
        <w:t>。</w:t>
      </w:r>
    </w:p>
    <w:p w14:paraId="6FA224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9.</w:t>
      </w:r>
      <w:r>
        <w:rPr>
          <w:rFonts w:hint="eastAsia" w:asciiTheme="minorEastAsia" w:hAnsiTheme="minorEastAsia" w:eastAsiaTheme="minorEastAsia" w:cstheme="minorEastAsia"/>
          <w:highlight w:val="none"/>
        </w:rPr>
        <w:t>特种设备发现故障或者发生异常情况，使用单位，应当对其进行全面检查，消除安全隐患后，方可投入使用。</w:t>
      </w:r>
    </w:p>
    <w:p w14:paraId="3D63C1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对确因需要延长检验周期的特种设备，必须依法办理延期检验手续。</w:t>
      </w:r>
    </w:p>
    <w:p w14:paraId="3F27EE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rPr>
      </w:pPr>
      <w:r>
        <w:rPr>
          <w:rFonts w:hint="eastAsia" w:ascii="黑体" w:hAnsi="黑体" w:eastAsia="黑体" w:cs="黑体"/>
          <w:lang w:eastAsia="zh-CN"/>
        </w:rPr>
        <w:t>六</w:t>
      </w:r>
      <w:r>
        <w:rPr>
          <w:rFonts w:hint="eastAsia" w:ascii="黑体" w:hAnsi="黑体" w:eastAsia="黑体" w:cs="黑体"/>
        </w:rPr>
        <w:t>、特种设备维护保养制度</w:t>
      </w:r>
    </w:p>
    <w:p w14:paraId="737CD8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认真执行设备使用与维护相结合和设备谁使用谁维护的原则。坚持维护与检修并重，以维护为主的原则。严格执行岗位责任制，实行设备包机制，确保在用设备每台完好。</w:t>
      </w:r>
    </w:p>
    <w:p w14:paraId="4A2ECE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操作人员对所使用的设备，通过岗位练兵和学习技术，做到“四懂、三会”(懂结构、懂工艺、懂性能、懂用途；会使用、会维护保养、会排除故障)，并享有“三项权利”，即：有权制止他人私自动用自己操作的设备；未采取防范措施或未经主管部门审批超负荷使用设备，有权停止使用；发现设备运转不正常，超期不检修，安全装置不符合规定应立即上报，如不立即处理和采取相应措施，有权停止使用。</w:t>
      </w:r>
    </w:p>
    <w:p w14:paraId="18D267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要严格执行日常维护保养制度和定期保养制度。日常维护保养：操作者每班照例进行保养，包括班前10—15分钟的巡回检查；班中责任制，注意设备运转、液标液位、各种温度仪表、压力指示信号、保险装置是否正常；班后、月未、节日前的大清扫、擦洗。定期维护保养：每月进行一次全面的设备检查保养。</w:t>
      </w:r>
    </w:p>
    <w:p w14:paraId="090D24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正确使用设备，严格遵守操作规程，启动前认真准备，启动中反复检查，停车后妥善处理，运行中搞好调整，认真执行操作规程，不准超温、超压、超速、超负荷运行。</w:t>
      </w:r>
    </w:p>
    <w:p w14:paraId="426A44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精心维护、严格执行巡回检查制，运用“五字操作法”(听、擦、闻、看、比)，定时按巡回检查路线，对设备进行仔细检查，发现问题，及时解决，排除隐患。搞好设备清洁、润滑、紧固、调整和防腐，保持零件、附件及工具完整无缺。</w:t>
      </w:r>
    </w:p>
    <w:p w14:paraId="511701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掌握设备故障的预防、判断和</w:t>
      </w:r>
      <w:r>
        <w:rPr>
          <w:rFonts w:hint="eastAsia" w:asciiTheme="minorEastAsia" w:hAnsiTheme="minorEastAsia" w:eastAsiaTheme="minorEastAsia" w:cstheme="minorEastAsia"/>
          <w:lang w:eastAsia="zh-CN"/>
        </w:rPr>
        <w:t>应急</w:t>
      </w:r>
      <w:r>
        <w:rPr>
          <w:rFonts w:hint="eastAsia" w:asciiTheme="minorEastAsia" w:hAnsiTheme="minorEastAsia" w:eastAsiaTheme="minorEastAsia" w:cstheme="minorEastAsia"/>
        </w:rPr>
        <w:t>处理措施，保持安全防护装置完好。</w:t>
      </w:r>
    </w:p>
    <w:p w14:paraId="66F8E3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7</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设备检修人员对所包修的设备，应按时进行巡回检查，发现问题及时处理，配合操作人员搞好安全生产。</w:t>
      </w:r>
    </w:p>
    <w:p w14:paraId="1DDFFF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8</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车间所有特种设备维护工作，必须有明确分工，并及时做好防冻、防凝、保温、保冷、防腐、堵漏等工作。</w:t>
      </w:r>
    </w:p>
    <w:p w14:paraId="656B15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default" w:ascii="Times New Roman" w:hAnsi="Times New Roman" w:cs="Times New Roman"/>
          <w:b w:val="0"/>
          <w:bCs w:val="0"/>
          <w:highlight w:val="none"/>
        </w:rPr>
        <w:t>9.做好日常</w:t>
      </w:r>
      <w:r>
        <w:rPr>
          <w:rFonts w:hint="eastAsia" w:ascii="Times New Roman" w:hAnsi="Times New Roman" w:cs="Times New Roman"/>
          <w:b w:val="0"/>
          <w:bCs w:val="0"/>
          <w:highlight w:val="none"/>
          <w:lang w:eastAsia="zh-CN"/>
        </w:rPr>
        <w:t>维护</w:t>
      </w:r>
      <w:r>
        <w:rPr>
          <w:rFonts w:hint="default" w:ascii="Times New Roman" w:hAnsi="Times New Roman" w:cs="Times New Roman"/>
          <w:b w:val="0"/>
          <w:bCs w:val="0"/>
          <w:highlight w:val="none"/>
        </w:rPr>
        <w:t>保养有关记录</w:t>
      </w:r>
      <w:r>
        <w:rPr>
          <w:rFonts w:hint="eastAsia" w:cs="Times New Roman"/>
          <w:b w:val="0"/>
          <w:bCs w:val="0"/>
          <w:highlight w:val="none"/>
          <w:lang w:eastAsia="zh-CN"/>
        </w:rPr>
        <w:t>，并存入安全技术档案</w:t>
      </w:r>
      <w:r>
        <w:rPr>
          <w:rFonts w:hint="default" w:ascii="Times New Roman" w:hAnsi="Times New Roman" w:cs="Times New Roman"/>
          <w:b w:val="0"/>
          <w:bCs w:val="0"/>
          <w:highlight w:val="none"/>
        </w:rPr>
        <w:t>。</w:t>
      </w:r>
    </w:p>
    <w:p w14:paraId="499949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rPr>
      </w:pPr>
      <w:r>
        <w:rPr>
          <w:rFonts w:hint="eastAsia" w:ascii="黑体" w:hAnsi="黑体" w:eastAsia="黑体" w:cs="黑体"/>
          <w:lang w:eastAsia="zh-CN"/>
        </w:rPr>
        <w:t>七</w:t>
      </w:r>
      <w:r>
        <w:rPr>
          <w:rFonts w:hint="eastAsia" w:ascii="黑体" w:hAnsi="黑体" w:eastAsia="黑体" w:cs="黑体"/>
        </w:rPr>
        <w:t>、特种设备安全检查制度</w:t>
      </w:r>
    </w:p>
    <w:p w14:paraId="2A3B5E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安全检查要做到经常性，充分发动</w:t>
      </w:r>
      <w:r>
        <w:rPr>
          <w:rFonts w:hint="eastAsia" w:asciiTheme="minorEastAsia" w:hAnsiTheme="minorEastAsia" w:eastAsiaTheme="minorEastAsia" w:cstheme="minorEastAsia"/>
          <w:lang w:eastAsia="zh-CN"/>
        </w:rPr>
        <w:t>职工</w:t>
      </w:r>
      <w:r>
        <w:rPr>
          <w:rFonts w:hint="eastAsia" w:asciiTheme="minorEastAsia" w:hAnsiTheme="minorEastAsia" w:eastAsiaTheme="minorEastAsia" w:cstheme="minorEastAsia"/>
        </w:rPr>
        <w:t>，坚持专职检查与</w:t>
      </w:r>
      <w:r>
        <w:rPr>
          <w:rFonts w:hint="eastAsia" w:asciiTheme="minorEastAsia" w:hAnsiTheme="minorEastAsia" w:eastAsiaTheme="minorEastAsia" w:cstheme="minorEastAsia"/>
          <w:lang w:eastAsia="zh-CN"/>
        </w:rPr>
        <w:t>职工</w:t>
      </w:r>
      <w:r>
        <w:rPr>
          <w:rFonts w:hint="eastAsia" w:asciiTheme="minorEastAsia" w:hAnsiTheme="minorEastAsia" w:eastAsiaTheme="minorEastAsia" w:cstheme="minorEastAsia"/>
        </w:rPr>
        <w:t>检查相结合，日常检查与定期检查相结合，普遍检查与重点检查相结合，做到层层把关，堵塞漏洞。</w:t>
      </w:r>
    </w:p>
    <w:p w14:paraId="47DB81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定期安全检查由特种设备安全管理部门组织实施。</w:t>
      </w:r>
    </w:p>
    <w:p w14:paraId="0F83C3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每年安排一次本单位的年度安全检查。主要检查内容：查设备、查制度、查措施、查事故处理情况等。</w:t>
      </w:r>
    </w:p>
    <w:p w14:paraId="5A80A6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每月安排一次定期的安全检查。对特种设备使用情况进行检查。</w:t>
      </w:r>
    </w:p>
    <w:p w14:paraId="393946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在“五一、十一、元旦、春节”等重大节日前组织有关人员有针对性的进行节前安全检查。</w:t>
      </w:r>
    </w:p>
    <w:p w14:paraId="322139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特种设备安全员要不定期的开展日常安全检查，到生产现场监督检查有无违章操作，防护用品穿戴是否齐全，各种安全防护设施是否完好，安全通道是否畅通，使用的工具是否安全可靠、是否符合安全要求，发现问题应及时制止、纠正。</w:t>
      </w:r>
    </w:p>
    <w:p w14:paraId="5D4F7C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各部门除配合特种设备管理部门组织的安全检查外，还要每季度组织有关技术人员对设备使用情况，各项安全制度执行情况重点检查。发现问题及时反馈，并作好检查记录。</w:t>
      </w:r>
    </w:p>
    <w:p w14:paraId="3A2300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班组每</w:t>
      </w:r>
      <w:r>
        <w:rPr>
          <w:rFonts w:hint="eastAsia" w:asciiTheme="minorEastAsia" w:hAnsiTheme="minorEastAsia" w:eastAsiaTheme="minorEastAsia" w:cstheme="minorEastAsia"/>
          <w:lang w:eastAsia="zh-CN"/>
        </w:rPr>
        <w:t>天</w:t>
      </w:r>
      <w:r>
        <w:rPr>
          <w:rFonts w:hint="eastAsia" w:asciiTheme="minorEastAsia" w:hAnsiTheme="minorEastAsia" w:eastAsiaTheme="minorEastAsia" w:cstheme="minorEastAsia"/>
        </w:rPr>
        <w:t>由组长组织一次安全检查。重点检查作业现场是否整洁，各种设备运转是否正常，安全防护设施是否完好，安全制度执行情况等。发现问题及时反馈，并作好检查记录。</w:t>
      </w:r>
    </w:p>
    <w:p w14:paraId="52E60C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组长在每次生产前要进行安全检查。危险部位和要害设施要重点检查，生产过程中要随时检查有无违章操作等不安全行为。</w:t>
      </w:r>
    </w:p>
    <w:p w14:paraId="1586AF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操作者在工作前必须进行安全检查。倒班生产人员要严格执行交接班检查制度并认真作好交接班记录。在生产操作过程中要集中精力，随时注意安全状况，发现问题要立即报告班长或单位领导。</w:t>
      </w:r>
    </w:p>
    <w:p w14:paraId="0B8F62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7</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检查中发现</w:t>
      </w:r>
      <w:r>
        <w:rPr>
          <w:rFonts w:hint="eastAsia" w:asciiTheme="minorEastAsia" w:hAnsiTheme="minorEastAsia" w:eastAsiaTheme="minorEastAsia" w:cstheme="minorEastAsia"/>
          <w:lang w:eastAsia="zh-CN"/>
        </w:rPr>
        <w:t>特种设备</w:t>
      </w:r>
      <w:r>
        <w:rPr>
          <w:rFonts w:hint="eastAsia" w:asciiTheme="minorEastAsia" w:hAnsiTheme="minorEastAsia" w:eastAsiaTheme="minorEastAsia" w:cstheme="minorEastAsia"/>
        </w:rPr>
        <w:t>重大</w:t>
      </w:r>
      <w:r>
        <w:rPr>
          <w:rFonts w:hint="eastAsia" w:asciiTheme="minorEastAsia" w:hAnsiTheme="minorEastAsia" w:eastAsiaTheme="minorEastAsia" w:cstheme="minorEastAsia"/>
          <w:lang w:eastAsia="zh-CN"/>
        </w:rPr>
        <w:t>事故</w:t>
      </w:r>
      <w:r>
        <w:rPr>
          <w:rFonts w:hint="eastAsia" w:asciiTheme="minorEastAsia" w:hAnsiTheme="minorEastAsia" w:eastAsiaTheme="minorEastAsia" w:cstheme="minorEastAsia"/>
        </w:rPr>
        <w:t>隐患，必须及时报告单位主管领导，隐患未排除，严禁进行生产。</w:t>
      </w:r>
    </w:p>
    <w:p w14:paraId="77225B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heme="minorEastAsia" w:hAnsiTheme="minorEastAsia" w:eastAsiaTheme="minorEastAsia" w:cstheme="minorEastAsia"/>
        </w:rPr>
      </w:pPr>
      <w:r>
        <w:rPr>
          <w:rFonts w:hint="eastAsia" w:ascii="Times New Roman" w:hAnsi="Times New Roman" w:cs="Times New Roman"/>
          <w:b w:val="0"/>
          <w:bCs w:val="0"/>
          <w:highlight w:val="none"/>
          <w:lang w:val="en-US" w:eastAsia="zh-CN"/>
        </w:rPr>
        <w:t>8</w:t>
      </w:r>
      <w:r>
        <w:rPr>
          <w:rFonts w:hint="default" w:ascii="Times New Roman" w:hAnsi="Times New Roman" w:cs="Times New Roman"/>
          <w:b w:val="0"/>
          <w:bCs w:val="0"/>
          <w:highlight w:val="none"/>
        </w:rPr>
        <w:t>.做好</w:t>
      </w:r>
      <w:r>
        <w:rPr>
          <w:rFonts w:hint="eastAsia" w:ascii="Times New Roman" w:hAnsi="Times New Roman" w:cs="Times New Roman"/>
          <w:b w:val="0"/>
          <w:bCs w:val="0"/>
          <w:highlight w:val="none"/>
          <w:lang w:eastAsia="zh-CN"/>
        </w:rPr>
        <w:t>安全检查</w:t>
      </w:r>
      <w:r>
        <w:rPr>
          <w:rFonts w:hint="default" w:ascii="Times New Roman" w:hAnsi="Times New Roman" w:cs="Times New Roman"/>
          <w:b w:val="0"/>
          <w:bCs w:val="0"/>
          <w:highlight w:val="none"/>
        </w:rPr>
        <w:t>有关记录</w:t>
      </w:r>
      <w:r>
        <w:rPr>
          <w:rFonts w:hint="eastAsia" w:cs="Times New Roman"/>
          <w:b w:val="0"/>
          <w:bCs w:val="0"/>
          <w:highlight w:val="none"/>
          <w:lang w:eastAsia="zh-CN"/>
        </w:rPr>
        <w:t>，并存入安全技术档案</w:t>
      </w:r>
      <w:r>
        <w:rPr>
          <w:rFonts w:hint="default" w:ascii="Times New Roman" w:hAnsi="Times New Roman" w:cs="Times New Roman"/>
          <w:b w:val="0"/>
          <w:bCs w:val="0"/>
          <w:highlight w:val="none"/>
        </w:rPr>
        <w:t>。</w:t>
      </w:r>
    </w:p>
    <w:p w14:paraId="1FCDAA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黑体" w:hAnsi="黑体" w:eastAsia="黑体" w:cs="黑体"/>
          <w:lang w:eastAsia="zh-CN"/>
        </w:rPr>
      </w:pPr>
      <w:r>
        <w:rPr>
          <w:rFonts w:hint="eastAsia" w:ascii="黑体" w:hAnsi="黑体" w:eastAsia="黑体" w:cs="黑体"/>
          <w:lang w:eastAsia="zh-CN"/>
        </w:rPr>
        <w:t>八、</w:t>
      </w:r>
      <w:r>
        <w:rPr>
          <w:rFonts w:hint="default" w:ascii="黑体" w:hAnsi="黑体" w:eastAsia="黑体" w:cs="黑体"/>
          <w:lang w:eastAsia="zh-CN"/>
        </w:rPr>
        <w:t>特种设备隐患排查治理制度</w:t>
      </w:r>
    </w:p>
    <w:p w14:paraId="5E4B5C5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eastAsia="zh-CN"/>
        </w:rPr>
        <w:t>（一）</w:t>
      </w:r>
      <w:r>
        <w:rPr>
          <w:rFonts w:hint="default" w:ascii="Times New Roman" w:hAnsi="Times New Roman" w:cs="Times New Roman"/>
          <w:b w:val="0"/>
          <w:bCs w:val="0"/>
        </w:rPr>
        <w:t>特种设备隐患排查</w:t>
      </w:r>
    </w:p>
    <w:p w14:paraId="45AE3F1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eastAsia="zh-CN"/>
        </w:rPr>
        <w:t>安全</w:t>
      </w:r>
      <w:r>
        <w:rPr>
          <w:rFonts w:hint="default" w:ascii="Times New Roman" w:hAnsi="Times New Roman" w:cs="Times New Roman"/>
          <w:b w:val="0"/>
          <w:bCs w:val="0"/>
        </w:rPr>
        <w:t>管理部门应对特种设备风险</w:t>
      </w:r>
      <w:r>
        <w:rPr>
          <w:rFonts w:hint="eastAsia" w:cs="Times New Roman"/>
          <w:b w:val="0"/>
          <w:bCs w:val="0"/>
          <w:lang w:eastAsia="zh-CN"/>
        </w:rPr>
        <w:t>管控清单</w:t>
      </w:r>
      <w:r>
        <w:rPr>
          <w:rFonts w:hint="default" w:ascii="Times New Roman" w:hAnsi="Times New Roman" w:cs="Times New Roman"/>
          <w:b w:val="0"/>
          <w:bCs w:val="0"/>
        </w:rPr>
        <w:t>内的所有危害因素进行隐患排查。</w:t>
      </w:r>
    </w:p>
    <w:p w14:paraId="12C01C7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1.</w:t>
      </w:r>
      <w:r>
        <w:rPr>
          <w:rFonts w:hint="default" w:ascii="Times New Roman" w:hAnsi="Times New Roman" w:cs="Times New Roman"/>
          <w:b w:val="0"/>
          <w:bCs w:val="0"/>
        </w:rPr>
        <w:t>组织制定隐患排查</w:t>
      </w:r>
      <w:r>
        <w:rPr>
          <w:rFonts w:hint="eastAsia" w:cs="Times New Roman"/>
          <w:b w:val="0"/>
          <w:bCs w:val="0"/>
          <w:lang w:eastAsia="zh-CN"/>
        </w:rPr>
        <w:t>计划</w:t>
      </w:r>
      <w:r>
        <w:rPr>
          <w:rFonts w:hint="default" w:ascii="Times New Roman" w:hAnsi="Times New Roman" w:cs="Times New Roman"/>
          <w:b w:val="0"/>
          <w:bCs w:val="0"/>
        </w:rPr>
        <w:t>，明确和细化隐患排查事项、内容和频次，逐一落实排查责任人，组织实施。</w:t>
      </w:r>
    </w:p>
    <w:p w14:paraId="7B294B5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2.</w:t>
      </w:r>
      <w:r>
        <w:rPr>
          <w:rFonts w:hint="default" w:ascii="Times New Roman" w:hAnsi="Times New Roman" w:cs="Times New Roman"/>
          <w:b w:val="0"/>
          <w:bCs w:val="0"/>
        </w:rPr>
        <w:t>排查类型主要包括日常排查、定期排查、专项排查、重点时段隐患排查和事故类比排查等。特种设备隐患排查可纳入公司安全生产隐患排工作中进行。</w:t>
      </w:r>
    </w:p>
    <w:p w14:paraId="1309D54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3.</w:t>
      </w:r>
      <w:r>
        <w:rPr>
          <w:rFonts w:hint="default" w:ascii="Times New Roman" w:hAnsi="Times New Roman" w:cs="Times New Roman"/>
          <w:b w:val="0"/>
          <w:bCs w:val="0"/>
        </w:rPr>
        <w:t>排查组织级别一般包括公司级、部门级、车间级、班组级，也可结合本单位机构设置情况对组织级别进行调整。</w:t>
      </w:r>
    </w:p>
    <w:p w14:paraId="146AC3EC">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4.</w:t>
      </w:r>
      <w:r>
        <w:rPr>
          <w:rFonts w:hint="default" w:ascii="Times New Roman" w:hAnsi="Times New Roman" w:cs="Times New Roman"/>
          <w:b w:val="0"/>
          <w:bCs w:val="0"/>
        </w:rPr>
        <w:t>日常排查的组织级别为班组级、岗位级，特种设备作业人员参加；定期排查的组织为部门级、车间级，按照设备类别划分，特种设备安全员参加；专项排查的组织级别为部门级，按照设备类别划分，特种设备安全</w:t>
      </w:r>
      <w:r>
        <w:rPr>
          <w:rFonts w:hint="eastAsia" w:cs="Times New Roman"/>
          <w:b w:val="0"/>
          <w:bCs w:val="0"/>
          <w:lang w:eastAsia="zh-CN"/>
        </w:rPr>
        <w:t>总监</w:t>
      </w:r>
      <w:r>
        <w:rPr>
          <w:rFonts w:hint="default" w:ascii="Times New Roman" w:hAnsi="Times New Roman" w:cs="Times New Roman"/>
          <w:b w:val="0"/>
          <w:bCs w:val="0"/>
        </w:rPr>
        <w:t>参加；重点时段排查、事故类比排查的组织级别为公司级、车间级，特种设备安全</w:t>
      </w:r>
      <w:r>
        <w:rPr>
          <w:rFonts w:hint="eastAsia" w:cs="Times New Roman"/>
          <w:b w:val="0"/>
          <w:bCs w:val="0"/>
          <w:lang w:eastAsia="zh-CN"/>
        </w:rPr>
        <w:t>总监</w:t>
      </w:r>
      <w:r>
        <w:rPr>
          <w:rFonts w:hint="default" w:ascii="Times New Roman" w:hAnsi="Times New Roman" w:cs="Times New Roman"/>
          <w:b w:val="0"/>
          <w:bCs w:val="0"/>
        </w:rPr>
        <w:t>参加。</w:t>
      </w:r>
    </w:p>
    <w:p w14:paraId="49F5523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5.</w:t>
      </w:r>
      <w:r>
        <w:rPr>
          <w:rFonts w:hint="default" w:ascii="Times New Roman" w:hAnsi="Times New Roman" w:cs="Times New Roman"/>
          <w:b w:val="0"/>
          <w:bCs w:val="0"/>
        </w:rPr>
        <w:t>隐患排查中发现的隐患应及时排除。一般简单的调整或修理，自行解决。难度较大的故障隐患，应报告当班领导并通知专业维修人员及时排除。</w:t>
      </w:r>
    </w:p>
    <w:p w14:paraId="15BC643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6.</w:t>
      </w:r>
      <w:r>
        <w:rPr>
          <w:rFonts w:hint="default" w:ascii="Times New Roman" w:hAnsi="Times New Roman" w:cs="Times New Roman"/>
          <w:b w:val="0"/>
          <w:bCs w:val="0"/>
        </w:rPr>
        <w:t>检查中发现重大安全隐患，必须及时报告主管领导，隐患</w:t>
      </w:r>
      <w:r>
        <w:rPr>
          <w:rFonts w:hint="eastAsia" w:cs="Times New Roman"/>
          <w:b w:val="0"/>
          <w:bCs w:val="0"/>
          <w:lang w:eastAsia="zh-CN"/>
        </w:rPr>
        <w:t>未消除前</w:t>
      </w:r>
      <w:r>
        <w:rPr>
          <w:rFonts w:hint="default" w:ascii="Times New Roman" w:hAnsi="Times New Roman" w:cs="Times New Roman"/>
          <w:b w:val="0"/>
          <w:bCs w:val="0"/>
        </w:rPr>
        <w:t>，严禁进行生产。</w:t>
      </w:r>
    </w:p>
    <w:p w14:paraId="66E0C38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7.</w:t>
      </w:r>
      <w:r>
        <w:rPr>
          <w:rFonts w:hint="default" w:ascii="Times New Roman" w:hAnsi="Times New Roman" w:cs="Times New Roman"/>
          <w:b w:val="0"/>
          <w:bCs w:val="0"/>
        </w:rPr>
        <w:t>检查中发现的问题要及时填写《隐患排查治理记录》，并把治理措施和时间要求写在相应的栏目中。</w:t>
      </w:r>
    </w:p>
    <w:p w14:paraId="1C45EBA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8.</w:t>
      </w:r>
      <w:r>
        <w:rPr>
          <w:rFonts w:hint="default" w:ascii="Times New Roman" w:hAnsi="Times New Roman" w:cs="Times New Roman"/>
          <w:b w:val="0"/>
          <w:bCs w:val="0"/>
        </w:rPr>
        <w:t>特种设备在使用中出现故障或发现异常情况及时进行全面检查，查明故障原因和异常情况原因，及时采取有效管控措施，管控措施包括工程技术、管理措施、培训教育、个体防护、应急处置等方面。必要时停止运行，安排检验检测，不得带病运行、冒险作业，待故障、异常情况消除后，方可继续使用。</w:t>
      </w:r>
    </w:p>
    <w:p w14:paraId="0957306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9.</w:t>
      </w:r>
      <w:r>
        <w:rPr>
          <w:rFonts w:hint="default" w:ascii="Times New Roman" w:hAnsi="Times New Roman" w:cs="Times New Roman"/>
          <w:b w:val="0"/>
          <w:bCs w:val="0"/>
        </w:rPr>
        <w:t>特种设备安全员要不定期的开展日常安全监督检查，对检查中发现的问题，要按其轻重缓急分别作出处理。</w:t>
      </w:r>
    </w:p>
    <w:p w14:paraId="6D0767F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10.</w:t>
      </w:r>
      <w:r>
        <w:rPr>
          <w:rFonts w:hint="default" w:ascii="Times New Roman" w:hAnsi="Times New Roman" w:cs="Times New Roman"/>
          <w:b w:val="0"/>
          <w:bCs w:val="0"/>
        </w:rPr>
        <w:t>对拒不执行检查，不履行岗位职责，因不及时检查造成设备损坏或发生事故的班组与个人，根据情节轻重和公司有关管理规定处理。</w:t>
      </w:r>
    </w:p>
    <w:p w14:paraId="4B378DA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eastAsia="zh-CN"/>
        </w:rPr>
        <w:t>（二）</w:t>
      </w:r>
      <w:r>
        <w:rPr>
          <w:rFonts w:hint="default" w:ascii="Times New Roman" w:hAnsi="Times New Roman" w:cs="Times New Roman"/>
          <w:b w:val="0"/>
          <w:bCs w:val="0"/>
        </w:rPr>
        <w:t>特种设备隐患治理</w:t>
      </w:r>
    </w:p>
    <w:p w14:paraId="31079BC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1.</w:t>
      </w:r>
      <w:r>
        <w:rPr>
          <w:rFonts w:hint="default" w:ascii="Times New Roman" w:hAnsi="Times New Roman" w:cs="Times New Roman"/>
          <w:b w:val="0"/>
          <w:bCs w:val="0"/>
        </w:rPr>
        <w:t>检查人员在检查时发现事故隐患后，能立即整改的要进行现场整改；不能立即整改的，应对隐患情况及其风险等级进行记录，并明确整改要求、整改时间、整改责任人，填写《隐患排查治理通知书》一式两份，一份交相应的责任部门，一份由特种设备管理部门存查。</w:t>
      </w:r>
    </w:p>
    <w:p w14:paraId="0955886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2.</w:t>
      </w:r>
      <w:r>
        <w:rPr>
          <w:rFonts w:hint="default" w:ascii="Times New Roman" w:hAnsi="Times New Roman" w:cs="Times New Roman"/>
          <w:b w:val="0"/>
          <w:bCs w:val="0"/>
        </w:rPr>
        <w:t>整改责任人接到《隐患排查治理通知书》后，应立即组织整改，分析隐患形成原因，评估风险等级，估算整改资金，逐项制定整改措施，在规定期限内完成隐患整改，并将整改情况报告特种设备管理部门。因故未能按时完成整改的隐患，应将原因、临时措施和整改计划报告特种设备管理部门。</w:t>
      </w:r>
    </w:p>
    <w:p w14:paraId="2358BD1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3.</w:t>
      </w:r>
      <w:r>
        <w:rPr>
          <w:rFonts w:hint="default" w:ascii="Times New Roman" w:hAnsi="Times New Roman" w:cs="Times New Roman"/>
          <w:b w:val="0"/>
          <w:bCs w:val="0"/>
        </w:rPr>
        <w:t>经评估确定为重大隐患的，特种设备管理部门应制定隐患治理方案，做到责任、措施、资金、实现和预案“五落实”，摸清隐患类别、影响范围和风险程度，制定监控措施、治理方法、治理期限，形成分析报告书，向属地特种设备安全监管部门报告。重大隐患治理方案内容包括：</w:t>
      </w:r>
    </w:p>
    <w:p w14:paraId="7DC9F8D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（1）</w:t>
      </w:r>
      <w:r>
        <w:rPr>
          <w:rFonts w:hint="default" w:ascii="Times New Roman" w:hAnsi="Times New Roman" w:cs="Times New Roman"/>
          <w:b w:val="0"/>
          <w:bCs w:val="0"/>
        </w:rPr>
        <w:t>治理目标和任务；</w:t>
      </w:r>
    </w:p>
    <w:p w14:paraId="49D7C65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（2</w:t>
      </w:r>
      <w:r>
        <w:rPr>
          <w:rFonts w:hint="eastAsia" w:cs="Times New Roman"/>
          <w:b w:val="0"/>
          <w:bCs w:val="0"/>
          <w:lang w:eastAsia="zh-CN"/>
        </w:rPr>
        <w:t>）</w:t>
      </w:r>
      <w:r>
        <w:rPr>
          <w:rFonts w:hint="default" w:ascii="Times New Roman" w:hAnsi="Times New Roman" w:cs="Times New Roman"/>
          <w:b w:val="0"/>
          <w:bCs w:val="0"/>
        </w:rPr>
        <w:t>采取的方法和措施；</w:t>
      </w:r>
    </w:p>
    <w:p w14:paraId="6EC6108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（3</w:t>
      </w:r>
      <w:r>
        <w:rPr>
          <w:rFonts w:hint="eastAsia" w:cs="Times New Roman"/>
          <w:b w:val="0"/>
          <w:bCs w:val="0"/>
          <w:lang w:eastAsia="zh-CN"/>
        </w:rPr>
        <w:t>）</w:t>
      </w:r>
      <w:r>
        <w:rPr>
          <w:rFonts w:hint="default" w:ascii="Times New Roman" w:hAnsi="Times New Roman" w:cs="Times New Roman"/>
          <w:b w:val="0"/>
          <w:bCs w:val="0"/>
        </w:rPr>
        <w:t>经费和物资的落实；</w:t>
      </w:r>
    </w:p>
    <w:p w14:paraId="2F70401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（4</w:t>
      </w:r>
      <w:r>
        <w:rPr>
          <w:rFonts w:hint="eastAsia" w:cs="Times New Roman"/>
          <w:b w:val="0"/>
          <w:bCs w:val="0"/>
          <w:lang w:eastAsia="zh-CN"/>
        </w:rPr>
        <w:t>）</w:t>
      </w:r>
      <w:r>
        <w:rPr>
          <w:rFonts w:hint="default" w:ascii="Times New Roman" w:hAnsi="Times New Roman" w:cs="Times New Roman"/>
          <w:b w:val="0"/>
          <w:bCs w:val="0"/>
        </w:rPr>
        <w:t>负责治理的机构和人员；</w:t>
      </w:r>
    </w:p>
    <w:p w14:paraId="0D7183B1">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（5</w:t>
      </w:r>
      <w:r>
        <w:rPr>
          <w:rFonts w:hint="eastAsia" w:cs="Times New Roman"/>
          <w:b w:val="0"/>
          <w:bCs w:val="0"/>
          <w:lang w:eastAsia="zh-CN"/>
        </w:rPr>
        <w:t>）</w:t>
      </w:r>
      <w:r>
        <w:rPr>
          <w:rFonts w:hint="default" w:ascii="Times New Roman" w:hAnsi="Times New Roman" w:cs="Times New Roman"/>
          <w:b w:val="0"/>
          <w:bCs w:val="0"/>
        </w:rPr>
        <w:t>治理的时限和要求；</w:t>
      </w:r>
    </w:p>
    <w:p w14:paraId="2D8D198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（6</w:t>
      </w:r>
      <w:r>
        <w:rPr>
          <w:rFonts w:hint="eastAsia" w:cs="Times New Roman"/>
          <w:b w:val="0"/>
          <w:bCs w:val="0"/>
          <w:lang w:eastAsia="zh-CN"/>
        </w:rPr>
        <w:t>）</w:t>
      </w:r>
      <w:r>
        <w:rPr>
          <w:rFonts w:hint="default" w:ascii="Times New Roman" w:hAnsi="Times New Roman" w:cs="Times New Roman"/>
          <w:b w:val="0"/>
          <w:bCs w:val="0"/>
        </w:rPr>
        <w:t>防止整改期间内发生事故，应采取的安全措施。</w:t>
      </w:r>
    </w:p>
    <w:p w14:paraId="5DF2043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4.</w:t>
      </w:r>
      <w:r>
        <w:rPr>
          <w:rFonts w:hint="default" w:ascii="Times New Roman" w:hAnsi="Times New Roman" w:cs="Times New Roman"/>
          <w:b w:val="0"/>
          <w:bCs w:val="0"/>
        </w:rPr>
        <w:t>隐患治理过程中无法保证安全的，应停产或停止使用相关特种设备，及时撤出危险区域内的作业人员，必要时向当地人民政府提出申请，配合疏散可能受到影响的周边人员。</w:t>
      </w:r>
    </w:p>
    <w:p w14:paraId="287585A8">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5.</w:t>
      </w:r>
      <w:r>
        <w:rPr>
          <w:rFonts w:hint="default" w:ascii="Times New Roman" w:hAnsi="Times New Roman" w:cs="Times New Roman"/>
          <w:b w:val="0"/>
          <w:bCs w:val="0"/>
        </w:rPr>
        <w:t>特种设备管理部门做好《隐患排查治理台账》。</w:t>
      </w:r>
    </w:p>
    <w:p w14:paraId="679EFBB7">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eastAsia="zh-CN"/>
        </w:rPr>
        <w:t>（三）</w:t>
      </w:r>
      <w:r>
        <w:rPr>
          <w:rFonts w:hint="default" w:ascii="Times New Roman" w:hAnsi="Times New Roman" w:cs="Times New Roman"/>
          <w:b w:val="0"/>
          <w:bCs w:val="0"/>
        </w:rPr>
        <w:t>建立隐患排查</w:t>
      </w:r>
      <w:r>
        <w:rPr>
          <w:rFonts w:hint="eastAsia" w:cs="Times New Roman"/>
          <w:b w:val="0"/>
          <w:bCs w:val="0"/>
          <w:lang w:eastAsia="zh-CN"/>
        </w:rPr>
        <w:t>治理</w:t>
      </w:r>
      <w:r>
        <w:rPr>
          <w:rFonts w:hint="default" w:ascii="Times New Roman" w:hAnsi="Times New Roman" w:cs="Times New Roman"/>
          <w:b w:val="0"/>
          <w:bCs w:val="0"/>
        </w:rPr>
        <w:t>档案</w:t>
      </w:r>
    </w:p>
    <w:p w14:paraId="4E9134A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val="0"/>
          <w:bCs w:val="0"/>
        </w:rPr>
      </w:pPr>
      <w:r>
        <w:rPr>
          <w:rFonts w:hint="eastAsia" w:cs="Times New Roman"/>
          <w:b w:val="0"/>
          <w:bCs w:val="0"/>
          <w:lang w:val="en-US" w:eastAsia="zh-CN"/>
        </w:rPr>
        <w:t>1.</w:t>
      </w:r>
      <w:r>
        <w:rPr>
          <w:rFonts w:hint="default" w:ascii="Times New Roman" w:hAnsi="Times New Roman" w:cs="Times New Roman"/>
          <w:b w:val="0"/>
          <w:bCs w:val="0"/>
        </w:rPr>
        <w:t>特种设备管理部门建立隐患排查档案，对安全隐患进行管理，有效预防隐患重复发生。</w:t>
      </w:r>
    </w:p>
    <w:p w14:paraId="574D10A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zCs w:val="24"/>
        </w:rPr>
      </w:pPr>
      <w:r>
        <w:rPr>
          <w:rFonts w:hint="eastAsia" w:cs="Times New Roman"/>
          <w:b w:val="0"/>
          <w:bCs w:val="0"/>
          <w:lang w:val="en-US" w:eastAsia="zh-CN"/>
        </w:rPr>
        <w:t>2.</w:t>
      </w:r>
      <w:r>
        <w:rPr>
          <w:rFonts w:hint="default" w:ascii="Times New Roman" w:hAnsi="Times New Roman" w:cs="Times New Roman"/>
          <w:b w:val="0"/>
          <w:bCs w:val="0"/>
        </w:rPr>
        <w:t>做好隐患排查治理记录，记录</w:t>
      </w:r>
      <w:r>
        <w:rPr>
          <w:rFonts w:hint="eastAsia" w:cs="Times New Roman"/>
          <w:b w:val="0"/>
          <w:bCs w:val="0"/>
          <w:lang w:eastAsia="zh-CN"/>
        </w:rPr>
        <w:t>存入安全技术档案</w:t>
      </w:r>
      <w:r>
        <w:rPr>
          <w:rFonts w:hint="default" w:ascii="Times New Roman" w:hAnsi="Times New Roman" w:cs="Times New Roman"/>
          <w:b w:val="0"/>
          <w:bCs w:val="0"/>
        </w:rPr>
        <w:t>。</w:t>
      </w:r>
    </w:p>
    <w:p w14:paraId="577665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黑体" w:hAnsi="黑体" w:eastAsia="黑体" w:cs="黑体"/>
          <w:lang w:eastAsia="zh-CN"/>
        </w:rPr>
      </w:pPr>
      <w:r>
        <w:rPr>
          <w:rFonts w:hint="eastAsia" w:ascii="黑体" w:hAnsi="黑体" w:eastAsia="黑体" w:cs="黑体"/>
          <w:lang w:eastAsia="zh-CN"/>
        </w:rPr>
        <w:t>九、</w:t>
      </w:r>
      <w:r>
        <w:rPr>
          <w:rFonts w:hint="default" w:ascii="黑体" w:hAnsi="黑体" w:eastAsia="黑体" w:cs="黑体"/>
          <w:lang w:eastAsia="zh-CN"/>
        </w:rPr>
        <w:t>特种设备应急救援管理制度</w:t>
      </w:r>
    </w:p>
    <w:p w14:paraId="0081CC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1.</w:t>
      </w:r>
      <w:r>
        <w:rPr>
          <w:rFonts w:hint="eastAsia" w:ascii="宋体" w:hAnsi="宋体" w:eastAsia="宋体" w:cs="宋体"/>
          <w:b w:val="0"/>
          <w:bCs w:val="0"/>
        </w:rPr>
        <w:t>特种设备应急救援管理坚持“以人为本，预防为主，统一领导，职责明确，快速反应”的原则。</w:t>
      </w:r>
    </w:p>
    <w:p w14:paraId="4486A3D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2.</w:t>
      </w:r>
      <w:r>
        <w:rPr>
          <w:rFonts w:hint="eastAsia" w:ascii="宋体" w:hAnsi="宋体" w:eastAsia="宋体" w:cs="宋体"/>
          <w:b w:val="0"/>
          <w:bCs w:val="0"/>
        </w:rPr>
        <w:t>公司成立以单位负责人为总指挥，各管理部门、车间负责人为成员的应急救援指挥部。应急管理机构设在特种设备安全管理部门，负责日常管理。</w:t>
      </w:r>
    </w:p>
    <w:p w14:paraId="0C7E15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3.</w:t>
      </w:r>
      <w:r>
        <w:rPr>
          <w:rFonts w:hint="eastAsia" w:ascii="宋体" w:hAnsi="宋体" w:eastAsia="宋体" w:cs="宋体"/>
          <w:b w:val="0"/>
          <w:bCs w:val="0"/>
        </w:rPr>
        <w:t>应急预案编制</w:t>
      </w:r>
    </w:p>
    <w:p w14:paraId="796A45A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1</w:t>
      </w:r>
      <w:r>
        <w:rPr>
          <w:rFonts w:hint="eastAsia" w:ascii="宋体" w:hAnsi="宋体" w:eastAsia="宋体" w:cs="宋体"/>
          <w:b w:val="0"/>
          <w:bCs w:val="0"/>
          <w:lang w:eastAsia="zh-CN"/>
        </w:rPr>
        <w:t>）</w:t>
      </w:r>
      <w:r>
        <w:rPr>
          <w:rFonts w:hint="eastAsia" w:ascii="宋体" w:hAnsi="宋体" w:eastAsia="宋体" w:cs="宋体"/>
          <w:b w:val="0"/>
          <w:bCs w:val="0"/>
        </w:rPr>
        <w:t>在风险评估和应急能力评估的基础上，按照本单位实际情况及应急预案体系要求编制相应的特种设备事故应急预案，对应急预案主要内容要素的采纳，应根据单位应急预案体系要求进行编写；并与所在地政府的相关应急预案及单位的综合应急预案衔接。</w:t>
      </w:r>
    </w:p>
    <w:p w14:paraId="499CAB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2</w:t>
      </w:r>
      <w:r>
        <w:rPr>
          <w:rFonts w:hint="eastAsia" w:ascii="宋体" w:hAnsi="宋体" w:eastAsia="宋体" w:cs="宋体"/>
          <w:b w:val="0"/>
          <w:bCs w:val="0"/>
          <w:lang w:eastAsia="zh-CN"/>
        </w:rPr>
        <w:t>）</w:t>
      </w:r>
      <w:r>
        <w:rPr>
          <w:rFonts w:hint="eastAsia" w:ascii="宋体" w:hAnsi="宋体" w:eastAsia="宋体" w:cs="宋体"/>
          <w:b w:val="0"/>
          <w:bCs w:val="0"/>
        </w:rPr>
        <w:t>应急管理机构根据GB／T 33942《特种设备应急预案编制导则》组织编制特种设备事故应急专项预案，纳入公司安全生产综合应急预案，并保持与上级部门应急预案的衔接。根据国家法律法规及实际演练情况，适时修订预案，做到科学、易操作。应包括以下附件内容：</w:t>
      </w:r>
    </w:p>
    <w:p w14:paraId="237B9B2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1</w:t>
      </w:r>
      <w:r>
        <w:rPr>
          <w:rFonts w:hint="eastAsia" w:ascii="宋体" w:hAnsi="宋体" w:eastAsia="宋体" w:cs="宋体"/>
          <w:b w:val="0"/>
          <w:bCs w:val="0"/>
          <w:lang w:eastAsia="zh-CN"/>
        </w:rPr>
        <w:t>）</w:t>
      </w:r>
      <w:r>
        <w:rPr>
          <w:rFonts w:hint="eastAsia" w:ascii="宋体" w:hAnsi="宋体" w:eastAsia="宋体" w:cs="宋体"/>
          <w:b w:val="0"/>
          <w:bCs w:val="0"/>
        </w:rPr>
        <w:t>单位区位图、涉及特种没备配置的平面布置图、周边重要防护目标分布图；</w:t>
      </w:r>
    </w:p>
    <w:p w14:paraId="6D5E5F3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2</w:t>
      </w:r>
      <w:r>
        <w:rPr>
          <w:rFonts w:hint="eastAsia" w:ascii="宋体" w:hAnsi="宋体" w:eastAsia="宋体" w:cs="宋体"/>
          <w:b w:val="0"/>
          <w:bCs w:val="0"/>
          <w:lang w:eastAsia="zh-CN"/>
        </w:rPr>
        <w:t>）</w:t>
      </w:r>
      <w:r>
        <w:rPr>
          <w:rFonts w:hint="eastAsia" w:ascii="宋体" w:hAnsi="宋体" w:eastAsia="宋体" w:cs="宋体"/>
          <w:b w:val="0"/>
          <w:bCs w:val="0"/>
        </w:rPr>
        <w:t>设备一览表；</w:t>
      </w:r>
    </w:p>
    <w:p w14:paraId="2E1626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3</w:t>
      </w:r>
      <w:r>
        <w:rPr>
          <w:rFonts w:hint="eastAsia" w:ascii="宋体" w:hAnsi="宋体" w:eastAsia="宋体" w:cs="宋体"/>
          <w:b w:val="0"/>
          <w:bCs w:val="0"/>
          <w:lang w:eastAsia="zh-CN"/>
        </w:rPr>
        <w:t>）</w:t>
      </w:r>
      <w:r>
        <w:rPr>
          <w:rFonts w:hint="eastAsia" w:ascii="宋体" w:hAnsi="宋体" w:eastAsia="宋体" w:cs="宋体"/>
          <w:b w:val="0"/>
          <w:bCs w:val="0"/>
        </w:rPr>
        <w:t>应急设施设备、物资清单及布置图；</w:t>
      </w:r>
    </w:p>
    <w:p w14:paraId="4AD35D5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4</w:t>
      </w:r>
      <w:r>
        <w:rPr>
          <w:rFonts w:hint="eastAsia" w:ascii="宋体" w:hAnsi="宋体" w:eastAsia="宋体" w:cs="宋体"/>
          <w:b w:val="0"/>
          <w:bCs w:val="0"/>
          <w:lang w:eastAsia="zh-CN"/>
        </w:rPr>
        <w:t>）</w:t>
      </w:r>
      <w:r>
        <w:rPr>
          <w:rFonts w:hint="eastAsia" w:ascii="宋体" w:hAnsi="宋体" w:eastAsia="宋体" w:cs="宋体"/>
          <w:b w:val="0"/>
          <w:bCs w:val="0"/>
        </w:rPr>
        <w:t>疏散线路图、安置场所位置图；</w:t>
      </w:r>
    </w:p>
    <w:p w14:paraId="777CC5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5</w:t>
      </w:r>
      <w:r>
        <w:rPr>
          <w:rFonts w:hint="eastAsia" w:ascii="宋体" w:hAnsi="宋体" w:eastAsia="宋体" w:cs="宋体"/>
          <w:b w:val="0"/>
          <w:bCs w:val="0"/>
          <w:lang w:eastAsia="zh-CN"/>
        </w:rPr>
        <w:t>）</w:t>
      </w:r>
      <w:r>
        <w:rPr>
          <w:rFonts w:hint="eastAsia" w:ascii="宋体" w:hAnsi="宋体" w:eastAsia="宋体" w:cs="宋体"/>
          <w:b w:val="0"/>
          <w:bCs w:val="0"/>
        </w:rPr>
        <w:t>应急指挥机构组织图、应急救援流程图；</w:t>
      </w:r>
    </w:p>
    <w:p w14:paraId="20492F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6</w:t>
      </w:r>
      <w:r>
        <w:rPr>
          <w:rFonts w:hint="eastAsia" w:ascii="宋体" w:hAnsi="宋体" w:eastAsia="宋体" w:cs="宋体"/>
          <w:b w:val="0"/>
          <w:bCs w:val="0"/>
          <w:lang w:eastAsia="zh-CN"/>
        </w:rPr>
        <w:t>）</w:t>
      </w:r>
      <w:r>
        <w:rPr>
          <w:rFonts w:hint="eastAsia" w:ascii="宋体" w:hAnsi="宋体" w:eastAsia="宋体" w:cs="宋体"/>
          <w:b w:val="0"/>
          <w:bCs w:val="0"/>
        </w:rPr>
        <w:t>单位内部应急机构、人员联系表；</w:t>
      </w:r>
    </w:p>
    <w:p w14:paraId="04A9F12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7</w:t>
      </w:r>
      <w:r>
        <w:rPr>
          <w:rFonts w:hint="eastAsia" w:ascii="宋体" w:hAnsi="宋体" w:eastAsia="宋体" w:cs="宋体"/>
          <w:b w:val="0"/>
          <w:bCs w:val="0"/>
          <w:lang w:eastAsia="zh-CN"/>
        </w:rPr>
        <w:t>）</w:t>
      </w:r>
      <w:r>
        <w:rPr>
          <w:rFonts w:hint="eastAsia" w:ascii="宋体" w:hAnsi="宋体" w:eastAsia="宋体" w:cs="宋体"/>
          <w:b w:val="0"/>
          <w:bCs w:val="0"/>
        </w:rPr>
        <w:t>单位外部相关机构(政府有关部门、协议救援单位、就近医疗机构)联系方式；</w:t>
      </w:r>
    </w:p>
    <w:p w14:paraId="6F0FFC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8</w:t>
      </w:r>
      <w:r>
        <w:rPr>
          <w:rFonts w:hint="eastAsia" w:ascii="宋体" w:hAnsi="宋体" w:eastAsia="宋体" w:cs="宋体"/>
          <w:b w:val="0"/>
          <w:bCs w:val="0"/>
          <w:lang w:eastAsia="zh-CN"/>
        </w:rPr>
        <w:t>）</w:t>
      </w:r>
      <w:r>
        <w:rPr>
          <w:rFonts w:hint="eastAsia" w:ascii="宋体" w:hAnsi="宋体" w:eastAsia="宋体" w:cs="宋体"/>
          <w:b w:val="0"/>
          <w:bCs w:val="0"/>
        </w:rPr>
        <w:t>现场应急处置方案及操作程序(附操作流程图)；</w:t>
      </w:r>
    </w:p>
    <w:p w14:paraId="5C2E579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9</w:t>
      </w:r>
      <w:r>
        <w:rPr>
          <w:rFonts w:hint="eastAsia" w:ascii="宋体" w:hAnsi="宋体" w:eastAsia="宋体" w:cs="宋体"/>
          <w:b w:val="0"/>
          <w:bCs w:val="0"/>
          <w:lang w:eastAsia="zh-CN"/>
        </w:rPr>
        <w:t>）</w:t>
      </w:r>
      <w:r>
        <w:rPr>
          <w:rFonts w:hint="eastAsia" w:ascii="宋体" w:hAnsi="宋体" w:eastAsia="宋体" w:cs="宋体"/>
          <w:b w:val="0"/>
          <w:bCs w:val="0"/>
        </w:rPr>
        <w:t>信息接收、处理、上报等规范化格式文本；</w:t>
      </w:r>
    </w:p>
    <w:p w14:paraId="34341C3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10</w:t>
      </w:r>
      <w:r>
        <w:rPr>
          <w:rFonts w:hint="eastAsia" w:ascii="宋体" w:hAnsi="宋体" w:eastAsia="宋体" w:cs="宋体"/>
          <w:b w:val="0"/>
          <w:bCs w:val="0"/>
          <w:lang w:eastAsia="zh-CN"/>
        </w:rPr>
        <w:t>）</w:t>
      </w:r>
      <w:r>
        <w:rPr>
          <w:rFonts w:hint="eastAsia" w:ascii="宋体" w:hAnsi="宋体" w:eastAsia="宋体" w:cs="宋体"/>
          <w:b w:val="0"/>
          <w:bCs w:val="0"/>
        </w:rPr>
        <w:t>有关制度、程序、方案等。</w:t>
      </w:r>
    </w:p>
    <w:p w14:paraId="3A649EE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4.</w:t>
      </w:r>
      <w:r>
        <w:rPr>
          <w:rFonts w:hint="eastAsia" w:ascii="宋体" w:hAnsi="宋体" w:eastAsia="宋体" w:cs="宋体"/>
          <w:b w:val="0"/>
          <w:bCs w:val="0"/>
        </w:rPr>
        <w:t>组织应急预案培训，培训内容应当包括：</w:t>
      </w:r>
    </w:p>
    <w:p w14:paraId="55ACD61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1</w:t>
      </w:r>
      <w:r>
        <w:rPr>
          <w:rFonts w:hint="eastAsia" w:ascii="宋体" w:hAnsi="宋体" w:eastAsia="宋体" w:cs="宋体"/>
          <w:b w:val="0"/>
          <w:bCs w:val="0"/>
          <w:lang w:eastAsia="zh-CN"/>
        </w:rPr>
        <w:t>）</w:t>
      </w:r>
      <w:r>
        <w:rPr>
          <w:rFonts w:hint="eastAsia" w:ascii="宋体" w:hAnsi="宋体" w:eastAsia="宋体" w:cs="宋体"/>
          <w:b w:val="0"/>
          <w:bCs w:val="0"/>
        </w:rPr>
        <w:t>特种设备安全常识教育，如事故预防、危险辨识、基本救护常识、避灾避险、逃生自救等；</w:t>
      </w:r>
    </w:p>
    <w:p w14:paraId="026BF78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2</w:t>
      </w:r>
      <w:r>
        <w:rPr>
          <w:rFonts w:hint="eastAsia" w:ascii="宋体" w:hAnsi="宋体" w:eastAsia="宋体" w:cs="宋体"/>
          <w:b w:val="0"/>
          <w:bCs w:val="0"/>
          <w:lang w:eastAsia="zh-CN"/>
        </w:rPr>
        <w:t>）</w:t>
      </w:r>
      <w:r>
        <w:rPr>
          <w:rFonts w:hint="eastAsia" w:ascii="宋体" w:hAnsi="宋体" w:eastAsia="宋体" w:cs="宋体"/>
          <w:b w:val="0"/>
          <w:bCs w:val="0"/>
        </w:rPr>
        <w:t>特种设备应急知识教育，包括特种设备应急救援操作规范、应急救援安全防护知识、应急处置工作制度和程序等知识，如事故报告、应急响应、各类事故处置方案；</w:t>
      </w:r>
    </w:p>
    <w:p w14:paraId="609112F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3</w:t>
      </w:r>
      <w:r>
        <w:rPr>
          <w:rFonts w:hint="eastAsia" w:ascii="宋体" w:hAnsi="宋体" w:eastAsia="宋体" w:cs="宋体"/>
          <w:b w:val="0"/>
          <w:bCs w:val="0"/>
          <w:lang w:eastAsia="zh-CN"/>
        </w:rPr>
        <w:t>）</w:t>
      </w:r>
      <w:r>
        <w:rPr>
          <w:rFonts w:hint="eastAsia" w:ascii="宋体" w:hAnsi="宋体" w:eastAsia="宋体" w:cs="宋体"/>
          <w:b w:val="0"/>
          <w:bCs w:val="0"/>
        </w:rPr>
        <w:t>特种设备应急相关法律法规教育。</w:t>
      </w:r>
    </w:p>
    <w:p w14:paraId="282733D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5.</w:t>
      </w:r>
      <w:r>
        <w:rPr>
          <w:rFonts w:hint="eastAsia" w:ascii="宋体" w:hAnsi="宋体" w:eastAsia="宋体" w:cs="宋体"/>
          <w:b w:val="0"/>
          <w:bCs w:val="0"/>
        </w:rPr>
        <w:t>应急预案演练。</w:t>
      </w:r>
      <w:r>
        <w:rPr>
          <w:rFonts w:hint="eastAsia" w:ascii="宋体" w:hAnsi="宋体" w:cs="宋体"/>
          <w:b w:val="0"/>
          <w:bCs w:val="0"/>
          <w:lang w:eastAsia="zh-CN"/>
        </w:rPr>
        <w:t>年初制定特种设备年度</w:t>
      </w:r>
      <w:r>
        <w:rPr>
          <w:rFonts w:hint="eastAsia" w:ascii="宋体" w:hAnsi="宋体" w:eastAsia="宋体" w:cs="宋体"/>
          <w:b w:val="0"/>
          <w:bCs w:val="0"/>
        </w:rPr>
        <w:t>应急演练计划</w:t>
      </w:r>
      <w:r>
        <w:rPr>
          <w:rFonts w:hint="eastAsia" w:ascii="宋体" w:hAnsi="宋体" w:cs="宋体"/>
          <w:b w:val="0"/>
          <w:bCs w:val="0"/>
          <w:lang w:eastAsia="zh-CN"/>
        </w:rPr>
        <w:t>（可结合本企业整体应急演练计划制定）</w:t>
      </w:r>
      <w:r>
        <w:rPr>
          <w:rFonts w:hint="eastAsia" w:ascii="宋体" w:hAnsi="宋体" w:eastAsia="宋体" w:cs="宋体"/>
          <w:b w:val="0"/>
          <w:bCs w:val="0"/>
        </w:rPr>
        <w:t xml:space="preserve">，根据设备类别以及相应特种设备安全技术规范的要求，每年至少演练一次，提高应急队伍的反应速度和实战能力，并做好演练记录和总结。 </w:t>
      </w:r>
    </w:p>
    <w:p w14:paraId="68DD9D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6.</w:t>
      </w:r>
      <w:r>
        <w:rPr>
          <w:rFonts w:hint="eastAsia" w:ascii="宋体" w:hAnsi="宋体" w:eastAsia="宋体" w:cs="宋体"/>
          <w:b w:val="0"/>
          <w:bCs w:val="0"/>
        </w:rPr>
        <w:t>应急救援通讯设备保障。明确与应急工作相关的单位或人员的通讯联系方式，并提供备用方案。要对电话等通信器材进行经常性维护或更新，确保通讯畅通。</w:t>
      </w:r>
    </w:p>
    <w:p w14:paraId="19D9FBF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7.</w:t>
      </w:r>
      <w:r>
        <w:rPr>
          <w:rFonts w:hint="eastAsia" w:ascii="宋体" w:hAnsi="宋体" w:eastAsia="宋体" w:cs="宋体"/>
          <w:b w:val="0"/>
          <w:bCs w:val="0"/>
        </w:rPr>
        <w:t>成立应急救援队伍，人员由各部门、班组主要负责人及重要员工组成，明确各专业应急队伍及负责人的通讯联络方式，建立人员联络表，并进行经常性的训练，熟练掌握基本的救护常识和救援能力。</w:t>
      </w:r>
    </w:p>
    <w:p w14:paraId="5516CF2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8.</w:t>
      </w:r>
      <w:r>
        <w:rPr>
          <w:rFonts w:hint="eastAsia" w:ascii="宋体" w:hAnsi="宋体" w:eastAsia="宋体" w:cs="宋体"/>
          <w:b w:val="0"/>
          <w:bCs w:val="0"/>
        </w:rPr>
        <w:t>应急救援物资装备保障。根据公司应急预案做好应急救援设备、器材、防护用品、工具、材料、药品等的保障工作，编制应急救援物资清单。确保经费、物资供应，切实加强应急保障能力，并对应急救援设备、设施定期进行检测、维护、更新，确保性能完好。</w:t>
      </w:r>
    </w:p>
    <w:p w14:paraId="10567C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9.</w:t>
      </w:r>
      <w:r>
        <w:rPr>
          <w:rFonts w:hint="eastAsia" w:ascii="宋体" w:hAnsi="宋体" w:eastAsia="宋体" w:cs="宋体"/>
          <w:b w:val="0"/>
          <w:bCs w:val="0"/>
        </w:rPr>
        <w:t>应急救援处置。事故发生后，立即启动应急救援预案，以营救遇险人员为重点，开展应急救援工作；要采取必要措施，防止发生次生、衍生事故，避免造成更大的人员伤亡、财产损失和环境污染；要及时组织受威胁群众疏散、转移，做好安置工作。</w:t>
      </w:r>
    </w:p>
    <w:p w14:paraId="5EBA893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10.</w:t>
      </w:r>
      <w:r>
        <w:rPr>
          <w:rFonts w:hint="eastAsia" w:ascii="宋体" w:hAnsi="宋体" w:eastAsia="宋体" w:cs="宋体"/>
          <w:b w:val="0"/>
          <w:bCs w:val="0"/>
        </w:rPr>
        <w:t>应急救援协议。充分利用社会应急资源，与地方政府预案及相关部门的预案和应急组织衔接。根据相关规定，公司可与当地相关部门签订救援协议。</w:t>
      </w:r>
    </w:p>
    <w:p w14:paraId="3AB50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val="0"/>
          <w:bCs w:val="0"/>
        </w:rPr>
      </w:pPr>
      <w:r>
        <w:rPr>
          <w:rFonts w:hint="eastAsia" w:cs="宋体"/>
          <w:b w:val="0"/>
          <w:bCs w:val="0"/>
          <w:lang w:val="en-US" w:eastAsia="zh-CN"/>
        </w:rPr>
        <w:t>11.</w:t>
      </w:r>
      <w:r>
        <w:rPr>
          <w:rFonts w:hint="eastAsia" w:ascii="宋体" w:hAnsi="宋体" w:eastAsia="宋体" w:cs="宋体"/>
          <w:b w:val="0"/>
          <w:bCs w:val="0"/>
        </w:rPr>
        <w:t>明确应急专项经费来源、使用范围、数量和监督管理措施。应急管理费用由应急管理机构提出，经单位负责人审批，财务部</w:t>
      </w:r>
      <w:r>
        <w:rPr>
          <w:rFonts w:hint="eastAsia" w:cs="宋体"/>
          <w:b w:val="0"/>
          <w:bCs w:val="0"/>
          <w:lang w:eastAsia="zh-CN"/>
        </w:rPr>
        <w:t>门</w:t>
      </w:r>
      <w:r>
        <w:rPr>
          <w:rFonts w:hint="eastAsia" w:ascii="宋体" w:hAnsi="宋体" w:eastAsia="宋体" w:cs="宋体"/>
          <w:b w:val="0"/>
          <w:bCs w:val="0"/>
        </w:rPr>
        <w:t>予以保障。</w:t>
      </w:r>
    </w:p>
    <w:p w14:paraId="311085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黑体" w:hAnsi="黑体" w:eastAsia="黑体" w:cs="黑体"/>
        </w:rPr>
      </w:pPr>
      <w:r>
        <w:rPr>
          <w:rFonts w:hint="eastAsia" w:ascii="黑体" w:hAnsi="黑体" w:eastAsia="黑体" w:cs="黑体"/>
          <w:lang w:eastAsia="zh-CN"/>
        </w:rPr>
        <w:t>十、</w:t>
      </w:r>
      <w:r>
        <w:rPr>
          <w:rFonts w:hint="eastAsia" w:ascii="黑体" w:hAnsi="黑体" w:eastAsia="黑体" w:cs="黑体"/>
        </w:rPr>
        <w:t>特种设备安全事故报告处理制度</w:t>
      </w:r>
    </w:p>
    <w:p w14:paraId="1C7B99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(一)事故报告</w:t>
      </w:r>
    </w:p>
    <w:p w14:paraId="182A08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val="0"/>
          <w:bCs w:val="0"/>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事故发生后，事故</w:t>
      </w:r>
      <w:r>
        <w:rPr>
          <w:rFonts w:hint="eastAsia" w:asciiTheme="minorEastAsia" w:hAnsiTheme="minorEastAsia" w:eastAsiaTheme="minorEastAsia" w:cstheme="minorEastAsia"/>
          <w:lang w:eastAsia="zh-CN"/>
        </w:rPr>
        <w:t>现场</w:t>
      </w:r>
      <w:r>
        <w:rPr>
          <w:rFonts w:hint="eastAsia" w:asciiTheme="minorEastAsia" w:hAnsiTheme="minorEastAsia" w:eastAsiaTheme="minorEastAsia" w:cstheme="minorEastAsia"/>
        </w:rPr>
        <w:t>当事人或发现人应立即向</w:t>
      </w:r>
      <w:r>
        <w:rPr>
          <w:rFonts w:hint="eastAsia" w:asciiTheme="minorEastAsia" w:hAnsiTheme="minorEastAsia" w:eastAsiaTheme="minorEastAsia" w:cstheme="minorEastAsia"/>
          <w:lang w:eastAsia="zh-CN"/>
        </w:rPr>
        <w:t>单位</w:t>
      </w:r>
      <w:r>
        <w:rPr>
          <w:rFonts w:hint="eastAsia" w:asciiTheme="minorEastAsia" w:hAnsiTheme="minorEastAsia" w:eastAsiaTheme="minorEastAsia" w:cstheme="minorEastAsia"/>
        </w:rPr>
        <w:t>安全管理部门和单位领导进行报告</w:t>
      </w:r>
      <w:r>
        <w:rPr>
          <w:rFonts w:hint="eastAsia" w:asciiTheme="minorEastAsia" w:hAnsiTheme="minorEastAsia" w:eastAsiaTheme="minorEastAsia" w:cstheme="minorEastAsia"/>
          <w:lang w:eastAsia="zh-CN"/>
        </w:rPr>
        <w:t>，同时</w:t>
      </w:r>
      <w:r>
        <w:rPr>
          <w:rFonts w:hint="eastAsia" w:ascii="宋体" w:hAnsi="宋体" w:eastAsia="宋体" w:cs="宋体"/>
          <w:b w:val="0"/>
          <w:bCs w:val="0"/>
        </w:rPr>
        <w:t>按照《特种设备事故报告和调查处理规定》的要求，向特种设备安全监管部门和有关部门报告。</w:t>
      </w:r>
    </w:p>
    <w:p w14:paraId="5B2C00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b w:val="0"/>
          <w:bCs w:val="0"/>
        </w:rPr>
      </w:pPr>
      <w:r>
        <w:rPr>
          <w:rFonts w:hint="eastAsia" w:asciiTheme="minorEastAsia" w:hAnsiTheme="minorEastAsia" w:eastAsiaTheme="minorEastAsia" w:cstheme="minorEastAsia"/>
          <w:lang w:val="en-US" w:eastAsia="zh-CN"/>
        </w:rPr>
        <w:t>2.</w:t>
      </w:r>
      <w:r>
        <w:rPr>
          <w:rFonts w:hint="eastAsia" w:ascii="宋体" w:hAnsi="宋体" w:eastAsia="宋体" w:cs="宋体"/>
          <w:b w:val="0"/>
          <w:bCs w:val="0"/>
        </w:rPr>
        <w:t>内部报告。事故发生时，事故现场负责人应立即拨打公司应急电活，值班人员接到报警后迅速查明事故发生的部位和原因，并迅速向单位负责人报告。事故现场负责人和单位负责人按预警级别和信息报告流程图逐级上报。紧急情况下，可越级报告，或拨打110或119，有人员受伤严重的拨打120。信息传递以最方便的通讯工具为宜。</w:t>
      </w:r>
    </w:p>
    <w:p w14:paraId="6FCABC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val="0"/>
          <w:lang w:val="en-US" w:eastAsia="zh-CN"/>
        </w:rPr>
      </w:pPr>
      <w:r>
        <w:rPr>
          <w:rFonts w:hint="eastAsia" w:cs="宋体"/>
          <w:b w:val="0"/>
          <w:bCs w:val="0"/>
          <w:lang w:val="en-US" w:eastAsia="zh-CN"/>
        </w:rPr>
        <w:t>3.</w:t>
      </w:r>
      <w:r>
        <w:rPr>
          <w:rFonts w:hint="eastAsia" w:ascii="宋体" w:hAnsi="宋体" w:eastAsia="宋体" w:cs="宋体"/>
          <w:b w:val="0"/>
          <w:bCs w:val="0"/>
        </w:rPr>
        <w:t>外部报告。事故发生后，事故现场有关人员应当立即向公司负责人报告；公司负责人接到报告后，应当于1小时内向事故发生地的县级以上市场监督管理部门和有关部门报告。情况紧急时，事故现场有关人员可以直接向事故发生地的县级以上市场监督管理部门报告。</w:t>
      </w:r>
    </w:p>
    <w:p w14:paraId="7DF1AD4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Theme="minorEastAsia" w:hAnsiTheme="minorEastAsia" w:eastAsiaTheme="minorEastAsia" w:cstheme="minorEastAsia"/>
          <w:lang w:val="en-US" w:eastAsia="zh-CN"/>
        </w:rPr>
        <w:t>4.</w:t>
      </w:r>
      <w:r>
        <w:rPr>
          <w:rFonts w:hint="eastAsia" w:ascii="宋体" w:hAnsi="宋体" w:eastAsia="宋体" w:cs="宋体"/>
          <w:b w:val="0"/>
          <w:bCs w:val="0"/>
        </w:rPr>
        <w:t>事故报告应包括以下内容：</w:t>
      </w:r>
    </w:p>
    <w:p w14:paraId="17DC34E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1</w:t>
      </w:r>
      <w:r>
        <w:rPr>
          <w:rFonts w:hint="eastAsia" w:ascii="宋体" w:hAnsi="宋体" w:eastAsia="宋体" w:cs="宋体"/>
          <w:b w:val="0"/>
          <w:bCs w:val="0"/>
          <w:lang w:eastAsia="zh-CN"/>
        </w:rPr>
        <w:t>）</w:t>
      </w:r>
      <w:r>
        <w:rPr>
          <w:rFonts w:hint="eastAsia" w:ascii="宋体" w:hAnsi="宋体" w:eastAsia="宋体" w:cs="宋体"/>
          <w:b w:val="0"/>
          <w:bCs w:val="0"/>
        </w:rPr>
        <w:t>事故发生的时间、地点、单位概况以及特种设备种类；</w:t>
      </w:r>
    </w:p>
    <w:p w14:paraId="1F950CA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2</w:t>
      </w:r>
      <w:r>
        <w:rPr>
          <w:rFonts w:hint="eastAsia" w:ascii="宋体" w:hAnsi="宋体" w:eastAsia="宋体" w:cs="宋体"/>
          <w:b w:val="0"/>
          <w:bCs w:val="0"/>
          <w:lang w:eastAsia="zh-CN"/>
        </w:rPr>
        <w:t>）</w:t>
      </w:r>
      <w:r>
        <w:rPr>
          <w:rFonts w:hint="eastAsia" w:ascii="宋体" w:hAnsi="宋体" w:eastAsia="宋体" w:cs="宋体"/>
          <w:b w:val="0"/>
          <w:bCs w:val="0"/>
        </w:rPr>
        <w:t>事故发生初步情况，包括事故简要经过、现场破坏情况、已经造成或者可能造成的伤亡和涉险人数、初步估计的直观经济损失、初步确定的事故等级、初步判断的事故原因；</w:t>
      </w:r>
    </w:p>
    <w:p w14:paraId="4F59376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3</w:t>
      </w:r>
      <w:r>
        <w:rPr>
          <w:rFonts w:hint="eastAsia" w:ascii="宋体" w:hAnsi="宋体" w:eastAsia="宋体" w:cs="宋体"/>
          <w:b w:val="0"/>
          <w:bCs w:val="0"/>
          <w:lang w:eastAsia="zh-CN"/>
        </w:rPr>
        <w:t>）</w:t>
      </w:r>
      <w:r>
        <w:rPr>
          <w:rFonts w:hint="eastAsia" w:ascii="宋体" w:hAnsi="宋体" w:eastAsia="宋体" w:cs="宋体"/>
          <w:b w:val="0"/>
          <w:bCs w:val="0"/>
        </w:rPr>
        <w:t>已经采取的措施；</w:t>
      </w:r>
    </w:p>
    <w:p w14:paraId="7E9E16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4</w:t>
      </w:r>
      <w:r>
        <w:rPr>
          <w:rFonts w:hint="eastAsia" w:ascii="宋体" w:hAnsi="宋体" w:eastAsia="宋体" w:cs="宋体"/>
          <w:b w:val="0"/>
          <w:bCs w:val="0"/>
          <w:lang w:eastAsia="zh-CN"/>
        </w:rPr>
        <w:t>）</w:t>
      </w:r>
      <w:r>
        <w:rPr>
          <w:rFonts w:hint="eastAsia" w:ascii="宋体" w:hAnsi="宋体" w:eastAsia="宋体" w:cs="宋体"/>
          <w:b w:val="0"/>
          <w:bCs w:val="0"/>
        </w:rPr>
        <w:t>报告人姓名、联系电话；</w:t>
      </w:r>
    </w:p>
    <w:p w14:paraId="064D461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5</w:t>
      </w:r>
      <w:r>
        <w:rPr>
          <w:rFonts w:hint="eastAsia" w:ascii="宋体" w:hAnsi="宋体" w:eastAsia="宋体" w:cs="宋体"/>
          <w:b w:val="0"/>
          <w:bCs w:val="0"/>
          <w:lang w:eastAsia="zh-CN"/>
        </w:rPr>
        <w:t>）</w:t>
      </w:r>
      <w:r>
        <w:rPr>
          <w:rFonts w:hint="eastAsia" w:ascii="宋体" w:hAnsi="宋体" w:eastAsia="宋体" w:cs="宋体"/>
          <w:b w:val="0"/>
          <w:bCs w:val="0"/>
        </w:rPr>
        <w:t>其他有必要报告的情况。</w:t>
      </w:r>
    </w:p>
    <w:p w14:paraId="3C4DCA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发生事故先兆和重大未遂事件时，事故发生部门应及时向单位安全管理部门和领导进行报告。</w:t>
      </w:r>
    </w:p>
    <w:p w14:paraId="3B846A1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6.</w:t>
      </w:r>
      <w:r>
        <w:rPr>
          <w:rFonts w:hint="eastAsia" w:ascii="宋体" w:hAnsi="宋体" w:eastAsia="宋体" w:cs="宋体"/>
          <w:b w:val="0"/>
          <w:bCs w:val="0"/>
        </w:rPr>
        <w:t>特种设备事故报告应当及时、准确、完整，任何单位和个人不得迟报、漏报、谎报或者瞒报。</w:t>
      </w:r>
    </w:p>
    <w:p w14:paraId="601980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(二)事故现场处置</w:t>
      </w:r>
    </w:p>
    <w:p w14:paraId="3A8C43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宋体" w:hAnsi="宋体" w:eastAsia="宋体" w:cs="宋体"/>
          <w:b w:val="0"/>
          <w:bCs w:val="0"/>
        </w:rPr>
        <w:t>事故发生后，立即启动事故应急预案，</w:t>
      </w:r>
      <w:r>
        <w:rPr>
          <w:rFonts w:hint="eastAsia" w:asciiTheme="minorEastAsia" w:hAnsiTheme="minorEastAsia" w:eastAsiaTheme="minorEastAsia" w:cstheme="minorEastAsia"/>
        </w:rPr>
        <w:t>迅速组织应急</w:t>
      </w:r>
      <w:r>
        <w:rPr>
          <w:rFonts w:hint="eastAsia" w:asciiTheme="minorEastAsia" w:hAnsiTheme="minorEastAsia" w:eastAsiaTheme="minorEastAsia" w:cstheme="minorEastAsia"/>
          <w:lang w:eastAsia="zh-CN"/>
        </w:rPr>
        <w:t>救援</w:t>
      </w:r>
      <w:r>
        <w:rPr>
          <w:rFonts w:hint="eastAsia" w:asciiTheme="minorEastAsia" w:hAnsiTheme="minorEastAsia" w:eastAsiaTheme="minorEastAsia" w:cstheme="minorEastAsia"/>
        </w:rPr>
        <w:t>，立即撤离现场施工人员，防止事故蔓延、扩大，并负责对现场实施保护。</w:t>
      </w:r>
    </w:p>
    <w:p w14:paraId="726288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事故发生后导致人员伤亡时，迅速组织对受伤人员</w:t>
      </w:r>
      <w:r>
        <w:rPr>
          <w:rFonts w:hint="eastAsia" w:asciiTheme="minorEastAsia" w:hAnsiTheme="minorEastAsia" w:eastAsiaTheme="minorEastAsia" w:cstheme="minorEastAsia"/>
          <w:lang w:eastAsia="zh-CN"/>
        </w:rPr>
        <w:t>进行</w:t>
      </w:r>
      <w:r>
        <w:rPr>
          <w:rFonts w:hint="eastAsia" w:asciiTheme="minorEastAsia" w:hAnsiTheme="minorEastAsia" w:eastAsiaTheme="minorEastAsia" w:cstheme="minorEastAsia"/>
        </w:rPr>
        <w:t>救护。</w:t>
      </w:r>
    </w:p>
    <w:p w14:paraId="09B565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保护好事故现场，积极配合事故调查组调查、取证，为调查组提供一切便利。不得拒绝调查，不得拒绝提供有关情况和资料。若发现有上述违规现象，除对责任者视情节给予通报批评和罚款外，责任者还必须承担由此产生的一切</w:t>
      </w:r>
      <w:r>
        <w:rPr>
          <w:rFonts w:hint="eastAsia" w:asciiTheme="minorEastAsia" w:hAnsiTheme="minorEastAsia" w:eastAsiaTheme="minorEastAsia" w:cstheme="minorEastAsia"/>
          <w:lang w:eastAsia="zh-CN"/>
        </w:rPr>
        <w:t>法律</w:t>
      </w:r>
      <w:r>
        <w:rPr>
          <w:rFonts w:hint="eastAsia" w:asciiTheme="minorEastAsia" w:hAnsiTheme="minorEastAsia" w:eastAsiaTheme="minorEastAsia" w:cstheme="minorEastAsia"/>
        </w:rPr>
        <w:t>后果。</w:t>
      </w:r>
    </w:p>
    <w:p w14:paraId="32B9575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Theme="minorEastAsia" w:hAnsiTheme="minorEastAsia" w:eastAsiaTheme="minorEastAsia" w:cstheme="minorEastAsia"/>
        </w:rPr>
        <w:t>(三)</w:t>
      </w:r>
      <w:r>
        <w:rPr>
          <w:rFonts w:hint="eastAsia" w:ascii="宋体" w:hAnsi="宋体" w:eastAsia="宋体" w:cs="宋体"/>
          <w:b w:val="0"/>
          <w:bCs w:val="0"/>
        </w:rPr>
        <w:t>事故的调查</w:t>
      </w:r>
    </w:p>
    <w:p w14:paraId="527A23F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1.</w:t>
      </w:r>
      <w:r>
        <w:rPr>
          <w:rFonts w:hint="eastAsia" w:ascii="宋体" w:hAnsi="宋体" w:eastAsia="宋体" w:cs="宋体"/>
          <w:b w:val="0"/>
          <w:bCs w:val="0"/>
        </w:rPr>
        <w:t>发生特种设备事故后，公司配合有关部门进行事故调查并做好善后处理工作。</w:t>
      </w:r>
    </w:p>
    <w:p w14:paraId="434130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2.</w:t>
      </w:r>
      <w:r>
        <w:rPr>
          <w:rFonts w:hint="eastAsia" w:ascii="宋体" w:hAnsi="宋体" w:eastAsia="宋体" w:cs="宋体"/>
          <w:b w:val="0"/>
          <w:bCs w:val="0"/>
        </w:rPr>
        <w:t>发生特种设备事故后，应当妥善保护事故现场以及相关证据，及时收集、整理有关资料，为事故调查做好准备；必要时，应当对设备、场地、资料进行封存，由专人看管。</w:t>
      </w:r>
    </w:p>
    <w:p w14:paraId="372AD7D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3.因抢救人员、防止事故扩大以及疏通交通等原因，需要移动事故现场物件的，负责移动的单位或者相关人员应当做好标志，绘制现场简图并做出书面记录，妥善保存现场重要痕迹、物证。有条件的，应当现场制作视听资料。</w:t>
      </w:r>
    </w:p>
    <w:p w14:paraId="62DCF42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4.</w:t>
      </w:r>
      <w:r>
        <w:rPr>
          <w:rFonts w:hint="eastAsia" w:ascii="宋体" w:hAnsi="宋体" w:eastAsia="宋体" w:cs="宋体"/>
          <w:b w:val="0"/>
          <w:bCs w:val="0"/>
        </w:rPr>
        <w:t>事故调查期间，任何单位和个人不得擅自移动事故相关设备，不得毁灭相关资料、伪造或者故意破坏事故现场。</w:t>
      </w:r>
    </w:p>
    <w:p w14:paraId="78FD09D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5.</w:t>
      </w:r>
      <w:r>
        <w:rPr>
          <w:rFonts w:hint="eastAsia" w:ascii="宋体" w:hAnsi="宋体" w:eastAsia="宋体" w:cs="宋体"/>
          <w:b w:val="0"/>
          <w:bCs w:val="0"/>
        </w:rPr>
        <w:t>公司负责人和有关人员在事故调查期间不得擅离职守，应当随时接受事故调查组的询问，如实提供有关情况或者资料。参与事故调查、技术鉴定、损失评估等有关人员不得擅自泄露有关事故信息。</w:t>
      </w:r>
    </w:p>
    <w:p w14:paraId="382A0E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（四）</w:t>
      </w:r>
      <w:r>
        <w:rPr>
          <w:rFonts w:hint="eastAsia" w:asciiTheme="minorEastAsia" w:hAnsiTheme="minorEastAsia" w:eastAsiaTheme="minorEastAsia" w:cstheme="minorEastAsia"/>
        </w:rPr>
        <w:t>事故处理</w:t>
      </w:r>
    </w:p>
    <w:p w14:paraId="2C89E5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事故处理要坚持“四不放过”的原则，即事故原因没有查清不放过；事故责任者没有严肃处理不放过；广大员工没有受到教育不放过；防范措施没有落实不放过。</w:t>
      </w:r>
    </w:p>
    <w:p w14:paraId="3C8652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在进行事故调查分析的基础上，事故责任单位应根据事故调查报告中提出的事故纠正与预防措施建议，编制详细的纠正与预防措施，经公司安全管理部门审批后，严格组织实施，事故纠正与预防措施实施后，由公司安全管理部门实施验证。</w:t>
      </w:r>
    </w:p>
    <w:p w14:paraId="45C102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对事故责任单位和责任人，由单位依据事故调查报告中对事故责任单位和责任人的处理意见和建议，进行行政处分和经济处罚，触犯刑律构成犯罪的交由司法机关依法追究刑事责任。</w:t>
      </w:r>
    </w:p>
    <w:p w14:paraId="34D5D9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对事故造成的伤亡人员工伤认定、劳动鉴定、工伤评残和工伤保险待遇处理，按照国家有关规定进行处置。</w:t>
      </w:r>
    </w:p>
    <w:p w14:paraId="013C2B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事故调查处理结束后，安全管理部门应负责将事故详情、原因及责任人处理等编印成事故通报，组织全体职工进行学习，从中吸取教训，防止事故的再次发生。</w:t>
      </w:r>
    </w:p>
    <w:p w14:paraId="66C0E5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6</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事故处理结案后，安全管理部门应负责将事故调查处理资料收集整理后实施归档管理。</w:t>
      </w:r>
    </w:p>
    <w:p w14:paraId="572B45F3">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黑体" w:hAnsi="黑体" w:eastAsia="黑体" w:cs="黑体"/>
        </w:rPr>
      </w:pPr>
      <w:r>
        <w:rPr>
          <w:rFonts w:hint="eastAsia" w:ascii="黑体" w:hAnsi="黑体" w:eastAsia="黑体" w:cs="黑体"/>
          <w:lang w:eastAsia="zh-CN"/>
        </w:rPr>
        <w:t>十一</w:t>
      </w:r>
      <w:r>
        <w:rPr>
          <w:rFonts w:hint="eastAsia" w:ascii="黑体" w:hAnsi="黑体" w:eastAsia="黑体" w:cs="黑体"/>
        </w:rPr>
        <w:t>、特种设备</w:t>
      </w:r>
      <w:r>
        <w:rPr>
          <w:rFonts w:hint="eastAsia" w:ascii="黑体" w:hAnsi="黑体" w:eastAsia="黑体" w:cs="黑体"/>
          <w:lang w:eastAsia="zh-CN"/>
        </w:rPr>
        <w:t>从业</w:t>
      </w:r>
      <w:r>
        <w:rPr>
          <w:rFonts w:hint="eastAsia" w:ascii="黑体" w:hAnsi="黑体" w:eastAsia="黑体" w:cs="黑体"/>
        </w:rPr>
        <w:t>人员安全教育培训制度</w:t>
      </w:r>
    </w:p>
    <w:p w14:paraId="4A4B6E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w:t>
      </w:r>
      <w:r>
        <w:rPr>
          <w:rFonts w:hint="default" w:ascii="Times New Roman" w:hAnsi="Times New Roman" w:cs="Times New Roman"/>
          <w:b w:val="0"/>
          <w:bCs w:val="0"/>
        </w:rPr>
        <w:t>安全管理部门</w:t>
      </w:r>
      <w:r>
        <w:rPr>
          <w:rFonts w:hint="eastAsia" w:asciiTheme="minorEastAsia" w:hAnsiTheme="minorEastAsia" w:eastAsiaTheme="minorEastAsia" w:cstheme="minorEastAsia"/>
        </w:rPr>
        <w:t>应当加强对特种设备</w:t>
      </w:r>
      <w:r>
        <w:rPr>
          <w:rFonts w:hint="eastAsia" w:asciiTheme="minorEastAsia" w:hAnsiTheme="minorEastAsia" w:eastAsiaTheme="minorEastAsia" w:cstheme="minorEastAsia"/>
          <w:lang w:eastAsia="zh-CN"/>
        </w:rPr>
        <w:t>从业</w:t>
      </w:r>
      <w:r>
        <w:rPr>
          <w:rFonts w:hint="eastAsia" w:asciiTheme="minorEastAsia" w:hAnsiTheme="minorEastAsia" w:eastAsiaTheme="minorEastAsia" w:cstheme="minorEastAsia"/>
        </w:rPr>
        <w:t>人员安全教育和培训，保证特种设备</w:t>
      </w:r>
      <w:r>
        <w:rPr>
          <w:rFonts w:hint="eastAsia" w:asciiTheme="minorEastAsia" w:hAnsiTheme="minorEastAsia" w:eastAsiaTheme="minorEastAsia" w:cstheme="minorEastAsia"/>
          <w:lang w:eastAsia="zh-CN"/>
        </w:rPr>
        <w:t>从业</w:t>
      </w:r>
      <w:r>
        <w:rPr>
          <w:rFonts w:hint="eastAsia" w:asciiTheme="minorEastAsia" w:hAnsiTheme="minorEastAsia" w:eastAsiaTheme="minorEastAsia" w:cstheme="minorEastAsia"/>
        </w:rPr>
        <w:t>人员具备必要的特种设备安全知识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作业技能和及时地进行知识更新。没有培训能力的，可以委托</w:t>
      </w:r>
      <w:r>
        <w:rPr>
          <w:rFonts w:hint="eastAsia" w:asciiTheme="minorEastAsia" w:hAnsiTheme="minorEastAsia" w:eastAsiaTheme="minorEastAsia" w:cstheme="minorEastAsia"/>
          <w:lang w:eastAsia="zh-CN"/>
        </w:rPr>
        <w:t>其他有能力的单位和机构</w:t>
      </w:r>
      <w:r>
        <w:rPr>
          <w:rFonts w:hint="eastAsia" w:asciiTheme="minorEastAsia" w:hAnsiTheme="minorEastAsia" w:eastAsiaTheme="minorEastAsia" w:cstheme="minorEastAsia"/>
        </w:rPr>
        <w:t>组织培训。</w:t>
      </w:r>
    </w:p>
    <w:p w14:paraId="1203DE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从事特种设备作业的相关</w:t>
      </w:r>
      <w:r>
        <w:rPr>
          <w:rFonts w:hint="eastAsia" w:asciiTheme="minorEastAsia" w:hAnsiTheme="minorEastAsia" w:eastAsiaTheme="minorEastAsia" w:cstheme="minorEastAsia"/>
          <w:lang w:eastAsia="zh-CN"/>
        </w:rPr>
        <w:t>安全</w:t>
      </w:r>
      <w:r>
        <w:rPr>
          <w:rFonts w:hint="eastAsia" w:asciiTheme="minorEastAsia" w:hAnsiTheme="minorEastAsia" w:eastAsiaTheme="minorEastAsia" w:cstheme="minorEastAsia"/>
        </w:rPr>
        <w:t>管理人员和操作人员，必须经特种设备安全监督管理部门考核合格，取得《特种设备</w:t>
      </w:r>
      <w:r>
        <w:rPr>
          <w:rFonts w:hint="eastAsia" w:asciiTheme="minorEastAsia" w:hAnsiTheme="minorEastAsia" w:eastAsiaTheme="minorEastAsia" w:cstheme="minorEastAsia"/>
          <w:lang w:eastAsia="zh-CN"/>
        </w:rPr>
        <w:t>安全管理和</w:t>
      </w:r>
      <w:r>
        <w:rPr>
          <w:rFonts w:hint="eastAsia" w:asciiTheme="minorEastAsia" w:hAnsiTheme="minorEastAsia" w:eastAsiaTheme="minorEastAsia" w:cstheme="minorEastAsia"/>
        </w:rPr>
        <w:t>作业人员证》后，方可</w:t>
      </w:r>
      <w:r>
        <w:rPr>
          <w:rFonts w:hint="eastAsia" w:asciiTheme="minorEastAsia" w:hAnsiTheme="minorEastAsia" w:eastAsiaTheme="minorEastAsia" w:cstheme="minorEastAsia"/>
          <w:lang w:eastAsia="zh-CN"/>
        </w:rPr>
        <w:t>上</w:t>
      </w:r>
      <w:r>
        <w:rPr>
          <w:rFonts w:hint="eastAsia" w:asciiTheme="minorEastAsia" w:hAnsiTheme="minorEastAsia" w:eastAsiaTheme="minorEastAsia" w:cstheme="minorEastAsia"/>
        </w:rPr>
        <w:t>岗作业。</w:t>
      </w:r>
    </w:p>
    <w:p w14:paraId="33A791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建立特种设备</w:t>
      </w:r>
      <w:r>
        <w:rPr>
          <w:rFonts w:hint="eastAsia" w:asciiTheme="minorEastAsia" w:hAnsiTheme="minorEastAsia" w:eastAsiaTheme="minorEastAsia" w:cstheme="minorEastAsia"/>
          <w:lang w:eastAsia="zh-CN"/>
        </w:rPr>
        <w:t>安全管理和</w:t>
      </w:r>
      <w:r>
        <w:rPr>
          <w:rFonts w:hint="eastAsia" w:asciiTheme="minorEastAsia" w:hAnsiTheme="minorEastAsia" w:eastAsiaTheme="minorEastAsia" w:cstheme="minorEastAsia"/>
        </w:rPr>
        <w:t>作业人员</w:t>
      </w:r>
      <w:r>
        <w:rPr>
          <w:rFonts w:hint="default" w:ascii="Times New Roman" w:hAnsi="Times New Roman" w:cs="Times New Roman"/>
          <w:b w:val="0"/>
          <w:bCs w:val="0"/>
        </w:rPr>
        <w:t>管理台账和</w:t>
      </w:r>
      <w:r>
        <w:rPr>
          <w:rFonts w:hint="eastAsia" w:asciiTheme="minorEastAsia" w:hAnsiTheme="minorEastAsia" w:eastAsiaTheme="minorEastAsia" w:cstheme="minorEastAsia"/>
        </w:rPr>
        <w:t>档案</w:t>
      </w:r>
      <w:r>
        <w:rPr>
          <w:rFonts w:hint="eastAsia" w:asciiTheme="minorEastAsia" w:hAnsiTheme="minorEastAsia" w:eastAsiaTheme="minorEastAsia" w:cstheme="minorEastAsia"/>
          <w:lang w:eastAsia="zh-CN"/>
        </w:rPr>
        <w:t>，</w:t>
      </w:r>
      <w:r>
        <w:rPr>
          <w:rFonts w:hint="default" w:ascii="Times New Roman" w:hAnsi="Times New Roman" w:cs="Times New Roman"/>
          <w:b w:val="0"/>
          <w:bCs w:val="0"/>
        </w:rPr>
        <w:t>根据本公司特种设备使用情况按规定要求配备相应的安全管理员和作业人员</w:t>
      </w:r>
      <w:r>
        <w:rPr>
          <w:rFonts w:hint="eastAsia" w:asciiTheme="minorEastAsia" w:hAnsiTheme="minorEastAsia" w:eastAsiaTheme="minorEastAsia" w:cstheme="minorEastAsia"/>
        </w:rPr>
        <w:t>。持证人员应当在复审期满3个月前，向发证部门提出复审，逾期未复审，或复审不合格的，将不得继续从事相应的特种设备作业工作。</w:t>
      </w:r>
    </w:p>
    <w:p w14:paraId="5140F5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 w:val="0"/>
          <w:bCs w:val="0"/>
        </w:rPr>
      </w:pP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en-US" w:eastAsia="zh-CN"/>
        </w:rPr>
        <w:t>.</w:t>
      </w:r>
      <w:r>
        <w:rPr>
          <w:rFonts w:hint="default" w:ascii="Times New Roman" w:hAnsi="Times New Roman" w:cs="Times New Roman"/>
          <w:b w:val="0"/>
          <w:bCs w:val="0"/>
        </w:rPr>
        <w:t>每年年初制定特种设备安全管理和作业人员</w:t>
      </w:r>
      <w:r>
        <w:rPr>
          <w:rFonts w:hint="eastAsia" w:ascii="Times New Roman" w:hAnsi="Times New Roman" w:cs="Times New Roman"/>
          <w:b w:val="0"/>
          <w:bCs w:val="0"/>
          <w:lang w:eastAsia="zh-CN"/>
        </w:rPr>
        <w:t>年度</w:t>
      </w:r>
      <w:r>
        <w:rPr>
          <w:rFonts w:hint="default" w:ascii="Times New Roman" w:hAnsi="Times New Roman" w:cs="Times New Roman"/>
          <w:b w:val="0"/>
          <w:bCs w:val="0"/>
        </w:rPr>
        <w:t>培训计划，纳入公司培训总计划。</w:t>
      </w:r>
    </w:p>
    <w:p w14:paraId="7D8FB6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特种设备</w:t>
      </w:r>
      <w:r>
        <w:rPr>
          <w:rFonts w:hint="eastAsia" w:asciiTheme="minorEastAsia" w:hAnsiTheme="minorEastAsia" w:eastAsiaTheme="minorEastAsia" w:cstheme="minorEastAsia"/>
          <w:lang w:eastAsia="zh-CN"/>
        </w:rPr>
        <w:t>从业</w:t>
      </w:r>
      <w:r>
        <w:rPr>
          <w:rFonts w:hint="eastAsia" w:asciiTheme="minorEastAsia" w:hAnsiTheme="minorEastAsia" w:eastAsiaTheme="minorEastAsia" w:cstheme="minorEastAsia"/>
        </w:rPr>
        <w:t>人员除参加特种设备监督管理部门组织的培训考核外，还应加强内部的安全教育和培训。</w:t>
      </w:r>
    </w:p>
    <w:p w14:paraId="3DB5CC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特种设备</w:t>
      </w:r>
      <w:r>
        <w:rPr>
          <w:rFonts w:hint="eastAsia" w:asciiTheme="minorEastAsia" w:hAnsiTheme="minorEastAsia" w:eastAsiaTheme="minorEastAsia" w:cstheme="minorEastAsia"/>
          <w:lang w:eastAsia="zh-CN"/>
        </w:rPr>
        <w:t>从业</w:t>
      </w:r>
      <w:r>
        <w:rPr>
          <w:rFonts w:hint="eastAsia" w:asciiTheme="minorEastAsia" w:hAnsiTheme="minorEastAsia" w:eastAsiaTheme="minorEastAsia" w:cstheme="minorEastAsia"/>
        </w:rPr>
        <w:t>人员培训教育形式可采用安全活动日，各种安全会议，班前班后会、标语、简报、黑板报、广播、电视、播放录像等开展安全生产经常性教育。</w:t>
      </w:r>
    </w:p>
    <w:p w14:paraId="6BCFC8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rPr>
        <w:t>特种设备作业人员培训教育内容应包括</w:t>
      </w:r>
    </w:p>
    <w:p w14:paraId="1560A4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（1）国家有关安全生产法律、法规和规定，特种设备法规及有关安全技术规范；</w:t>
      </w:r>
    </w:p>
    <w:p w14:paraId="54F586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（2）本单位安全管理规章制度及状况，劳动纪律和事故案例；</w:t>
      </w:r>
    </w:p>
    <w:p w14:paraId="6BE9F9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（3）在用特种设备的性能、结构工艺特点和安全装置、安全设施、安全监测监控仪器的作用，防护用品的使用和保养方法；</w:t>
      </w:r>
    </w:p>
    <w:p w14:paraId="585EA6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（4）特种设备操作规程和急救措施；</w:t>
      </w:r>
    </w:p>
    <w:p w14:paraId="62C67F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（5）安全生产基本知识，消防知识及有害气体防护常识。</w:t>
      </w:r>
    </w:p>
    <w:p w14:paraId="74AC144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仿宋_GB2312" w:cs="Times New Roman"/>
          <w:b w:val="0"/>
          <w:bCs w:val="0"/>
          <w:szCs w:val="24"/>
        </w:rPr>
      </w:pPr>
      <w:r>
        <w:rPr>
          <w:rFonts w:hint="eastAsia" w:eastAsia="黑体" w:cs="Times New Roman"/>
          <w:b w:val="0"/>
          <w:bCs w:val="0"/>
          <w:sz w:val="28"/>
          <w:szCs w:val="28"/>
          <w:lang w:val="en-US" w:eastAsia="zh-CN"/>
        </w:rPr>
        <w:t>8.</w:t>
      </w:r>
      <w:r>
        <w:rPr>
          <w:rFonts w:hint="default" w:ascii="Times New Roman" w:hAnsi="Times New Roman" w:cs="Times New Roman"/>
          <w:b w:val="0"/>
          <w:bCs w:val="0"/>
        </w:rPr>
        <w:t>应对教育培训效果进行评价，并保存教育培训记录。</w:t>
      </w:r>
    </w:p>
    <w:p w14:paraId="2222A632">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黑体" w:hAnsi="黑体" w:eastAsia="黑体" w:cs="黑体"/>
          <w:lang w:eastAsia="zh-CN"/>
        </w:rPr>
      </w:pPr>
      <w:r>
        <w:rPr>
          <w:rFonts w:hint="eastAsia" w:ascii="黑体" w:hAnsi="黑体" w:eastAsia="黑体" w:cs="黑体"/>
          <w:lang w:eastAsia="zh-CN"/>
        </w:rPr>
        <w:t>十二、</w:t>
      </w:r>
      <w:r>
        <w:rPr>
          <w:rFonts w:hint="default" w:ascii="黑体" w:hAnsi="黑体" w:eastAsia="黑体" w:cs="黑体"/>
          <w:lang w:eastAsia="zh-CN"/>
        </w:rPr>
        <w:t>高耗能特种设备节能管理制度</w:t>
      </w:r>
    </w:p>
    <w:p w14:paraId="00184B9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1.</w:t>
      </w:r>
      <w:r>
        <w:rPr>
          <w:rFonts w:hint="eastAsia" w:ascii="宋体" w:hAnsi="宋体" w:eastAsia="宋体" w:cs="宋体"/>
          <w:b w:val="0"/>
          <w:bCs w:val="0"/>
        </w:rPr>
        <w:t>严格执行《特种设备安全法》《高耗能特种设备节能监督管理办法》（2020年10月23日国家市监总局令第31号修订）等法律、法规、特种设备安全技术规范和标准的要求，确保设备及其相关系统安全、经济运行。不得使用不符合安全性能要求和能效指标的特种设备，以及国家产业政策明令淘汰的特种设备。对在用国家明令淘汰的高耗能特种设备，应当在规定的期限内予以改造或者更换。到期未改造或者更换的，不得继续使用。</w:t>
      </w:r>
    </w:p>
    <w:p w14:paraId="6DFB3D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 xml:space="preserve"> </w:t>
      </w:r>
      <w:r>
        <w:rPr>
          <w:rFonts w:hint="eastAsia" w:ascii="宋体" w:hAnsi="宋体" w:cs="宋体"/>
          <w:b w:val="0"/>
          <w:bCs w:val="0"/>
          <w:lang w:val="en-US" w:eastAsia="zh-CN"/>
        </w:rPr>
        <w:t>2.</w:t>
      </w:r>
      <w:r>
        <w:rPr>
          <w:rFonts w:hint="eastAsia" w:ascii="宋体" w:hAnsi="宋体" w:eastAsia="宋体" w:cs="宋体"/>
          <w:b w:val="0"/>
          <w:bCs w:val="0"/>
        </w:rPr>
        <w:t>高耗能特种设备，是指在使用过程中能源消耗量或者转换量大，并具有较大节能空间的锅炉、换热压力容器等特种设备。单位建立健全经济运行、能效计量监控与统计、能效考核等节能管理制度和岗位责任制度。</w:t>
      </w:r>
    </w:p>
    <w:p w14:paraId="7C6D55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 xml:space="preserve"> 3</w:t>
      </w:r>
      <w:r>
        <w:rPr>
          <w:rFonts w:hint="eastAsia" w:ascii="宋体" w:hAnsi="宋体" w:cs="宋体"/>
          <w:b w:val="0"/>
          <w:bCs w:val="0"/>
          <w:lang w:val="en-US" w:eastAsia="zh-CN"/>
        </w:rPr>
        <w:t>.</w:t>
      </w:r>
      <w:r>
        <w:rPr>
          <w:rFonts w:hint="eastAsia" w:ascii="宋体" w:hAnsi="宋体" w:eastAsia="宋体" w:cs="宋体"/>
          <w:b w:val="0"/>
          <w:bCs w:val="0"/>
        </w:rPr>
        <w:t>建立高耗能特种设备安全技术档案，至少应当包括以下内容：</w:t>
      </w:r>
    </w:p>
    <w:p w14:paraId="79FF324B">
      <w:pPr>
        <w:keepNext w:val="0"/>
        <w:keepLines w:val="0"/>
        <w:pageBreakBefore w:val="0"/>
        <w:widowControl w:val="0"/>
        <w:numPr>
          <w:ilvl w:val="0"/>
          <w:numId w:val="29"/>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含有设计能效指标的设计文件；</w:t>
      </w:r>
    </w:p>
    <w:p w14:paraId="25F3DA0F">
      <w:pPr>
        <w:keepNext w:val="0"/>
        <w:keepLines w:val="0"/>
        <w:pageBreakBefore w:val="0"/>
        <w:widowControl w:val="0"/>
        <w:numPr>
          <w:ilvl w:val="0"/>
          <w:numId w:val="29"/>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能效测试报告；</w:t>
      </w:r>
    </w:p>
    <w:p w14:paraId="343D5B77">
      <w:pPr>
        <w:keepNext w:val="0"/>
        <w:keepLines w:val="0"/>
        <w:pageBreakBefore w:val="0"/>
        <w:widowControl w:val="0"/>
        <w:numPr>
          <w:ilvl w:val="0"/>
          <w:numId w:val="29"/>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设备经济运行文件和操作说明书；</w:t>
      </w:r>
    </w:p>
    <w:p w14:paraId="2CE57572">
      <w:pPr>
        <w:keepNext w:val="0"/>
        <w:keepLines w:val="0"/>
        <w:pageBreakBefore w:val="0"/>
        <w:widowControl w:val="0"/>
        <w:numPr>
          <w:ilvl w:val="0"/>
          <w:numId w:val="29"/>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日常运行能效监控记录、能耗状况记录；</w:t>
      </w:r>
    </w:p>
    <w:p w14:paraId="52533012">
      <w:pPr>
        <w:keepNext w:val="0"/>
        <w:keepLines w:val="0"/>
        <w:pageBreakBefore w:val="0"/>
        <w:widowControl w:val="0"/>
        <w:numPr>
          <w:ilvl w:val="0"/>
          <w:numId w:val="29"/>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节能改造技术资料；</w:t>
      </w:r>
    </w:p>
    <w:p w14:paraId="0738688A">
      <w:pPr>
        <w:keepNext w:val="0"/>
        <w:keepLines w:val="0"/>
        <w:pageBreakBefore w:val="0"/>
        <w:widowControl w:val="0"/>
        <w:numPr>
          <w:ilvl w:val="0"/>
          <w:numId w:val="29"/>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eastAsia="宋体" w:cs="宋体"/>
          <w:b w:val="0"/>
          <w:bCs w:val="0"/>
        </w:rPr>
        <w:t>能效定期检查记录。</w:t>
      </w:r>
    </w:p>
    <w:p w14:paraId="1269523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4.</w:t>
      </w:r>
      <w:r>
        <w:rPr>
          <w:rFonts w:hint="eastAsia" w:ascii="宋体" w:hAnsi="宋体" w:eastAsia="宋体" w:cs="宋体"/>
          <w:b w:val="0"/>
          <w:bCs w:val="0"/>
        </w:rPr>
        <w:t>使用符合能效指标要求的特种设备，按照有关特种设备安全技术规范、标准或者出厂文件的要求配备、安装辅机设备和能效监控装置、能源计量器具，并记录相关数据。</w:t>
      </w:r>
    </w:p>
    <w:p w14:paraId="5B4982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5.</w:t>
      </w:r>
      <w:r>
        <w:rPr>
          <w:rFonts w:hint="eastAsia" w:ascii="宋体" w:hAnsi="宋体" w:eastAsia="宋体" w:cs="宋体"/>
          <w:b w:val="0"/>
          <w:bCs w:val="0"/>
        </w:rPr>
        <w:t>开展节能教育和培训，提高作业人员的节能意识和操作水平，确保特种设备安全、经济运行。对特种设备作业人员进行特种设备安全、节能管理知识教育和节能操作技能培训，保证特种设备作业人员具备必要的特种设备安全、节能知识。高耗能特种设备的作业人员应当严格执行操作规程和节能管理制度。</w:t>
      </w:r>
    </w:p>
    <w:p w14:paraId="64212D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6.</w:t>
      </w:r>
      <w:r>
        <w:rPr>
          <w:rFonts w:hint="eastAsia" w:ascii="宋体" w:hAnsi="宋体" w:eastAsia="宋体" w:cs="宋体"/>
          <w:b w:val="0"/>
          <w:bCs w:val="0"/>
        </w:rPr>
        <w:t>锅炉使用应当按照特种设备安全技术规范的要求进行锅炉水（介）质处理，接受特种设备检验检测机构实施的水（介）质处理定期检验，保障锅炉安全运行、提高能源利用效率。</w:t>
      </w:r>
    </w:p>
    <w:p w14:paraId="10688D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rPr>
      </w:pPr>
      <w:r>
        <w:rPr>
          <w:rFonts w:hint="eastAsia" w:ascii="宋体" w:hAnsi="宋体" w:cs="宋体"/>
          <w:b w:val="0"/>
          <w:bCs w:val="0"/>
          <w:lang w:val="en-US" w:eastAsia="zh-CN"/>
        </w:rPr>
        <w:t>7.</w:t>
      </w:r>
      <w:r>
        <w:rPr>
          <w:rFonts w:hint="eastAsia" w:ascii="宋体" w:hAnsi="宋体" w:eastAsia="宋体" w:cs="宋体"/>
          <w:b w:val="0"/>
          <w:bCs w:val="0"/>
        </w:rPr>
        <w:t>锅炉清洗应当按照有关特种设备安全技术规范的要求对锅炉进行清洗，接受特种设备检验检测机构实施的锅炉清洗过程监督检验，保证锅炉清洗工作安全有效进行。</w:t>
      </w:r>
    </w:p>
    <w:p w14:paraId="666A1B8C">
      <w:pPr>
        <w:bidi w:val="0"/>
        <w:rPr>
          <w:rFonts w:hint="eastAsia"/>
          <w:lang w:eastAsia="zh-CN"/>
        </w:rPr>
      </w:pPr>
      <w:r>
        <w:rPr>
          <w:rFonts w:hint="eastAsia"/>
        </w:rPr>
        <w:t xml:space="preserve"> 8</w:t>
      </w:r>
      <w:r>
        <w:rPr>
          <w:rFonts w:hint="eastAsia"/>
          <w:lang w:val="en-US" w:eastAsia="zh-CN"/>
        </w:rPr>
        <w:t>.</w:t>
      </w:r>
      <w:r>
        <w:rPr>
          <w:rFonts w:hint="eastAsia"/>
        </w:rPr>
        <w:t>定期向相关检测机构申请对特种设备安全性能检验和能效测试，高耗能特种设备及其系统的运行能效不符合特种设备安全技术规范等有关规范和标准要求的，应当分析原因，采取有效措施，实施整改或者节能改造。整改或者改造后仍不符合能效指标要求的，不得继续使用，及时办理停用手续</w:t>
      </w:r>
      <w:r>
        <w:rPr>
          <w:rFonts w:hint="eastAsia"/>
          <w:lang w:eastAsia="zh-CN"/>
        </w:rPr>
        <w:t>。</w:t>
      </w:r>
    </w:p>
    <w:p w14:paraId="718EC00D">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黑体" w:hAnsi="黑体" w:eastAsia="黑体" w:cs="黑体"/>
          <w:lang w:eastAsia="zh-CN"/>
        </w:rPr>
      </w:pPr>
      <w:r>
        <w:rPr>
          <w:rFonts w:hint="eastAsia" w:ascii="黑体" w:hAnsi="黑体" w:eastAsia="黑体" w:cs="黑体"/>
          <w:lang w:eastAsia="zh-CN"/>
        </w:rPr>
        <w:t>十三、</w:t>
      </w:r>
      <w:r>
        <w:rPr>
          <w:rFonts w:hint="default" w:ascii="黑体" w:hAnsi="黑体" w:eastAsia="黑体" w:cs="黑体"/>
          <w:lang w:eastAsia="zh-CN"/>
        </w:rPr>
        <w:t>特种设备安全风险日管控、周排查、月调度管理制度</w:t>
      </w:r>
    </w:p>
    <w:p w14:paraId="09ECF602">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eastAsia="zh-CN"/>
        </w:rPr>
        <w:t>（一）</w:t>
      </w:r>
      <w:r>
        <w:rPr>
          <w:rFonts w:hint="eastAsia" w:asciiTheme="minorEastAsia" w:hAnsiTheme="minorEastAsia" w:eastAsiaTheme="minorEastAsia" w:cstheme="minorEastAsia"/>
          <w:b w:val="0"/>
          <w:bCs w:val="0"/>
          <w:color w:val="000000"/>
          <w:sz w:val="24"/>
          <w:szCs w:val="24"/>
        </w:rPr>
        <w:t>目的</w:t>
      </w:r>
    </w:p>
    <w:p w14:paraId="4D83FC25">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rPr>
        <w:t>为了落实本企业（单位）特种设备使用安全主体责任，强化主要负责人特种设备安全责任，规范特种设备安全管理人员行为,根据《中华人民共和国特种设备安全法》《特种设备安全监察条例》及《特种设备使用单位落实使用安全主体责任监督管理规定》（总局令第</w:t>
      </w:r>
      <w:r>
        <w:rPr>
          <w:rFonts w:hint="eastAsia" w:asciiTheme="minorEastAsia" w:hAnsiTheme="minorEastAsia" w:eastAsiaTheme="minorEastAsia" w:cstheme="minorEastAsia"/>
          <w:b w:val="0"/>
          <w:bCs w:val="0"/>
          <w:color w:val="000000"/>
          <w:sz w:val="24"/>
          <w:szCs w:val="24"/>
          <w:lang w:val="en-US" w:eastAsia="zh-CN"/>
        </w:rPr>
        <w:t>74</w:t>
      </w:r>
      <w:r>
        <w:rPr>
          <w:rFonts w:hint="eastAsia" w:asciiTheme="minorEastAsia" w:hAnsiTheme="minorEastAsia" w:eastAsiaTheme="minorEastAsia" w:cstheme="minorEastAsia"/>
          <w:b w:val="0"/>
          <w:bCs w:val="0"/>
          <w:color w:val="000000"/>
          <w:sz w:val="24"/>
          <w:szCs w:val="24"/>
        </w:rPr>
        <w:t>号）等法律法规的规定，结合本单位实际情况制定本制度。</w:t>
      </w:r>
    </w:p>
    <w:p w14:paraId="3A786E3F">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eastAsia="zh-CN"/>
        </w:rPr>
        <w:t>（二）</w:t>
      </w:r>
      <w:r>
        <w:rPr>
          <w:rFonts w:hint="eastAsia" w:asciiTheme="minorEastAsia" w:hAnsiTheme="minorEastAsia" w:eastAsiaTheme="minorEastAsia" w:cstheme="minorEastAsia"/>
          <w:b w:val="0"/>
          <w:bCs w:val="0"/>
          <w:color w:val="000000"/>
          <w:sz w:val="24"/>
          <w:szCs w:val="24"/>
        </w:rPr>
        <w:t>范围</w:t>
      </w:r>
    </w:p>
    <w:p w14:paraId="60FC4EE0">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color w:val="000000"/>
          <w:sz w:val="24"/>
          <w:szCs w:val="24"/>
        </w:rPr>
        <w:t>适用于本企业（单位）内对特种设备使用安全风险隐患管控有关的管理层及各职能有关人员</w:t>
      </w:r>
      <w:r>
        <w:rPr>
          <w:rFonts w:hint="eastAsia" w:asciiTheme="minorEastAsia" w:hAnsiTheme="minorEastAsia" w:eastAsiaTheme="minorEastAsia" w:cstheme="minorEastAsia"/>
          <w:b w:val="0"/>
          <w:bCs w:val="0"/>
          <w:color w:val="000000"/>
          <w:sz w:val="24"/>
          <w:szCs w:val="24"/>
          <w:lang w:eastAsia="zh-CN"/>
        </w:rPr>
        <w:t>。</w:t>
      </w:r>
    </w:p>
    <w:p w14:paraId="37701C36">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eastAsia="zh-CN"/>
        </w:rPr>
        <w:t>（三）</w:t>
      </w:r>
      <w:r>
        <w:rPr>
          <w:rFonts w:hint="eastAsia" w:asciiTheme="minorEastAsia" w:hAnsiTheme="minorEastAsia" w:eastAsiaTheme="minorEastAsia" w:cstheme="minorEastAsia"/>
          <w:b w:val="0"/>
          <w:bCs w:val="0"/>
          <w:color w:val="000000"/>
          <w:sz w:val="24"/>
          <w:szCs w:val="24"/>
        </w:rPr>
        <w:t>职责</w:t>
      </w:r>
    </w:p>
    <w:p w14:paraId="41E6B5DA">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1.</w:t>
      </w:r>
      <w:r>
        <w:rPr>
          <w:rFonts w:hint="eastAsia" w:asciiTheme="minorEastAsia" w:hAnsiTheme="minorEastAsia" w:eastAsiaTheme="minorEastAsia" w:cstheme="minorEastAsia"/>
          <w:b w:val="0"/>
          <w:bCs w:val="0"/>
          <w:color w:val="000000"/>
          <w:sz w:val="24"/>
          <w:szCs w:val="24"/>
        </w:rPr>
        <w:t>本企业（单位）主要负责人对本单位特种设备使用安全工作全面负责，建立并落实特种设备使用安全主体责任的长效机制。</w:t>
      </w:r>
    </w:p>
    <w:p w14:paraId="47BB5F6E">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2.</w:t>
      </w:r>
      <w:r>
        <w:rPr>
          <w:rFonts w:hint="eastAsia" w:asciiTheme="minorEastAsia" w:hAnsiTheme="minorEastAsia" w:eastAsiaTheme="minorEastAsia" w:cstheme="minorEastAsia"/>
          <w:b w:val="0"/>
          <w:bCs w:val="0"/>
          <w:color w:val="000000"/>
          <w:sz w:val="24"/>
          <w:szCs w:val="24"/>
        </w:rPr>
        <w:t>特种设备安全总监负责特种设备安全风险日管控、周排查、月调度管理制度的编制、修改及更新。</w:t>
      </w:r>
    </w:p>
    <w:p w14:paraId="5A897189">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color w:val="000000"/>
          <w:sz w:val="24"/>
          <w:szCs w:val="24"/>
          <w:lang w:val="en-US" w:eastAsia="zh-CN" w:bidi="en-US"/>
        </w:rPr>
        <w:t>3.</w:t>
      </w:r>
      <w:r>
        <w:rPr>
          <w:rFonts w:hint="eastAsia" w:asciiTheme="minorEastAsia" w:hAnsiTheme="minorEastAsia" w:eastAsiaTheme="minorEastAsia" w:cstheme="minorEastAsia"/>
          <w:b w:val="0"/>
          <w:bCs w:val="0"/>
          <w:color w:val="000000"/>
          <w:sz w:val="24"/>
          <w:szCs w:val="24"/>
        </w:rPr>
        <w:t>特种设备安全员按照要求落实特种设备安全风险日管控相关工作，按照制度要求及时上报特种设备安全总监或单位主要负责人</w:t>
      </w:r>
      <w:r>
        <w:rPr>
          <w:rFonts w:hint="eastAsia" w:asciiTheme="minorEastAsia" w:hAnsiTheme="minorEastAsia" w:eastAsiaTheme="minorEastAsia" w:cstheme="minorEastAsia"/>
          <w:b w:val="0"/>
          <w:bCs w:val="0"/>
          <w:color w:val="000000"/>
          <w:sz w:val="24"/>
          <w:szCs w:val="24"/>
          <w:lang w:eastAsia="zh-CN"/>
        </w:rPr>
        <w:t>。</w:t>
      </w:r>
    </w:p>
    <w:p w14:paraId="1DF43193">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4.</w:t>
      </w:r>
      <w:r>
        <w:rPr>
          <w:rFonts w:hint="eastAsia" w:asciiTheme="minorEastAsia" w:hAnsiTheme="minorEastAsia" w:eastAsiaTheme="minorEastAsia" w:cstheme="minorEastAsia"/>
          <w:b w:val="0"/>
          <w:bCs w:val="0"/>
          <w:color w:val="000000"/>
          <w:sz w:val="24"/>
          <w:szCs w:val="24"/>
        </w:rPr>
        <w:t>特种设备安全总监负责对于风险排查中发现的特种设备安全风险隐患问题，明确责任人，督促相关责任人</w:t>
      </w:r>
      <w:r>
        <w:rPr>
          <w:rFonts w:hint="eastAsia" w:asciiTheme="minorEastAsia" w:hAnsiTheme="minorEastAsia" w:eastAsiaTheme="minorEastAsia" w:cstheme="minorEastAsia"/>
          <w:b w:val="0"/>
          <w:bCs w:val="0"/>
          <w:color w:val="000000"/>
          <w:sz w:val="24"/>
          <w:szCs w:val="24"/>
          <w:lang w:val="en-US" w:eastAsia="zh-CN"/>
        </w:rPr>
        <w:t>采取</w:t>
      </w:r>
      <w:r>
        <w:rPr>
          <w:rFonts w:hint="eastAsia" w:asciiTheme="minorEastAsia" w:hAnsiTheme="minorEastAsia" w:eastAsiaTheme="minorEastAsia" w:cstheme="minorEastAsia"/>
          <w:b w:val="0"/>
          <w:bCs w:val="0"/>
          <w:color w:val="000000"/>
          <w:sz w:val="24"/>
          <w:szCs w:val="24"/>
        </w:rPr>
        <w:t>相适应的防范措施，及时解决发现的问题，向主要负责人报告有关情况，提出改进措施。</w:t>
      </w:r>
    </w:p>
    <w:p w14:paraId="7F362E0B">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eastAsia="zh-CN"/>
        </w:rPr>
        <w:t>（四）</w:t>
      </w:r>
      <w:r>
        <w:rPr>
          <w:rFonts w:hint="eastAsia" w:asciiTheme="minorEastAsia" w:hAnsiTheme="minorEastAsia" w:eastAsiaTheme="minorEastAsia" w:cstheme="minorEastAsia"/>
          <w:b w:val="0"/>
          <w:bCs w:val="0"/>
          <w:color w:val="000000"/>
          <w:sz w:val="24"/>
          <w:szCs w:val="24"/>
        </w:rPr>
        <w:t>管理要求</w:t>
      </w:r>
    </w:p>
    <w:p w14:paraId="7DE16D6E">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1.</w:t>
      </w:r>
      <w:r>
        <w:rPr>
          <w:rFonts w:hint="eastAsia" w:asciiTheme="minorEastAsia" w:hAnsiTheme="minorEastAsia" w:eastAsiaTheme="minorEastAsia" w:cstheme="minorEastAsia"/>
          <w:b w:val="0"/>
          <w:bCs w:val="0"/>
          <w:color w:val="000000"/>
          <w:sz w:val="24"/>
          <w:szCs w:val="24"/>
        </w:rPr>
        <w:t>主要负责人根据本单位使用的特种设备数量、用途、使用环境等情况配备合适的安全总监和足够数量的安全员，并逐台明确负责的安全员；安全员负责日管控具体工作的情况落实，协助安全总监负责周排查、月调度具体工作的情况落实。</w:t>
      </w:r>
    </w:p>
    <w:p w14:paraId="1E90D8F8">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2.</w:t>
      </w:r>
      <w:r>
        <w:rPr>
          <w:rFonts w:hint="eastAsia" w:asciiTheme="minorEastAsia" w:hAnsiTheme="minorEastAsia" w:eastAsiaTheme="minorEastAsia" w:cstheme="minorEastAsia"/>
          <w:b w:val="0"/>
          <w:bCs w:val="0"/>
          <w:color w:val="000000"/>
          <w:sz w:val="24"/>
          <w:szCs w:val="24"/>
        </w:rPr>
        <w:t>日管控</w:t>
      </w:r>
    </w:p>
    <w:p w14:paraId="74143227">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color w:val="000000"/>
          <w:sz w:val="24"/>
          <w:szCs w:val="24"/>
          <w:lang w:val="en-US" w:eastAsia="zh-CN" w:bidi="en-US"/>
        </w:rPr>
        <w:t>（1）</w:t>
      </w:r>
      <w:r>
        <w:rPr>
          <w:rFonts w:hint="eastAsia" w:asciiTheme="minorEastAsia" w:hAnsiTheme="minorEastAsia" w:eastAsiaTheme="minorEastAsia" w:cstheme="minorEastAsia"/>
          <w:b w:val="0"/>
          <w:bCs w:val="0"/>
          <w:color w:val="000000"/>
          <w:sz w:val="24"/>
          <w:szCs w:val="24"/>
        </w:rPr>
        <w:t>日管控风险内容参照各类特种设备的《风险管控清单》</w:t>
      </w:r>
      <w:r>
        <w:rPr>
          <w:rFonts w:hint="eastAsia" w:asciiTheme="minorEastAsia" w:hAnsiTheme="minorEastAsia" w:eastAsiaTheme="minorEastAsia" w:cstheme="minorEastAsia"/>
          <w:b w:val="0"/>
          <w:bCs w:val="0"/>
          <w:color w:val="000000"/>
          <w:sz w:val="24"/>
          <w:szCs w:val="24"/>
          <w:lang w:eastAsia="zh-CN"/>
        </w:rPr>
        <w:t>。</w:t>
      </w:r>
    </w:p>
    <w:p w14:paraId="404BF689">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（2）</w:t>
      </w:r>
      <w:r>
        <w:rPr>
          <w:rFonts w:hint="eastAsia" w:asciiTheme="minorEastAsia" w:hAnsiTheme="minorEastAsia" w:eastAsiaTheme="minorEastAsia" w:cstheme="minorEastAsia"/>
          <w:b w:val="0"/>
          <w:bCs w:val="0"/>
          <w:color w:val="000000"/>
          <w:sz w:val="24"/>
          <w:szCs w:val="24"/>
        </w:rPr>
        <w:t>工作期间，特种设备安全员每日根据《风险管控清单》进行检查，管控各个环节可能存在的特种设备安全风险隐患，并将检查结果汇总记录在《每日XX</w:t>
      </w:r>
      <w:r>
        <w:rPr>
          <w:rFonts w:hint="eastAsia" w:asciiTheme="minorEastAsia" w:hAnsiTheme="minorEastAsia" w:eastAsiaTheme="minorEastAsia" w:cstheme="minorEastAsia"/>
          <w:b w:val="0"/>
          <w:bCs w:val="0"/>
          <w:color w:val="000000"/>
          <w:sz w:val="24"/>
          <w:szCs w:val="24"/>
          <w:lang w:val="en-US" w:eastAsia="zh-CN"/>
        </w:rPr>
        <w:t>设备</w:t>
      </w:r>
      <w:r>
        <w:rPr>
          <w:rFonts w:hint="eastAsia" w:asciiTheme="minorEastAsia" w:hAnsiTheme="minorEastAsia" w:eastAsiaTheme="minorEastAsia" w:cstheme="minorEastAsia"/>
          <w:b w:val="0"/>
          <w:bCs w:val="0"/>
          <w:color w:val="000000"/>
          <w:sz w:val="24"/>
          <w:szCs w:val="24"/>
        </w:rPr>
        <w:t>安全检查记录》表上，可采用电子表格的形式予以记录。未发现问题的，也应当予以记录，实行零报告。</w:t>
      </w:r>
    </w:p>
    <w:p w14:paraId="3A2E565B">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（3）</w:t>
      </w:r>
      <w:r>
        <w:rPr>
          <w:rFonts w:hint="eastAsia" w:asciiTheme="minorEastAsia" w:hAnsiTheme="minorEastAsia" w:eastAsiaTheme="minorEastAsia" w:cstheme="minorEastAsia"/>
          <w:b w:val="0"/>
          <w:bCs w:val="0"/>
          <w:color w:val="000000"/>
          <w:sz w:val="24"/>
          <w:szCs w:val="24"/>
        </w:rPr>
        <w:t>对于日管控检查中发现的特种设备安全风险隐患问题，明确责任人，及时反馈特种设备安全总监立即</w:t>
      </w:r>
      <w:r>
        <w:rPr>
          <w:rFonts w:hint="eastAsia" w:asciiTheme="minorEastAsia" w:hAnsiTheme="minorEastAsia" w:eastAsiaTheme="minorEastAsia" w:cstheme="minorEastAsia"/>
          <w:b w:val="0"/>
          <w:bCs w:val="0"/>
          <w:color w:val="000000"/>
          <w:sz w:val="24"/>
          <w:szCs w:val="24"/>
          <w:lang w:val="en-US" w:eastAsia="zh-CN"/>
        </w:rPr>
        <w:t>采取</w:t>
      </w:r>
      <w:r>
        <w:rPr>
          <w:rFonts w:hint="eastAsia" w:asciiTheme="minorEastAsia" w:hAnsiTheme="minorEastAsia" w:eastAsiaTheme="minorEastAsia" w:cstheme="minorEastAsia"/>
          <w:b w:val="0"/>
          <w:bCs w:val="0"/>
          <w:color w:val="000000"/>
          <w:sz w:val="24"/>
          <w:szCs w:val="24"/>
        </w:rPr>
        <w:t>防范措施。对于现场能立即整改的应立即整改；对于不能现场立即整改的，应明确整改期限，在后续日管控检查中跟踪验证整改落实情况。</w:t>
      </w:r>
    </w:p>
    <w:p w14:paraId="7B8BAA0C">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3.</w:t>
      </w:r>
      <w:r>
        <w:rPr>
          <w:rFonts w:hint="eastAsia" w:asciiTheme="minorEastAsia" w:hAnsiTheme="minorEastAsia" w:eastAsiaTheme="minorEastAsia" w:cstheme="minorEastAsia"/>
          <w:b w:val="0"/>
          <w:bCs w:val="0"/>
          <w:color w:val="000000"/>
          <w:sz w:val="24"/>
          <w:szCs w:val="24"/>
        </w:rPr>
        <w:t>周排查</w:t>
      </w:r>
    </w:p>
    <w:p w14:paraId="6874E9D5">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val="en-US" w:eastAsia="zh-CN" w:bidi="en-US"/>
        </w:rPr>
        <w:t>（1）</w:t>
      </w:r>
      <w:r>
        <w:rPr>
          <w:rFonts w:hint="eastAsia" w:asciiTheme="minorEastAsia" w:hAnsiTheme="minorEastAsia" w:eastAsiaTheme="minorEastAsia" w:cstheme="minorEastAsia"/>
          <w:b w:val="0"/>
          <w:bCs w:val="0"/>
          <w:color w:val="000000"/>
          <w:sz w:val="24"/>
          <w:szCs w:val="24"/>
        </w:rPr>
        <w:t>工作期间，特种设备安全总监每周至少组织1次风险隐患排查，全面排查使用过程各环节可能存在的特种设备安全风险隐患。</w:t>
      </w:r>
    </w:p>
    <w:p w14:paraId="0662891F">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000000"/>
          <w:sz w:val="24"/>
          <w:szCs w:val="24"/>
          <w:lang w:val="en-US" w:eastAsia="zh-CN" w:bidi="en-US"/>
        </w:rPr>
        <w:t>（2）</w:t>
      </w:r>
      <w:r>
        <w:rPr>
          <w:rFonts w:hint="eastAsia" w:asciiTheme="minorEastAsia" w:hAnsiTheme="minorEastAsia" w:eastAsiaTheme="minorEastAsia" w:cstheme="minorEastAsia"/>
          <w:b w:val="0"/>
          <w:bCs w:val="0"/>
          <w:color w:val="000000"/>
          <w:sz w:val="24"/>
          <w:szCs w:val="24"/>
        </w:rPr>
        <w:t>工作期间，排查可以结合日管控情况、现场自查情况、其他各渠道收集的特种设备安全信息等，分析各单位的特种设备安全管理情况，检讨日管控中存在的问题，对于频繁发生或者存在较高特种设备安全风险的问题，应制定相应的纠正预防措施，督促相关人员落实整改并进行跟踪验证整改结果。</w:t>
      </w:r>
    </w:p>
    <w:p w14:paraId="541A455D">
      <w:pPr>
        <w:pStyle w:val="26"/>
        <w:keepNext w:val="0"/>
        <w:keepLines w:val="0"/>
        <w:pageBreakBefore w:val="0"/>
        <w:widowControl w:val="0"/>
        <w:tabs>
          <w:tab w:val="left" w:pos="366"/>
        </w:tabs>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bookmarkStart w:id="62" w:name="bookmark1564"/>
      <w:bookmarkEnd w:id="62"/>
      <w:r>
        <w:rPr>
          <w:rFonts w:hint="eastAsia" w:asciiTheme="minorEastAsia" w:hAnsiTheme="minorEastAsia" w:eastAsiaTheme="minorEastAsia" w:cstheme="minorEastAsia"/>
          <w:b w:val="0"/>
          <w:bCs w:val="0"/>
          <w:color w:val="000000"/>
          <w:sz w:val="24"/>
          <w:szCs w:val="24"/>
          <w:lang w:val="en-US" w:eastAsia="zh-CN" w:bidi="en-US"/>
        </w:rPr>
        <w:t>（3）</w:t>
      </w:r>
      <w:r>
        <w:rPr>
          <w:rFonts w:hint="eastAsia" w:asciiTheme="minorEastAsia" w:hAnsiTheme="minorEastAsia" w:eastAsiaTheme="minorEastAsia" w:cstheme="minorEastAsia"/>
          <w:b w:val="0"/>
          <w:bCs w:val="0"/>
          <w:color w:val="000000"/>
          <w:sz w:val="24"/>
          <w:szCs w:val="24"/>
        </w:rPr>
        <w:t>对于周排查形成的《每周XX</w:t>
      </w:r>
      <w:r>
        <w:rPr>
          <w:rFonts w:hint="eastAsia" w:asciiTheme="minorEastAsia" w:hAnsiTheme="minorEastAsia" w:eastAsiaTheme="minorEastAsia" w:cstheme="minorEastAsia"/>
          <w:b w:val="0"/>
          <w:bCs w:val="0"/>
          <w:color w:val="000000"/>
          <w:sz w:val="24"/>
          <w:szCs w:val="24"/>
          <w:lang w:val="en-US" w:eastAsia="zh-CN"/>
        </w:rPr>
        <w:t>设备</w:t>
      </w:r>
      <w:r>
        <w:rPr>
          <w:rFonts w:hint="eastAsia" w:asciiTheme="minorEastAsia" w:hAnsiTheme="minorEastAsia" w:eastAsiaTheme="minorEastAsia" w:cstheme="minorEastAsia"/>
          <w:b w:val="0"/>
          <w:bCs w:val="0"/>
          <w:color w:val="000000"/>
          <w:sz w:val="24"/>
          <w:szCs w:val="24"/>
        </w:rPr>
        <w:t>安全排查治理报告》，应及时报至特种设备安全总监，抄送相关责任负责人，使其知晓存在的特种设备安全风险，督促相关责任人采取相应的管控措施，确保特种设备安全风险可控。</w:t>
      </w:r>
    </w:p>
    <w:p w14:paraId="067DCAA0">
      <w:pPr>
        <w:pStyle w:val="26"/>
        <w:keepNext w:val="0"/>
        <w:keepLines w:val="0"/>
        <w:pageBreakBefore w:val="0"/>
        <w:widowControl w:val="0"/>
        <w:tabs>
          <w:tab w:val="left" w:pos="366"/>
        </w:tabs>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bookmarkStart w:id="63" w:name="bookmark1565"/>
      <w:bookmarkEnd w:id="63"/>
      <w:r>
        <w:rPr>
          <w:rFonts w:hint="eastAsia" w:asciiTheme="minorEastAsia" w:hAnsiTheme="minorEastAsia" w:eastAsiaTheme="minorEastAsia" w:cstheme="minorEastAsia"/>
          <w:b w:val="0"/>
          <w:bCs w:val="0"/>
          <w:color w:val="000000"/>
          <w:sz w:val="24"/>
          <w:szCs w:val="24"/>
          <w:lang w:val="en-US" w:eastAsia="zh-CN" w:bidi="en-US"/>
        </w:rPr>
        <w:t>（4）</w:t>
      </w:r>
      <w:r>
        <w:rPr>
          <w:rFonts w:hint="eastAsia" w:asciiTheme="minorEastAsia" w:hAnsiTheme="minorEastAsia" w:eastAsiaTheme="minorEastAsia" w:cstheme="minorEastAsia"/>
          <w:b w:val="0"/>
          <w:bCs w:val="0"/>
          <w:color w:val="000000"/>
          <w:sz w:val="24"/>
          <w:szCs w:val="24"/>
        </w:rPr>
        <w:t>对排查出的风险隐患，如能在短期完成治理整改的，应立即采取措施进行治理排除；对情况复杂、短期内难以治理排除的,要制订整改方案和应对预案，落实治理整改措施、整改效果、责任人和期限等，防范突发事件的发生。</w:t>
      </w:r>
    </w:p>
    <w:p w14:paraId="12523C2B">
      <w:pPr>
        <w:pStyle w:val="26"/>
        <w:keepNext w:val="0"/>
        <w:keepLines w:val="0"/>
        <w:pageBreakBefore w:val="0"/>
        <w:widowControl w:val="0"/>
        <w:tabs>
          <w:tab w:val="left" w:pos="381"/>
        </w:tabs>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rPr>
      </w:pPr>
      <w:bookmarkStart w:id="64" w:name="bookmark1566"/>
      <w:bookmarkEnd w:id="64"/>
      <w:r>
        <w:rPr>
          <w:rFonts w:hint="eastAsia" w:asciiTheme="minorEastAsia" w:hAnsiTheme="minorEastAsia" w:eastAsiaTheme="minorEastAsia" w:cstheme="minorEastAsia"/>
          <w:b w:val="0"/>
          <w:bCs w:val="0"/>
          <w:color w:val="000000"/>
          <w:sz w:val="24"/>
          <w:szCs w:val="24"/>
          <w:lang w:val="en-US" w:eastAsia="zh-CN"/>
        </w:rPr>
        <w:t>4.</w:t>
      </w:r>
      <w:r>
        <w:rPr>
          <w:rFonts w:hint="eastAsia" w:asciiTheme="minorEastAsia" w:hAnsiTheme="minorEastAsia" w:eastAsiaTheme="minorEastAsia" w:cstheme="minorEastAsia"/>
          <w:b w:val="0"/>
          <w:bCs w:val="0"/>
          <w:color w:val="000000"/>
          <w:sz w:val="24"/>
          <w:szCs w:val="24"/>
        </w:rPr>
        <w:t>月调度</w:t>
      </w:r>
    </w:p>
    <w:p w14:paraId="08C4FBB1">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color w:val="000000"/>
          <w:sz w:val="24"/>
          <w:szCs w:val="24"/>
          <w:lang w:val="en-US" w:eastAsia="zh-CN" w:bidi="en-US"/>
        </w:rPr>
        <w:t>（1）</w:t>
      </w:r>
      <w:r>
        <w:rPr>
          <w:rFonts w:hint="eastAsia" w:asciiTheme="minorEastAsia" w:hAnsiTheme="minorEastAsia" w:eastAsiaTheme="minorEastAsia" w:cstheme="minorEastAsia"/>
          <w:b w:val="0"/>
          <w:bCs w:val="0"/>
          <w:color w:val="000000"/>
          <w:sz w:val="24"/>
          <w:szCs w:val="24"/>
        </w:rPr>
        <w:t>根据落实主体责任要求，由特种设备安全总监负责月调度具体工作的情况落实，由企业（单位）主要负责人组织召开月调度会议，听取特种设备安全总监关于特种设备安全管理工作的情况汇报</w:t>
      </w:r>
      <w:r>
        <w:rPr>
          <w:rFonts w:hint="eastAsia" w:asciiTheme="minorEastAsia" w:hAnsiTheme="minorEastAsia" w:eastAsiaTheme="minorEastAsia" w:cstheme="minorEastAsia"/>
          <w:b w:val="0"/>
          <w:bCs w:val="0"/>
          <w:color w:val="000000"/>
          <w:sz w:val="24"/>
          <w:szCs w:val="24"/>
          <w:lang w:eastAsia="zh-CN"/>
        </w:rPr>
        <w:t>。</w:t>
      </w:r>
    </w:p>
    <w:p w14:paraId="0C9E05DB">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color w:val="000000"/>
          <w:sz w:val="24"/>
          <w:szCs w:val="24"/>
          <w:lang w:val="en-US" w:eastAsia="zh-CN" w:bidi="en-US"/>
        </w:rPr>
        <w:t>（2）</w:t>
      </w:r>
      <w:r>
        <w:rPr>
          <w:rFonts w:hint="eastAsia" w:asciiTheme="minorEastAsia" w:hAnsiTheme="minorEastAsia" w:eastAsiaTheme="minorEastAsia" w:cstheme="minorEastAsia"/>
          <w:b w:val="0"/>
          <w:bCs w:val="0"/>
          <w:color w:val="000000"/>
          <w:sz w:val="24"/>
          <w:szCs w:val="24"/>
        </w:rPr>
        <w:t>由特种设备安全总监汇总最近一个月度内企业（单位）的特种设备使用安全管理工作情况，主要包括日管控、周排查中发现的重大特种设备安全风险问题及整改情况，日常特种设备安全管理情况的汇总分析</w:t>
      </w:r>
      <w:r>
        <w:rPr>
          <w:rFonts w:hint="eastAsia" w:asciiTheme="minorEastAsia" w:hAnsiTheme="minorEastAsia" w:eastAsiaTheme="minorEastAsia" w:cstheme="minorEastAsia"/>
          <w:b w:val="0"/>
          <w:bCs w:val="0"/>
          <w:color w:val="000000"/>
          <w:sz w:val="24"/>
          <w:szCs w:val="24"/>
          <w:lang w:eastAsia="zh-CN"/>
        </w:rPr>
        <w:t>。</w:t>
      </w:r>
    </w:p>
    <w:p w14:paraId="4382C232">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color w:val="000000"/>
          <w:sz w:val="24"/>
          <w:szCs w:val="24"/>
          <w:lang w:val="en-US" w:eastAsia="zh-CN" w:bidi="en-US"/>
        </w:rPr>
        <w:t>（3）</w:t>
      </w:r>
      <w:r>
        <w:rPr>
          <w:rFonts w:hint="eastAsia" w:asciiTheme="minorEastAsia" w:hAnsiTheme="minorEastAsia" w:eastAsiaTheme="minorEastAsia" w:cstheme="minorEastAsia"/>
          <w:b w:val="0"/>
          <w:bCs w:val="0"/>
          <w:color w:val="000000"/>
          <w:sz w:val="24"/>
          <w:szCs w:val="24"/>
        </w:rPr>
        <w:t>由特种设备安全总监对近一个月内企业（单位）的特种设备使用安全管理工作情况进行汇报，对当月特种设备使用安全日常管理、风险隐患排查治理等情况进行工作总结</w:t>
      </w:r>
      <w:r>
        <w:rPr>
          <w:rFonts w:hint="eastAsia" w:asciiTheme="minorEastAsia" w:hAnsiTheme="minorEastAsia" w:eastAsiaTheme="minorEastAsia" w:cstheme="minorEastAsia"/>
          <w:b w:val="0"/>
          <w:bCs w:val="0"/>
          <w:color w:val="000000"/>
          <w:sz w:val="24"/>
          <w:szCs w:val="24"/>
          <w:lang w:eastAsia="zh-CN"/>
        </w:rPr>
        <w:t>。</w:t>
      </w:r>
    </w:p>
    <w:p w14:paraId="1BD0BB13">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color w:val="000000"/>
          <w:sz w:val="24"/>
          <w:szCs w:val="24"/>
          <w:lang w:val="en-US" w:eastAsia="zh-CN" w:bidi="en-US"/>
        </w:rPr>
        <w:t>（4）</w:t>
      </w:r>
      <w:r>
        <w:rPr>
          <w:rFonts w:hint="eastAsia" w:asciiTheme="minorEastAsia" w:hAnsiTheme="minorEastAsia" w:eastAsiaTheme="minorEastAsia" w:cstheme="minorEastAsia"/>
          <w:b w:val="0"/>
          <w:bCs w:val="0"/>
          <w:color w:val="000000"/>
          <w:sz w:val="24"/>
          <w:szCs w:val="24"/>
        </w:rPr>
        <w:t>对于日常特种设备安全管理中发现存在的不足问题，由相关责任人进行报告，采取有效的应对措施进行处置</w:t>
      </w:r>
      <w:r>
        <w:rPr>
          <w:rFonts w:hint="eastAsia" w:asciiTheme="minorEastAsia" w:hAnsiTheme="minorEastAsia" w:eastAsiaTheme="minorEastAsia" w:cstheme="minorEastAsia"/>
          <w:b w:val="0"/>
          <w:bCs w:val="0"/>
          <w:color w:val="000000"/>
          <w:sz w:val="24"/>
          <w:szCs w:val="24"/>
          <w:lang w:eastAsia="zh-CN"/>
        </w:rPr>
        <w:t>。</w:t>
      </w:r>
    </w:p>
    <w:p w14:paraId="2229CCFB">
      <w:pPr>
        <w:pStyle w:val="26"/>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color w:val="000000"/>
          <w:sz w:val="24"/>
          <w:szCs w:val="24"/>
          <w:lang w:val="en-US" w:eastAsia="zh-CN" w:bidi="en-US"/>
        </w:rPr>
        <w:t>（5）</w:t>
      </w:r>
      <w:r>
        <w:rPr>
          <w:rFonts w:hint="eastAsia" w:asciiTheme="minorEastAsia" w:hAnsiTheme="minorEastAsia" w:eastAsiaTheme="minorEastAsia" w:cstheme="minorEastAsia"/>
          <w:b w:val="0"/>
          <w:bCs w:val="0"/>
          <w:color w:val="000000"/>
          <w:sz w:val="24"/>
          <w:szCs w:val="24"/>
        </w:rPr>
        <w:t>由企业（单位）主要负责人对特种设备安全管理工作作出指示</w:t>
      </w:r>
      <w:r>
        <w:rPr>
          <w:rFonts w:hint="eastAsia" w:asciiTheme="minorEastAsia" w:hAnsiTheme="minorEastAsia" w:eastAsiaTheme="minorEastAsia" w:cstheme="minorEastAsia"/>
          <w:b w:val="0"/>
          <w:bCs w:val="0"/>
          <w:color w:val="000000"/>
          <w:sz w:val="24"/>
          <w:szCs w:val="24"/>
          <w:lang w:eastAsia="zh-CN"/>
        </w:rPr>
        <w:t>。</w:t>
      </w:r>
    </w:p>
    <w:p w14:paraId="5C977A30">
      <w:pPr>
        <w:pStyle w:val="26"/>
        <w:keepNext w:val="0"/>
        <w:keepLines w:val="0"/>
        <w:pageBreakBefore w:val="0"/>
        <w:widowControl w:val="0"/>
        <w:tabs>
          <w:tab w:val="left" w:pos="411"/>
        </w:tabs>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b w:val="0"/>
          <w:bCs w:val="0"/>
          <w:sz w:val="24"/>
          <w:szCs w:val="24"/>
          <w:lang w:eastAsia="zh-CN"/>
        </w:rPr>
      </w:pPr>
      <w:bookmarkStart w:id="65" w:name="bookmark1567"/>
      <w:bookmarkEnd w:id="65"/>
      <w:r>
        <w:rPr>
          <w:rFonts w:hint="eastAsia" w:asciiTheme="minorEastAsia" w:hAnsiTheme="minorEastAsia" w:eastAsiaTheme="minorEastAsia" w:cstheme="minorEastAsia"/>
          <w:b w:val="0"/>
          <w:bCs w:val="0"/>
          <w:color w:val="000000"/>
          <w:sz w:val="24"/>
          <w:szCs w:val="24"/>
          <w:lang w:val="en-US" w:eastAsia="zh-CN" w:bidi="en-US"/>
        </w:rPr>
        <w:t>（6）</w:t>
      </w:r>
      <w:r>
        <w:rPr>
          <w:rFonts w:hint="eastAsia" w:asciiTheme="minorEastAsia" w:hAnsiTheme="minorEastAsia" w:eastAsiaTheme="minorEastAsia" w:cstheme="minorEastAsia"/>
          <w:b w:val="0"/>
          <w:bCs w:val="0"/>
          <w:color w:val="000000"/>
          <w:sz w:val="24"/>
          <w:szCs w:val="24"/>
        </w:rPr>
        <w:t>特种设备安全总监根据当月特种设备安全管理工作情况、会议讨论决议及企业（单位）主要负责人指示，制定下个月特种设备安全管理重点工作计划，并形成《每月XX</w:t>
      </w:r>
      <w:r>
        <w:rPr>
          <w:rFonts w:hint="eastAsia" w:asciiTheme="minorEastAsia" w:hAnsiTheme="minorEastAsia" w:eastAsiaTheme="minorEastAsia" w:cstheme="minorEastAsia"/>
          <w:b w:val="0"/>
          <w:bCs w:val="0"/>
          <w:color w:val="000000"/>
          <w:sz w:val="24"/>
          <w:szCs w:val="24"/>
          <w:lang w:val="en-US" w:eastAsia="zh-CN"/>
        </w:rPr>
        <w:t>设备</w:t>
      </w:r>
      <w:r>
        <w:rPr>
          <w:rFonts w:hint="eastAsia" w:asciiTheme="minorEastAsia" w:hAnsiTheme="minorEastAsia" w:eastAsiaTheme="minorEastAsia" w:cstheme="minorEastAsia"/>
          <w:b w:val="0"/>
          <w:bCs w:val="0"/>
          <w:color w:val="000000"/>
          <w:sz w:val="24"/>
          <w:szCs w:val="24"/>
        </w:rPr>
        <w:t>安全调度会议纪要》</w:t>
      </w:r>
      <w:r>
        <w:rPr>
          <w:rFonts w:hint="eastAsia" w:asciiTheme="minorEastAsia" w:hAnsiTheme="minorEastAsia" w:eastAsiaTheme="minorEastAsia" w:cstheme="minorEastAsia"/>
          <w:b w:val="0"/>
          <w:bCs w:val="0"/>
          <w:color w:val="000000"/>
          <w:sz w:val="24"/>
          <w:szCs w:val="24"/>
          <w:lang w:eastAsia="zh-CN"/>
        </w:rPr>
        <w:t>。</w:t>
      </w:r>
    </w:p>
    <w:p w14:paraId="25AF7C45">
      <w:pPr>
        <w:pStyle w:val="26"/>
        <w:keepNext w:val="0"/>
        <w:keepLines w:val="0"/>
        <w:pageBreakBefore w:val="0"/>
        <w:widowControl w:val="0"/>
        <w:tabs>
          <w:tab w:val="left" w:pos="381"/>
        </w:tabs>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lang w:eastAsia="zh-CN"/>
        </w:rPr>
        <w:t>（五）</w:t>
      </w:r>
      <w:r>
        <w:rPr>
          <w:rFonts w:hint="eastAsia" w:asciiTheme="minorEastAsia" w:hAnsiTheme="minorEastAsia" w:eastAsiaTheme="minorEastAsia" w:cstheme="minorEastAsia"/>
          <w:b w:val="0"/>
          <w:bCs w:val="0"/>
          <w:color w:val="000000"/>
          <w:sz w:val="24"/>
          <w:szCs w:val="24"/>
        </w:rPr>
        <w:t>记录</w:t>
      </w:r>
    </w:p>
    <w:p w14:paraId="26165A76">
      <w:pPr>
        <w:pStyle w:val="26"/>
        <w:keepNext w:val="0"/>
        <w:keepLines w:val="0"/>
        <w:pageBreakBefore w:val="0"/>
        <w:widowControl w:val="0"/>
        <w:tabs>
          <w:tab w:val="left" w:pos="411"/>
        </w:tabs>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bookmarkStart w:id="66" w:name="bookmark1568"/>
      <w:bookmarkEnd w:id="66"/>
      <w:r>
        <w:rPr>
          <w:rFonts w:hint="eastAsia" w:asciiTheme="minorEastAsia" w:hAnsiTheme="minorEastAsia" w:eastAsiaTheme="minorEastAsia" w:cstheme="minorEastAsia"/>
          <w:b w:val="0"/>
          <w:bCs w:val="0"/>
          <w:color w:val="000000"/>
          <w:sz w:val="24"/>
          <w:szCs w:val="24"/>
          <w:lang w:val="en-US" w:eastAsia="zh-CN" w:bidi="en-US"/>
        </w:rPr>
        <w:t>1.特种设备</w:t>
      </w:r>
      <w:r>
        <w:rPr>
          <w:rFonts w:hint="eastAsia" w:asciiTheme="minorEastAsia" w:hAnsiTheme="minorEastAsia" w:eastAsiaTheme="minorEastAsia" w:cstheme="minorEastAsia"/>
          <w:b w:val="0"/>
          <w:bCs w:val="0"/>
          <w:color w:val="000000"/>
          <w:sz w:val="24"/>
          <w:szCs w:val="24"/>
        </w:rPr>
        <w:t>每日安全检查记录</w:t>
      </w:r>
      <w:r>
        <w:rPr>
          <w:rFonts w:hint="eastAsia" w:asciiTheme="minorEastAsia" w:hAnsiTheme="minorEastAsia" w:eastAsiaTheme="minorEastAsia" w:cstheme="minorEastAsia"/>
          <w:b w:val="0"/>
          <w:bCs w:val="0"/>
          <w:color w:val="000000"/>
          <w:sz w:val="24"/>
          <w:szCs w:val="24"/>
          <w:lang w:eastAsia="zh-CN"/>
        </w:rPr>
        <w:t>（供参考）。</w:t>
      </w:r>
    </w:p>
    <w:p w14:paraId="683F0806">
      <w:pPr>
        <w:pStyle w:val="26"/>
        <w:keepNext w:val="0"/>
        <w:keepLines w:val="0"/>
        <w:pageBreakBefore w:val="0"/>
        <w:widowControl w:val="0"/>
        <w:tabs>
          <w:tab w:val="left" w:pos="402"/>
        </w:tabs>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sz w:val="24"/>
          <w:szCs w:val="24"/>
          <w:lang w:eastAsia="zh-CN"/>
        </w:rPr>
      </w:pPr>
      <w:bookmarkStart w:id="67" w:name="bookmark1569"/>
      <w:bookmarkEnd w:id="67"/>
      <w:r>
        <w:rPr>
          <w:rFonts w:hint="eastAsia" w:asciiTheme="minorEastAsia" w:hAnsiTheme="minorEastAsia" w:eastAsiaTheme="minorEastAsia" w:cstheme="minorEastAsia"/>
          <w:b w:val="0"/>
          <w:bCs w:val="0"/>
          <w:color w:val="000000"/>
          <w:sz w:val="24"/>
          <w:szCs w:val="24"/>
          <w:lang w:val="en-US" w:eastAsia="zh-CN"/>
        </w:rPr>
        <w:t>2.</w:t>
      </w:r>
      <w:r>
        <w:rPr>
          <w:rFonts w:hint="eastAsia" w:asciiTheme="minorEastAsia" w:hAnsiTheme="minorEastAsia" w:eastAsiaTheme="minorEastAsia" w:cstheme="minorEastAsia"/>
          <w:b w:val="0"/>
          <w:bCs w:val="0"/>
          <w:color w:val="000000"/>
          <w:sz w:val="24"/>
          <w:szCs w:val="24"/>
          <w:lang w:val="en-US" w:eastAsia="zh-CN" w:bidi="en-US"/>
        </w:rPr>
        <w:t>特种设备</w:t>
      </w:r>
      <w:r>
        <w:rPr>
          <w:rFonts w:hint="eastAsia" w:asciiTheme="minorEastAsia" w:hAnsiTheme="minorEastAsia" w:eastAsiaTheme="minorEastAsia" w:cstheme="minorEastAsia"/>
          <w:b w:val="0"/>
          <w:bCs w:val="0"/>
          <w:color w:val="000000"/>
          <w:sz w:val="24"/>
          <w:szCs w:val="24"/>
        </w:rPr>
        <w:t>每周安全排查治理报告</w:t>
      </w:r>
      <w:r>
        <w:rPr>
          <w:rFonts w:hint="eastAsia" w:asciiTheme="minorEastAsia" w:hAnsiTheme="minorEastAsia" w:eastAsiaTheme="minorEastAsia" w:cstheme="minorEastAsia"/>
          <w:b w:val="0"/>
          <w:bCs w:val="0"/>
          <w:color w:val="000000"/>
          <w:sz w:val="24"/>
          <w:szCs w:val="24"/>
          <w:lang w:eastAsia="zh-CN"/>
        </w:rPr>
        <w:t>（供参考）。</w:t>
      </w:r>
    </w:p>
    <w:p w14:paraId="4AD3187C">
      <w:pPr>
        <w:pStyle w:val="26"/>
        <w:keepNext w:val="0"/>
        <w:keepLines w:val="0"/>
        <w:pageBreakBefore w:val="0"/>
        <w:widowControl w:val="0"/>
        <w:tabs>
          <w:tab w:val="left" w:pos="402"/>
        </w:tabs>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val="0"/>
          <w:bCs w:val="0"/>
          <w:color w:val="000000"/>
          <w:sz w:val="24"/>
          <w:szCs w:val="24"/>
          <w:lang w:eastAsia="zh-CN"/>
        </w:rPr>
      </w:pPr>
      <w:bookmarkStart w:id="68" w:name="bookmark1570"/>
      <w:bookmarkEnd w:id="68"/>
      <w:r>
        <w:rPr>
          <w:rFonts w:hint="eastAsia" w:asciiTheme="minorEastAsia" w:hAnsiTheme="minorEastAsia" w:eastAsiaTheme="minorEastAsia" w:cstheme="minorEastAsia"/>
          <w:b w:val="0"/>
          <w:bCs w:val="0"/>
          <w:color w:val="000000"/>
          <w:sz w:val="24"/>
          <w:szCs w:val="24"/>
          <w:lang w:val="en-US" w:eastAsia="zh-CN" w:bidi="en-US"/>
        </w:rPr>
        <w:t>3.特种设备</w:t>
      </w:r>
      <w:r>
        <w:rPr>
          <w:rFonts w:hint="eastAsia" w:asciiTheme="minorEastAsia" w:hAnsiTheme="minorEastAsia" w:eastAsiaTheme="minorEastAsia" w:cstheme="minorEastAsia"/>
          <w:b w:val="0"/>
          <w:bCs w:val="0"/>
          <w:color w:val="000000"/>
          <w:sz w:val="24"/>
          <w:szCs w:val="24"/>
        </w:rPr>
        <w:t>每月安全调度会议纪要</w:t>
      </w:r>
      <w:r>
        <w:rPr>
          <w:rFonts w:hint="eastAsia" w:asciiTheme="minorEastAsia" w:hAnsiTheme="minorEastAsia" w:eastAsiaTheme="minorEastAsia" w:cstheme="minorEastAsia"/>
          <w:b w:val="0"/>
          <w:bCs w:val="0"/>
          <w:color w:val="000000"/>
          <w:sz w:val="24"/>
          <w:szCs w:val="24"/>
          <w:lang w:eastAsia="zh-CN"/>
        </w:rPr>
        <w:t>（供参考）。</w:t>
      </w:r>
    </w:p>
    <w:p w14:paraId="7EAF3EE1">
      <w:pPr>
        <w:pStyle w:val="26"/>
        <w:keepNext w:val="0"/>
        <w:keepLines w:val="0"/>
        <w:pageBreakBefore w:val="0"/>
        <w:widowControl w:val="0"/>
        <w:tabs>
          <w:tab w:val="left" w:pos="402"/>
        </w:tabs>
        <w:kinsoku/>
        <w:wordWrap/>
        <w:overflowPunct/>
        <w:topLinePunct w:val="0"/>
        <w:autoSpaceDE/>
        <w:autoSpaceDN/>
        <w:bidi w:val="0"/>
        <w:adjustRightInd/>
        <w:snapToGrid/>
        <w:spacing w:line="240" w:lineRule="auto"/>
        <w:ind w:firstLine="480" w:firstLineChars="200"/>
        <w:jc w:val="center"/>
        <w:textAlignment w:val="auto"/>
        <w:rPr>
          <w:rFonts w:hint="default" w:ascii="Times New Roman" w:hAnsi="Times New Roman" w:eastAsia="方正公文小标宋" w:cs="Times New Roman"/>
          <w:b w:val="0"/>
          <w:bCs w:val="0"/>
          <w:sz w:val="32"/>
          <w:szCs w:val="32"/>
          <w:lang w:val="en-US" w:eastAsia="zh-CN"/>
        </w:rPr>
      </w:pPr>
      <w:r>
        <w:rPr>
          <w:rFonts w:hint="eastAsia" w:asciiTheme="minorEastAsia" w:hAnsiTheme="minorEastAsia" w:eastAsiaTheme="minorEastAsia" w:cstheme="minorEastAsia"/>
          <w:b w:val="0"/>
          <w:bCs w:val="0"/>
          <w:color w:val="000000"/>
          <w:sz w:val="24"/>
          <w:szCs w:val="24"/>
          <w:lang w:val="en-US" w:eastAsia="zh-CN" w:bidi="en-US"/>
        </w:rPr>
        <w:br w:type="page"/>
      </w:r>
      <w:r>
        <w:rPr>
          <w:rFonts w:hint="default" w:ascii="Times New Roman" w:hAnsi="Times New Roman" w:eastAsia="方正公文小标宋" w:cs="Times New Roman"/>
          <w:b w:val="0"/>
          <w:bCs w:val="0"/>
          <w:sz w:val="32"/>
          <w:szCs w:val="32"/>
        </w:rPr>
        <w:t>特种设备每日安全检查记录</w:t>
      </w:r>
      <w:r>
        <w:rPr>
          <w:rFonts w:hint="default" w:ascii="Times New Roman" w:hAnsi="Times New Roman" w:eastAsia="方正公文小标宋" w:cs="Times New Roman"/>
          <w:b w:val="0"/>
          <w:bCs w:val="0"/>
          <w:sz w:val="32"/>
          <w:szCs w:val="32"/>
          <w:lang w:eastAsia="zh-CN"/>
        </w:rPr>
        <w:t>（供参考）</w:t>
      </w:r>
    </w:p>
    <w:tbl>
      <w:tblPr>
        <w:tblStyle w:val="16"/>
        <w:tblW w:w="8952" w:type="dxa"/>
        <w:jc w:val="center"/>
        <w:tblLayout w:type="fixed"/>
        <w:tblCellMar>
          <w:top w:w="0" w:type="dxa"/>
          <w:left w:w="10" w:type="dxa"/>
          <w:bottom w:w="0" w:type="dxa"/>
          <w:right w:w="10" w:type="dxa"/>
        </w:tblCellMar>
      </w:tblPr>
      <w:tblGrid>
        <w:gridCol w:w="869"/>
        <w:gridCol w:w="1651"/>
        <w:gridCol w:w="2578"/>
        <w:gridCol w:w="1430"/>
        <w:gridCol w:w="1368"/>
        <w:gridCol w:w="1056"/>
      </w:tblGrid>
      <w:tr w14:paraId="0A0D6F1C">
        <w:tblPrEx>
          <w:tblCellMar>
            <w:top w:w="0" w:type="dxa"/>
            <w:left w:w="10" w:type="dxa"/>
            <w:bottom w:w="0" w:type="dxa"/>
            <w:right w:w="10" w:type="dxa"/>
          </w:tblCellMar>
        </w:tblPrEx>
        <w:trPr>
          <w:trHeight w:val="604" w:hRule="exact"/>
          <w:jc w:val="center"/>
        </w:trPr>
        <w:tc>
          <w:tcPr>
            <w:tcW w:w="2520" w:type="dxa"/>
            <w:gridSpan w:val="2"/>
            <w:shd w:val="clear" w:color="auto" w:fill="FFFFFF"/>
            <w:noWrap w:val="0"/>
            <w:vAlign w:val="center"/>
          </w:tcPr>
          <w:p w14:paraId="6C607834">
            <w:pPr>
              <w:pStyle w:val="28"/>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检査日期：</w:t>
            </w:r>
          </w:p>
        </w:tc>
        <w:tc>
          <w:tcPr>
            <w:tcW w:w="6432" w:type="dxa"/>
            <w:gridSpan w:val="4"/>
            <w:shd w:val="clear" w:color="auto" w:fill="FFFFFF"/>
            <w:noWrap w:val="0"/>
            <w:vAlign w:val="center"/>
          </w:tcPr>
          <w:p w14:paraId="0AA69A1E">
            <w:pPr>
              <w:pStyle w:val="28"/>
              <w:keepNext w:val="0"/>
              <w:keepLines w:val="0"/>
              <w:pageBreakBefore w:val="0"/>
              <w:widowControl w:val="0"/>
              <w:kinsoku/>
              <w:wordWrap/>
              <w:overflowPunct/>
              <w:topLinePunct w:val="0"/>
              <w:autoSpaceDE/>
              <w:autoSpaceDN/>
              <w:bidi w:val="0"/>
              <w:adjustRightInd/>
              <w:snapToGrid/>
              <w:spacing w:line="240" w:lineRule="exact"/>
              <w:ind w:firstLine="3600" w:firstLineChars="1500"/>
              <w:jc w:val="center"/>
              <w:textAlignment w:val="auto"/>
              <w:rPr>
                <w:rFonts w:hint="default" w:ascii="Times New Roman" w:hAnsi="Times New Roman" w:cs="Times New Roman" w:eastAsiaTheme="minorEastAsia"/>
                <w:b w:val="0"/>
                <w:bCs w:val="0"/>
                <w:color w:val="000000"/>
                <w:sz w:val="24"/>
                <w:szCs w:val="24"/>
              </w:rPr>
            </w:pPr>
            <w:r>
              <w:rPr>
                <w:rFonts w:hint="default" w:ascii="Times New Roman" w:hAnsi="Times New Roman" w:cs="Times New Roman" w:eastAsiaTheme="minorEastAsia"/>
                <w:b w:val="0"/>
                <w:bCs w:val="0"/>
                <w:color w:val="000000"/>
                <w:sz w:val="24"/>
                <w:szCs w:val="24"/>
              </w:rPr>
              <w:t xml:space="preserve">年 </w:t>
            </w:r>
            <w:r>
              <w:rPr>
                <w:rFonts w:hint="default" w:ascii="Times New Roman" w:hAnsi="Times New Roman" w:cs="Times New Roman" w:eastAsiaTheme="minorEastAsia"/>
                <w:b w:val="0"/>
                <w:bCs w:val="0"/>
                <w:color w:val="000000"/>
                <w:sz w:val="24"/>
                <w:szCs w:val="24"/>
                <w:lang w:val="en-US" w:eastAsia="zh-CN"/>
              </w:rPr>
              <w:t xml:space="preserve">  </w:t>
            </w:r>
            <w:r>
              <w:rPr>
                <w:rFonts w:hint="default" w:ascii="Times New Roman" w:hAnsi="Times New Roman" w:cs="Times New Roman" w:eastAsiaTheme="minorEastAsia"/>
                <w:b w:val="0"/>
                <w:bCs w:val="0"/>
                <w:color w:val="000000"/>
                <w:sz w:val="24"/>
                <w:szCs w:val="24"/>
              </w:rPr>
              <w:t xml:space="preserve">月 </w:t>
            </w:r>
            <w:r>
              <w:rPr>
                <w:rFonts w:hint="default" w:ascii="Times New Roman" w:hAnsi="Times New Roman" w:cs="Times New Roman" w:eastAsiaTheme="minorEastAsia"/>
                <w:b w:val="0"/>
                <w:bCs w:val="0"/>
                <w:color w:val="000000"/>
                <w:sz w:val="24"/>
                <w:szCs w:val="24"/>
                <w:lang w:val="en-US" w:eastAsia="zh-CN"/>
              </w:rPr>
              <w:t xml:space="preserve">  </w:t>
            </w:r>
            <w:r>
              <w:rPr>
                <w:rFonts w:hint="default" w:ascii="Times New Roman" w:hAnsi="Times New Roman" w:cs="Times New Roman" w:eastAsiaTheme="minorEastAsia"/>
                <w:b w:val="0"/>
                <w:bCs w:val="0"/>
                <w:color w:val="000000"/>
                <w:sz w:val="24"/>
                <w:szCs w:val="24"/>
              </w:rPr>
              <w:t>日</w:t>
            </w:r>
          </w:p>
        </w:tc>
      </w:tr>
      <w:tr w14:paraId="78D409F8">
        <w:tblPrEx>
          <w:tblCellMar>
            <w:top w:w="0" w:type="dxa"/>
            <w:left w:w="10" w:type="dxa"/>
            <w:bottom w:w="0" w:type="dxa"/>
            <w:right w:w="10" w:type="dxa"/>
          </w:tblCellMar>
        </w:tblPrEx>
        <w:trPr>
          <w:trHeight w:val="547" w:hRule="exact"/>
          <w:jc w:val="center"/>
        </w:trPr>
        <w:tc>
          <w:tcPr>
            <w:tcW w:w="869" w:type="dxa"/>
            <w:tcBorders>
              <w:top w:val="single" w:color="auto" w:sz="4" w:space="0"/>
              <w:left w:val="single" w:color="auto" w:sz="4" w:space="0"/>
            </w:tcBorders>
            <w:shd w:val="clear" w:color="auto" w:fill="FFFFFF"/>
            <w:noWrap w:val="0"/>
            <w:vAlign w:val="center"/>
          </w:tcPr>
          <w:p w14:paraId="3B9983E9">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color w:val="000000"/>
                <w:sz w:val="24"/>
                <w:szCs w:val="24"/>
              </w:rPr>
              <w:t>序号</w:t>
            </w:r>
          </w:p>
        </w:tc>
        <w:tc>
          <w:tcPr>
            <w:tcW w:w="1651" w:type="dxa"/>
            <w:tcBorders>
              <w:top w:val="single" w:color="auto" w:sz="4" w:space="0"/>
              <w:left w:val="single" w:color="auto" w:sz="4" w:space="0"/>
            </w:tcBorders>
            <w:shd w:val="clear" w:color="auto" w:fill="FFFFFF"/>
            <w:noWrap w:val="0"/>
            <w:vAlign w:val="center"/>
          </w:tcPr>
          <w:p w14:paraId="038686B9">
            <w:pPr>
              <w:pStyle w:val="28"/>
              <w:keepNext w:val="0"/>
              <w:keepLines w:val="0"/>
              <w:pageBreakBefore w:val="0"/>
              <w:widowControl w:val="0"/>
              <w:kinsoku/>
              <w:wordWrap/>
              <w:overflowPunct/>
              <w:topLinePunct w:val="0"/>
              <w:autoSpaceDE/>
              <w:autoSpaceDN/>
              <w:bidi w:val="0"/>
              <w:adjustRightInd/>
              <w:snapToGrid/>
              <w:spacing w:line="240" w:lineRule="exact"/>
              <w:ind w:firstLine="320"/>
              <w:textAlignment w:val="auto"/>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color w:val="000000"/>
                <w:sz w:val="24"/>
                <w:szCs w:val="24"/>
              </w:rPr>
              <w:t>检査项目</w:t>
            </w:r>
          </w:p>
        </w:tc>
        <w:tc>
          <w:tcPr>
            <w:tcW w:w="2578" w:type="dxa"/>
            <w:tcBorders>
              <w:top w:val="single" w:color="auto" w:sz="4" w:space="0"/>
              <w:left w:val="single" w:color="auto" w:sz="4" w:space="0"/>
            </w:tcBorders>
            <w:shd w:val="clear" w:color="auto" w:fill="FFFFFF"/>
            <w:noWrap w:val="0"/>
            <w:vAlign w:val="center"/>
          </w:tcPr>
          <w:p w14:paraId="1CF0177F">
            <w:pPr>
              <w:pStyle w:val="28"/>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color w:val="000000"/>
                <w:sz w:val="24"/>
                <w:szCs w:val="24"/>
              </w:rPr>
              <w:t>检査内容</w:t>
            </w:r>
          </w:p>
        </w:tc>
        <w:tc>
          <w:tcPr>
            <w:tcW w:w="1430" w:type="dxa"/>
            <w:tcBorders>
              <w:top w:val="single" w:color="auto" w:sz="4" w:space="0"/>
              <w:left w:val="single" w:color="auto" w:sz="4" w:space="0"/>
            </w:tcBorders>
            <w:shd w:val="clear" w:color="auto" w:fill="FFFFFF"/>
            <w:noWrap w:val="0"/>
            <w:vAlign w:val="center"/>
          </w:tcPr>
          <w:p w14:paraId="4E83D5AD">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color w:val="000000"/>
                <w:sz w:val="24"/>
                <w:szCs w:val="24"/>
              </w:rPr>
              <w:t>检査结果</w:t>
            </w:r>
          </w:p>
        </w:tc>
        <w:tc>
          <w:tcPr>
            <w:tcW w:w="1368" w:type="dxa"/>
            <w:tcBorders>
              <w:top w:val="single" w:color="auto" w:sz="4" w:space="0"/>
              <w:left w:val="single" w:color="auto" w:sz="4" w:space="0"/>
            </w:tcBorders>
            <w:shd w:val="clear" w:color="auto" w:fill="FFFFFF"/>
            <w:noWrap w:val="0"/>
            <w:vAlign w:val="center"/>
          </w:tcPr>
          <w:p w14:paraId="71E98348">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color w:val="000000"/>
                <w:sz w:val="24"/>
                <w:szCs w:val="24"/>
              </w:rPr>
              <w:t>处理结果</w:t>
            </w:r>
          </w:p>
        </w:tc>
        <w:tc>
          <w:tcPr>
            <w:tcW w:w="1056" w:type="dxa"/>
            <w:tcBorders>
              <w:top w:val="single" w:color="auto" w:sz="4" w:space="0"/>
              <w:left w:val="single" w:color="auto" w:sz="4" w:space="0"/>
              <w:right w:val="single" w:color="auto" w:sz="4" w:space="0"/>
            </w:tcBorders>
            <w:shd w:val="clear" w:color="auto" w:fill="FFFFFF"/>
            <w:noWrap w:val="0"/>
            <w:vAlign w:val="center"/>
          </w:tcPr>
          <w:p w14:paraId="59A7894B">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黑体" w:cs="Times New Roman"/>
                <w:b w:val="0"/>
                <w:bCs w:val="0"/>
                <w:sz w:val="24"/>
                <w:szCs w:val="24"/>
              </w:rPr>
            </w:pPr>
            <w:r>
              <w:rPr>
                <w:rFonts w:hint="default" w:ascii="Times New Roman" w:hAnsi="Times New Roman" w:eastAsia="黑体" w:cs="Times New Roman"/>
                <w:b w:val="0"/>
                <w:bCs w:val="0"/>
                <w:color w:val="000000"/>
                <w:sz w:val="24"/>
                <w:szCs w:val="24"/>
              </w:rPr>
              <w:t>备注</w:t>
            </w:r>
          </w:p>
        </w:tc>
      </w:tr>
      <w:tr w14:paraId="5A5C2358">
        <w:tblPrEx>
          <w:tblCellMar>
            <w:top w:w="0" w:type="dxa"/>
            <w:left w:w="10" w:type="dxa"/>
            <w:bottom w:w="0" w:type="dxa"/>
            <w:right w:w="10" w:type="dxa"/>
          </w:tblCellMar>
        </w:tblPrEx>
        <w:trPr>
          <w:trHeight w:val="871" w:hRule="exact"/>
          <w:jc w:val="center"/>
        </w:trPr>
        <w:tc>
          <w:tcPr>
            <w:tcW w:w="869" w:type="dxa"/>
            <w:tcBorders>
              <w:top w:val="single" w:color="auto" w:sz="4" w:space="0"/>
              <w:left w:val="single" w:color="auto" w:sz="4" w:space="0"/>
            </w:tcBorders>
            <w:shd w:val="clear" w:color="auto" w:fill="FFFFFF"/>
            <w:noWrap w:val="0"/>
            <w:vAlign w:val="center"/>
          </w:tcPr>
          <w:p w14:paraId="78FE74DB">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1</w:t>
            </w:r>
          </w:p>
        </w:tc>
        <w:tc>
          <w:tcPr>
            <w:tcW w:w="1651" w:type="dxa"/>
            <w:tcBorders>
              <w:top w:val="single" w:color="auto" w:sz="4" w:space="0"/>
              <w:left w:val="single" w:color="auto" w:sz="4" w:space="0"/>
            </w:tcBorders>
            <w:shd w:val="clear" w:color="auto" w:fill="FFFFFF"/>
            <w:noWrap w:val="0"/>
            <w:vAlign w:val="center"/>
          </w:tcPr>
          <w:p w14:paraId="0427FCDB">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lang w:eastAsia="zh-CN"/>
              </w:rPr>
              <w:t>作业</w:t>
            </w:r>
            <w:r>
              <w:rPr>
                <w:rFonts w:hint="default" w:ascii="Times New Roman" w:hAnsi="Times New Roman" w:cs="Times New Roman" w:eastAsiaTheme="minorEastAsia"/>
                <w:b w:val="0"/>
                <w:bCs w:val="0"/>
                <w:color w:val="000000"/>
                <w:sz w:val="24"/>
                <w:szCs w:val="24"/>
              </w:rPr>
              <w:t>人员</w:t>
            </w:r>
          </w:p>
        </w:tc>
        <w:tc>
          <w:tcPr>
            <w:tcW w:w="2578" w:type="dxa"/>
            <w:tcBorders>
              <w:top w:val="single" w:color="auto" w:sz="4" w:space="0"/>
              <w:left w:val="single" w:color="auto" w:sz="4" w:space="0"/>
            </w:tcBorders>
            <w:shd w:val="clear" w:color="auto" w:fill="FFFFFF"/>
            <w:noWrap w:val="0"/>
            <w:vAlign w:val="center"/>
          </w:tcPr>
          <w:p w14:paraId="1BB00CD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cs="Times New Roman" w:eastAsiaTheme="minorEastAsia"/>
                <w:b w:val="0"/>
                <w:bCs w:val="0"/>
                <w:sz w:val="24"/>
                <w:lang w:eastAsia="zh-CN"/>
              </w:rPr>
            </w:pPr>
            <w:r>
              <w:rPr>
                <w:rFonts w:hint="default" w:ascii="Times New Roman" w:hAnsi="Times New Roman" w:cs="Times New Roman" w:eastAsiaTheme="minorEastAsia"/>
                <w:b w:val="0"/>
                <w:bCs w:val="0"/>
                <w:sz w:val="24"/>
                <w:lang w:eastAsia="zh-CN"/>
              </w:rPr>
              <w:t>人员是否持证、是否经教育培训合格、是否存在违章作业行为等。</w:t>
            </w:r>
          </w:p>
        </w:tc>
        <w:tc>
          <w:tcPr>
            <w:tcW w:w="1430" w:type="dxa"/>
            <w:tcBorders>
              <w:top w:val="single" w:color="auto" w:sz="4" w:space="0"/>
              <w:left w:val="single" w:color="auto" w:sz="4" w:space="0"/>
            </w:tcBorders>
            <w:shd w:val="clear" w:color="auto" w:fill="FFFFFF"/>
            <w:noWrap w:val="0"/>
            <w:vAlign w:val="center"/>
          </w:tcPr>
          <w:p w14:paraId="718E01E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cs="Times New Roman" w:eastAsiaTheme="minorEastAsia"/>
                <w:b w:val="0"/>
                <w:bCs w:val="0"/>
                <w:sz w:val="24"/>
                <w:lang w:eastAsia="zh-CN"/>
              </w:rPr>
            </w:pPr>
          </w:p>
        </w:tc>
        <w:tc>
          <w:tcPr>
            <w:tcW w:w="1368" w:type="dxa"/>
            <w:tcBorders>
              <w:top w:val="single" w:color="auto" w:sz="4" w:space="0"/>
              <w:left w:val="single" w:color="auto" w:sz="4" w:space="0"/>
            </w:tcBorders>
            <w:shd w:val="clear" w:color="auto" w:fill="FFFFFF"/>
            <w:noWrap w:val="0"/>
            <w:vAlign w:val="center"/>
          </w:tcPr>
          <w:p w14:paraId="0751A8C8">
            <w:pPr>
              <w:keepNext w:val="0"/>
              <w:keepLines w:val="0"/>
              <w:pageBreakBefore w:val="0"/>
              <w:widowControl w:val="0"/>
              <w:kinsoku/>
              <w:wordWrap/>
              <w:overflowPunct/>
              <w:topLinePunct w:val="0"/>
              <w:autoSpaceDE/>
              <w:autoSpaceDN/>
              <w:bidi w:val="0"/>
              <w:adjustRightInd/>
              <w:snapToGrid/>
              <w:spacing w:line="240" w:lineRule="exact"/>
              <w:ind w:left="0" w:firstLine="883"/>
              <w:jc w:val="center"/>
              <w:textAlignment w:val="auto"/>
              <w:rPr>
                <w:rFonts w:hint="default" w:ascii="Times New Roman" w:hAnsi="Times New Roman" w:cs="Times New Roman" w:eastAsiaTheme="minorEastAsia"/>
                <w:b w:val="0"/>
                <w:bCs w:val="0"/>
                <w:sz w:val="24"/>
                <w:lang w:eastAsia="zh-CN"/>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1D7949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r>
      <w:tr w14:paraId="6E8BC4F5">
        <w:tblPrEx>
          <w:tblCellMar>
            <w:top w:w="0" w:type="dxa"/>
            <w:left w:w="10" w:type="dxa"/>
            <w:bottom w:w="0" w:type="dxa"/>
            <w:right w:w="10" w:type="dxa"/>
          </w:tblCellMar>
        </w:tblPrEx>
        <w:trPr>
          <w:trHeight w:val="1163" w:hRule="exact"/>
          <w:jc w:val="center"/>
        </w:trPr>
        <w:tc>
          <w:tcPr>
            <w:tcW w:w="869" w:type="dxa"/>
            <w:tcBorders>
              <w:top w:val="single" w:color="auto" w:sz="4" w:space="0"/>
              <w:left w:val="single" w:color="auto" w:sz="4" w:space="0"/>
            </w:tcBorders>
            <w:shd w:val="clear" w:color="auto" w:fill="FFFFFF"/>
            <w:noWrap w:val="0"/>
            <w:vAlign w:val="center"/>
          </w:tcPr>
          <w:p w14:paraId="63A63A8A">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2</w:t>
            </w:r>
          </w:p>
        </w:tc>
        <w:tc>
          <w:tcPr>
            <w:tcW w:w="1651" w:type="dxa"/>
            <w:tcBorders>
              <w:top w:val="single" w:color="auto" w:sz="4" w:space="0"/>
              <w:left w:val="single" w:color="auto" w:sz="4" w:space="0"/>
            </w:tcBorders>
            <w:shd w:val="clear" w:color="auto" w:fill="FFFFFF"/>
            <w:noWrap w:val="0"/>
            <w:vAlign w:val="center"/>
          </w:tcPr>
          <w:p w14:paraId="2963A569">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设备本体</w:t>
            </w:r>
          </w:p>
        </w:tc>
        <w:tc>
          <w:tcPr>
            <w:tcW w:w="2578" w:type="dxa"/>
            <w:tcBorders>
              <w:top w:val="single" w:color="auto" w:sz="4" w:space="0"/>
              <w:left w:val="single" w:color="auto" w:sz="4" w:space="0"/>
            </w:tcBorders>
            <w:shd w:val="clear" w:color="auto" w:fill="FFFFFF"/>
            <w:noWrap w:val="0"/>
            <w:vAlign w:val="center"/>
          </w:tcPr>
          <w:p w14:paraId="084CA9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cs="Times New Roman" w:eastAsiaTheme="minorEastAsia"/>
                <w:b w:val="0"/>
                <w:bCs w:val="0"/>
                <w:sz w:val="24"/>
                <w:lang w:eastAsia="zh-CN"/>
              </w:rPr>
            </w:pPr>
            <w:r>
              <w:rPr>
                <w:rFonts w:hint="default" w:ascii="Times New Roman" w:hAnsi="Times New Roman" w:cs="Times New Roman" w:eastAsiaTheme="minorEastAsia"/>
                <w:b w:val="0"/>
                <w:bCs w:val="0"/>
                <w:sz w:val="24"/>
                <w:lang w:eastAsia="zh-CN"/>
              </w:rPr>
              <w:t>设备是否在有限检验期内，设备本体有无泄漏、裂纹、变形、腐蚀等异常情况。</w:t>
            </w:r>
          </w:p>
        </w:tc>
        <w:tc>
          <w:tcPr>
            <w:tcW w:w="1430" w:type="dxa"/>
            <w:tcBorders>
              <w:top w:val="single" w:color="auto" w:sz="4" w:space="0"/>
              <w:left w:val="single" w:color="auto" w:sz="4" w:space="0"/>
            </w:tcBorders>
            <w:shd w:val="clear" w:color="auto" w:fill="FFFFFF"/>
            <w:noWrap w:val="0"/>
            <w:vAlign w:val="center"/>
          </w:tcPr>
          <w:p w14:paraId="55313D0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cs="Times New Roman" w:eastAsiaTheme="minorEastAsia"/>
                <w:b w:val="0"/>
                <w:bCs w:val="0"/>
                <w:sz w:val="24"/>
                <w:lang w:eastAsia="zh-CN"/>
              </w:rPr>
            </w:pPr>
          </w:p>
        </w:tc>
        <w:tc>
          <w:tcPr>
            <w:tcW w:w="1368" w:type="dxa"/>
            <w:tcBorders>
              <w:top w:val="single" w:color="auto" w:sz="4" w:space="0"/>
              <w:left w:val="single" w:color="auto" w:sz="4" w:space="0"/>
            </w:tcBorders>
            <w:shd w:val="clear" w:color="auto" w:fill="FFFFFF"/>
            <w:noWrap w:val="0"/>
            <w:vAlign w:val="center"/>
          </w:tcPr>
          <w:p w14:paraId="6B25987D">
            <w:pPr>
              <w:keepNext w:val="0"/>
              <w:keepLines w:val="0"/>
              <w:pageBreakBefore w:val="0"/>
              <w:widowControl w:val="0"/>
              <w:kinsoku/>
              <w:wordWrap/>
              <w:overflowPunct/>
              <w:topLinePunct w:val="0"/>
              <w:autoSpaceDE/>
              <w:autoSpaceDN/>
              <w:bidi w:val="0"/>
              <w:adjustRightInd/>
              <w:snapToGrid/>
              <w:spacing w:line="240" w:lineRule="exact"/>
              <w:ind w:left="0" w:firstLine="883"/>
              <w:jc w:val="center"/>
              <w:textAlignment w:val="auto"/>
              <w:rPr>
                <w:rFonts w:hint="default" w:ascii="Times New Roman" w:hAnsi="Times New Roman" w:cs="Times New Roman" w:eastAsiaTheme="minorEastAsia"/>
                <w:b w:val="0"/>
                <w:bCs w:val="0"/>
                <w:sz w:val="24"/>
                <w:lang w:eastAsia="zh-CN"/>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70AC91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r>
      <w:tr w14:paraId="2D745428">
        <w:tblPrEx>
          <w:tblCellMar>
            <w:top w:w="0" w:type="dxa"/>
            <w:left w:w="10" w:type="dxa"/>
            <w:bottom w:w="0" w:type="dxa"/>
            <w:right w:w="10" w:type="dxa"/>
          </w:tblCellMar>
        </w:tblPrEx>
        <w:trPr>
          <w:trHeight w:val="1123" w:hRule="exact"/>
          <w:jc w:val="center"/>
        </w:trPr>
        <w:tc>
          <w:tcPr>
            <w:tcW w:w="869" w:type="dxa"/>
            <w:tcBorders>
              <w:top w:val="single" w:color="auto" w:sz="4" w:space="0"/>
              <w:left w:val="single" w:color="auto" w:sz="4" w:space="0"/>
            </w:tcBorders>
            <w:shd w:val="clear" w:color="auto" w:fill="FFFFFF"/>
            <w:noWrap w:val="0"/>
            <w:vAlign w:val="center"/>
          </w:tcPr>
          <w:p w14:paraId="5C3DA8CF">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3</w:t>
            </w:r>
          </w:p>
        </w:tc>
        <w:tc>
          <w:tcPr>
            <w:tcW w:w="1651" w:type="dxa"/>
            <w:tcBorders>
              <w:top w:val="single" w:color="auto" w:sz="4" w:space="0"/>
              <w:left w:val="single" w:color="auto" w:sz="4" w:space="0"/>
            </w:tcBorders>
            <w:shd w:val="clear" w:color="auto" w:fill="FFFFFF"/>
            <w:noWrap w:val="0"/>
            <w:vAlign w:val="center"/>
          </w:tcPr>
          <w:p w14:paraId="53AF7088">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color w:val="000000"/>
                <w:sz w:val="24"/>
                <w:szCs w:val="24"/>
              </w:rPr>
              <w:t>安全附件</w:t>
            </w:r>
            <w:r>
              <w:rPr>
                <w:rFonts w:hint="default" w:ascii="Times New Roman" w:hAnsi="Times New Roman" w:cs="Times New Roman" w:eastAsiaTheme="minorEastAsia"/>
                <w:b w:val="0"/>
                <w:bCs w:val="0"/>
                <w:color w:val="000000"/>
                <w:sz w:val="24"/>
                <w:szCs w:val="24"/>
                <w:lang w:eastAsia="zh-CN"/>
              </w:rPr>
              <w:t>和计量器具</w:t>
            </w:r>
          </w:p>
        </w:tc>
        <w:tc>
          <w:tcPr>
            <w:tcW w:w="2578" w:type="dxa"/>
            <w:tcBorders>
              <w:top w:val="single" w:color="auto" w:sz="4" w:space="0"/>
              <w:left w:val="single" w:color="auto" w:sz="4" w:space="0"/>
            </w:tcBorders>
            <w:shd w:val="clear" w:color="auto" w:fill="FFFFFF"/>
            <w:noWrap w:val="0"/>
            <w:vAlign w:val="center"/>
          </w:tcPr>
          <w:p w14:paraId="20B89B8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cs="Times New Roman" w:eastAsiaTheme="minorEastAsia"/>
                <w:b w:val="0"/>
                <w:bCs w:val="0"/>
                <w:sz w:val="24"/>
                <w:lang w:eastAsia="zh-CN"/>
              </w:rPr>
            </w:pPr>
            <w:r>
              <w:rPr>
                <w:rFonts w:hint="default" w:ascii="Times New Roman" w:hAnsi="Times New Roman" w:cs="Times New Roman" w:eastAsiaTheme="minorEastAsia"/>
                <w:b w:val="0"/>
                <w:bCs w:val="0"/>
                <w:sz w:val="24"/>
                <w:lang w:eastAsia="zh-CN"/>
              </w:rPr>
              <w:t>安全附件和计量器具是否在有效期内，是否张贴或固定铅封标牌、检定标识。</w:t>
            </w:r>
          </w:p>
        </w:tc>
        <w:tc>
          <w:tcPr>
            <w:tcW w:w="1430" w:type="dxa"/>
            <w:tcBorders>
              <w:top w:val="single" w:color="auto" w:sz="4" w:space="0"/>
              <w:left w:val="single" w:color="auto" w:sz="4" w:space="0"/>
            </w:tcBorders>
            <w:shd w:val="clear" w:color="auto" w:fill="FFFFFF"/>
            <w:noWrap w:val="0"/>
            <w:vAlign w:val="center"/>
          </w:tcPr>
          <w:p w14:paraId="611A475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cs="Times New Roman" w:eastAsiaTheme="minorEastAsia"/>
                <w:b w:val="0"/>
                <w:bCs w:val="0"/>
                <w:sz w:val="24"/>
              </w:rPr>
            </w:pPr>
          </w:p>
        </w:tc>
        <w:tc>
          <w:tcPr>
            <w:tcW w:w="1368" w:type="dxa"/>
            <w:tcBorders>
              <w:top w:val="single" w:color="auto" w:sz="4" w:space="0"/>
              <w:left w:val="single" w:color="auto" w:sz="4" w:space="0"/>
            </w:tcBorders>
            <w:shd w:val="clear" w:color="auto" w:fill="FFFFFF"/>
            <w:noWrap w:val="0"/>
            <w:vAlign w:val="center"/>
          </w:tcPr>
          <w:p w14:paraId="347803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2F500E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r>
      <w:tr w14:paraId="4110BD66">
        <w:tblPrEx>
          <w:tblCellMar>
            <w:top w:w="0" w:type="dxa"/>
            <w:left w:w="10" w:type="dxa"/>
            <w:bottom w:w="0" w:type="dxa"/>
            <w:right w:w="10" w:type="dxa"/>
          </w:tblCellMar>
        </w:tblPrEx>
        <w:trPr>
          <w:trHeight w:val="869" w:hRule="exact"/>
          <w:jc w:val="center"/>
        </w:trPr>
        <w:tc>
          <w:tcPr>
            <w:tcW w:w="869" w:type="dxa"/>
            <w:tcBorders>
              <w:top w:val="single" w:color="auto" w:sz="4" w:space="0"/>
              <w:left w:val="single" w:color="auto" w:sz="4" w:space="0"/>
            </w:tcBorders>
            <w:shd w:val="clear" w:color="auto" w:fill="FFFFFF"/>
            <w:noWrap w:val="0"/>
            <w:vAlign w:val="center"/>
          </w:tcPr>
          <w:p w14:paraId="52EC1E39">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4</w:t>
            </w:r>
          </w:p>
        </w:tc>
        <w:tc>
          <w:tcPr>
            <w:tcW w:w="1651" w:type="dxa"/>
            <w:tcBorders>
              <w:top w:val="single" w:color="auto" w:sz="4" w:space="0"/>
              <w:left w:val="single" w:color="auto" w:sz="4" w:space="0"/>
            </w:tcBorders>
            <w:shd w:val="clear" w:color="auto" w:fill="FFFFFF"/>
            <w:noWrap w:val="0"/>
            <w:vAlign w:val="center"/>
          </w:tcPr>
          <w:p w14:paraId="7A875113">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sz w:val="24"/>
                <w:szCs w:val="24"/>
                <w:lang w:eastAsia="zh-CN"/>
              </w:rPr>
              <w:t>安全保护装置</w:t>
            </w:r>
          </w:p>
        </w:tc>
        <w:tc>
          <w:tcPr>
            <w:tcW w:w="2578" w:type="dxa"/>
            <w:tcBorders>
              <w:top w:val="single" w:color="auto" w:sz="4" w:space="0"/>
              <w:left w:val="single" w:color="auto" w:sz="4" w:space="0"/>
            </w:tcBorders>
            <w:shd w:val="clear" w:color="auto" w:fill="FFFFFF"/>
            <w:noWrap w:val="0"/>
            <w:vAlign w:val="center"/>
          </w:tcPr>
          <w:p w14:paraId="13ADF1C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cs="Times New Roman" w:eastAsiaTheme="minorEastAsia"/>
                <w:b w:val="0"/>
                <w:bCs w:val="0"/>
                <w:sz w:val="24"/>
                <w:lang w:eastAsia="zh-CN"/>
              </w:rPr>
            </w:pPr>
            <w:r>
              <w:rPr>
                <w:rFonts w:hint="default" w:ascii="Times New Roman" w:hAnsi="Times New Roman" w:cs="Times New Roman" w:eastAsiaTheme="minorEastAsia"/>
                <w:b w:val="0"/>
                <w:bCs w:val="0"/>
                <w:sz w:val="24"/>
                <w:lang w:eastAsia="zh-CN"/>
              </w:rPr>
              <w:t>安全保护装置是否缺少，功能是否完好有效。</w:t>
            </w:r>
          </w:p>
        </w:tc>
        <w:tc>
          <w:tcPr>
            <w:tcW w:w="1430" w:type="dxa"/>
            <w:tcBorders>
              <w:top w:val="single" w:color="auto" w:sz="4" w:space="0"/>
              <w:left w:val="single" w:color="auto" w:sz="4" w:space="0"/>
            </w:tcBorders>
            <w:shd w:val="clear" w:color="auto" w:fill="FFFFFF"/>
            <w:noWrap w:val="0"/>
            <w:vAlign w:val="center"/>
          </w:tcPr>
          <w:p w14:paraId="699A458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cs="Times New Roman" w:eastAsiaTheme="minorEastAsia"/>
                <w:b w:val="0"/>
                <w:bCs w:val="0"/>
                <w:sz w:val="24"/>
              </w:rPr>
            </w:pPr>
          </w:p>
        </w:tc>
        <w:tc>
          <w:tcPr>
            <w:tcW w:w="1368" w:type="dxa"/>
            <w:tcBorders>
              <w:top w:val="single" w:color="auto" w:sz="4" w:space="0"/>
              <w:left w:val="single" w:color="auto" w:sz="4" w:space="0"/>
            </w:tcBorders>
            <w:shd w:val="clear" w:color="auto" w:fill="FFFFFF"/>
            <w:noWrap w:val="0"/>
            <w:vAlign w:val="center"/>
          </w:tcPr>
          <w:p w14:paraId="0F1F48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23A98C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r>
      <w:tr w14:paraId="39052DF4">
        <w:tblPrEx>
          <w:tblCellMar>
            <w:top w:w="0" w:type="dxa"/>
            <w:left w:w="10" w:type="dxa"/>
            <w:bottom w:w="0" w:type="dxa"/>
            <w:right w:w="10" w:type="dxa"/>
          </w:tblCellMar>
        </w:tblPrEx>
        <w:trPr>
          <w:trHeight w:val="804" w:hRule="exact"/>
          <w:jc w:val="center"/>
        </w:trPr>
        <w:tc>
          <w:tcPr>
            <w:tcW w:w="869" w:type="dxa"/>
            <w:tcBorders>
              <w:top w:val="single" w:color="auto" w:sz="4" w:space="0"/>
              <w:left w:val="single" w:color="auto" w:sz="4" w:space="0"/>
            </w:tcBorders>
            <w:shd w:val="clear" w:color="auto" w:fill="FFFFFF"/>
            <w:noWrap w:val="0"/>
            <w:vAlign w:val="center"/>
          </w:tcPr>
          <w:p w14:paraId="6EFD386F">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5</w:t>
            </w:r>
          </w:p>
        </w:tc>
        <w:tc>
          <w:tcPr>
            <w:tcW w:w="1651" w:type="dxa"/>
            <w:tcBorders>
              <w:top w:val="single" w:color="auto" w:sz="4" w:space="0"/>
              <w:left w:val="single" w:color="auto" w:sz="4" w:space="0"/>
            </w:tcBorders>
            <w:shd w:val="clear" w:color="auto" w:fill="FFFFFF"/>
            <w:noWrap w:val="0"/>
            <w:vAlign w:val="center"/>
          </w:tcPr>
          <w:p w14:paraId="48D46924">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sz w:val="24"/>
                <w:szCs w:val="24"/>
                <w:lang w:eastAsia="zh-CN"/>
              </w:rPr>
              <w:t>维护保养状况</w:t>
            </w:r>
          </w:p>
        </w:tc>
        <w:tc>
          <w:tcPr>
            <w:tcW w:w="2578" w:type="dxa"/>
            <w:tcBorders>
              <w:top w:val="single" w:color="auto" w:sz="4" w:space="0"/>
              <w:left w:val="single" w:color="auto" w:sz="4" w:space="0"/>
            </w:tcBorders>
            <w:shd w:val="clear" w:color="auto" w:fill="FFFFFF"/>
            <w:noWrap w:val="0"/>
            <w:vAlign w:val="center"/>
          </w:tcPr>
          <w:p w14:paraId="3AD1F71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cs="Times New Roman" w:eastAsiaTheme="minorEastAsia"/>
                <w:b w:val="0"/>
                <w:bCs w:val="0"/>
                <w:sz w:val="24"/>
                <w:lang w:eastAsia="zh-CN"/>
              </w:rPr>
            </w:pPr>
            <w:r>
              <w:rPr>
                <w:rFonts w:hint="default" w:ascii="Times New Roman" w:hAnsi="Times New Roman" w:cs="Times New Roman" w:eastAsiaTheme="minorEastAsia"/>
                <w:b w:val="0"/>
                <w:bCs w:val="0"/>
                <w:sz w:val="24"/>
                <w:lang w:eastAsia="zh-CN"/>
              </w:rPr>
              <w:t>是否按期进行维护保养。</w:t>
            </w:r>
          </w:p>
        </w:tc>
        <w:tc>
          <w:tcPr>
            <w:tcW w:w="1430" w:type="dxa"/>
            <w:tcBorders>
              <w:top w:val="single" w:color="auto" w:sz="4" w:space="0"/>
              <w:left w:val="single" w:color="auto" w:sz="4" w:space="0"/>
            </w:tcBorders>
            <w:shd w:val="clear" w:color="auto" w:fill="FFFFFF"/>
            <w:noWrap w:val="0"/>
            <w:vAlign w:val="center"/>
          </w:tcPr>
          <w:p w14:paraId="28CE37D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cs="Times New Roman" w:eastAsiaTheme="minorEastAsia"/>
                <w:b w:val="0"/>
                <w:bCs w:val="0"/>
                <w:sz w:val="24"/>
              </w:rPr>
            </w:pPr>
          </w:p>
        </w:tc>
        <w:tc>
          <w:tcPr>
            <w:tcW w:w="1368" w:type="dxa"/>
            <w:tcBorders>
              <w:top w:val="single" w:color="auto" w:sz="4" w:space="0"/>
              <w:left w:val="single" w:color="auto" w:sz="4" w:space="0"/>
            </w:tcBorders>
            <w:shd w:val="clear" w:color="auto" w:fill="FFFFFF"/>
            <w:noWrap w:val="0"/>
            <w:vAlign w:val="center"/>
          </w:tcPr>
          <w:p w14:paraId="245B68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0E1285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r>
      <w:tr w14:paraId="6EF6CFCE">
        <w:tblPrEx>
          <w:tblCellMar>
            <w:top w:w="0" w:type="dxa"/>
            <w:left w:w="10" w:type="dxa"/>
            <w:bottom w:w="0" w:type="dxa"/>
            <w:right w:w="10" w:type="dxa"/>
          </w:tblCellMar>
        </w:tblPrEx>
        <w:trPr>
          <w:trHeight w:val="807" w:hRule="exact"/>
          <w:jc w:val="center"/>
        </w:trPr>
        <w:tc>
          <w:tcPr>
            <w:tcW w:w="869" w:type="dxa"/>
            <w:tcBorders>
              <w:top w:val="single" w:color="auto" w:sz="4" w:space="0"/>
              <w:left w:val="single" w:color="auto" w:sz="4" w:space="0"/>
            </w:tcBorders>
            <w:shd w:val="clear" w:color="auto" w:fill="FFFFFF"/>
            <w:noWrap w:val="0"/>
            <w:vAlign w:val="center"/>
          </w:tcPr>
          <w:p w14:paraId="6F478699">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6</w:t>
            </w:r>
          </w:p>
        </w:tc>
        <w:tc>
          <w:tcPr>
            <w:tcW w:w="1651" w:type="dxa"/>
            <w:tcBorders>
              <w:top w:val="single" w:color="auto" w:sz="4" w:space="0"/>
              <w:left w:val="single" w:color="auto" w:sz="4" w:space="0"/>
            </w:tcBorders>
            <w:shd w:val="clear" w:color="auto" w:fill="FFFFFF"/>
            <w:noWrap w:val="0"/>
            <w:vAlign w:val="center"/>
          </w:tcPr>
          <w:p w14:paraId="18113F2B">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sz w:val="24"/>
                <w:szCs w:val="24"/>
                <w:lang w:eastAsia="zh-CN"/>
              </w:rPr>
              <w:t>定期自行检查情况</w:t>
            </w:r>
          </w:p>
        </w:tc>
        <w:tc>
          <w:tcPr>
            <w:tcW w:w="2578" w:type="dxa"/>
            <w:tcBorders>
              <w:top w:val="single" w:color="auto" w:sz="4" w:space="0"/>
              <w:left w:val="single" w:color="auto" w:sz="4" w:space="0"/>
            </w:tcBorders>
            <w:shd w:val="clear" w:color="auto" w:fill="FFFFFF"/>
            <w:noWrap w:val="0"/>
            <w:vAlign w:val="center"/>
          </w:tcPr>
          <w:p w14:paraId="234AF6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cs="Times New Roman" w:eastAsiaTheme="minorEastAsia"/>
                <w:b w:val="0"/>
                <w:bCs w:val="0"/>
                <w:sz w:val="24"/>
                <w:lang w:eastAsia="zh-CN"/>
              </w:rPr>
            </w:pPr>
            <w:r>
              <w:rPr>
                <w:rFonts w:hint="default" w:ascii="Times New Roman" w:hAnsi="Times New Roman" w:cs="Times New Roman" w:eastAsiaTheme="minorEastAsia"/>
                <w:b w:val="0"/>
                <w:bCs w:val="0"/>
                <w:sz w:val="24"/>
                <w:lang w:eastAsia="zh-CN"/>
              </w:rPr>
              <w:t>是否定期进行年度、月度检查，留存记录。</w:t>
            </w:r>
          </w:p>
        </w:tc>
        <w:tc>
          <w:tcPr>
            <w:tcW w:w="1430" w:type="dxa"/>
            <w:tcBorders>
              <w:top w:val="single" w:color="auto" w:sz="4" w:space="0"/>
              <w:left w:val="single" w:color="auto" w:sz="4" w:space="0"/>
            </w:tcBorders>
            <w:shd w:val="clear" w:color="auto" w:fill="FFFFFF"/>
            <w:noWrap w:val="0"/>
            <w:vAlign w:val="center"/>
          </w:tcPr>
          <w:p w14:paraId="12AFFF0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cs="Times New Roman" w:eastAsiaTheme="minorEastAsia"/>
                <w:b w:val="0"/>
                <w:bCs w:val="0"/>
                <w:sz w:val="24"/>
              </w:rPr>
            </w:pPr>
          </w:p>
        </w:tc>
        <w:tc>
          <w:tcPr>
            <w:tcW w:w="1368" w:type="dxa"/>
            <w:tcBorders>
              <w:top w:val="single" w:color="auto" w:sz="4" w:space="0"/>
              <w:left w:val="single" w:color="auto" w:sz="4" w:space="0"/>
            </w:tcBorders>
            <w:shd w:val="clear" w:color="auto" w:fill="FFFFFF"/>
            <w:noWrap w:val="0"/>
            <w:vAlign w:val="center"/>
          </w:tcPr>
          <w:p w14:paraId="52231C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1B1F0C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r>
      <w:tr w14:paraId="36F7D665">
        <w:tblPrEx>
          <w:tblCellMar>
            <w:top w:w="0" w:type="dxa"/>
            <w:left w:w="10" w:type="dxa"/>
            <w:bottom w:w="0" w:type="dxa"/>
            <w:right w:w="10" w:type="dxa"/>
          </w:tblCellMar>
        </w:tblPrEx>
        <w:trPr>
          <w:trHeight w:val="772" w:hRule="exact"/>
          <w:jc w:val="center"/>
        </w:trPr>
        <w:tc>
          <w:tcPr>
            <w:tcW w:w="869" w:type="dxa"/>
            <w:tcBorders>
              <w:top w:val="single" w:color="auto" w:sz="4" w:space="0"/>
              <w:left w:val="single" w:color="auto" w:sz="4" w:space="0"/>
            </w:tcBorders>
            <w:shd w:val="clear" w:color="auto" w:fill="FFFFFF"/>
            <w:noWrap w:val="0"/>
            <w:vAlign w:val="center"/>
          </w:tcPr>
          <w:p w14:paraId="69687478">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7</w:t>
            </w:r>
          </w:p>
        </w:tc>
        <w:tc>
          <w:tcPr>
            <w:tcW w:w="1651" w:type="dxa"/>
            <w:tcBorders>
              <w:top w:val="single" w:color="auto" w:sz="4" w:space="0"/>
              <w:left w:val="single" w:color="auto" w:sz="4" w:space="0"/>
            </w:tcBorders>
            <w:shd w:val="clear" w:color="auto" w:fill="FFFFFF"/>
            <w:noWrap w:val="0"/>
            <w:vAlign w:val="center"/>
          </w:tcPr>
          <w:p w14:paraId="7FC44A06">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sz w:val="24"/>
                <w:szCs w:val="24"/>
                <w:lang w:eastAsia="zh-CN"/>
              </w:rPr>
              <w:t>工艺参数</w:t>
            </w:r>
          </w:p>
        </w:tc>
        <w:tc>
          <w:tcPr>
            <w:tcW w:w="2578" w:type="dxa"/>
            <w:tcBorders>
              <w:top w:val="single" w:color="auto" w:sz="4" w:space="0"/>
              <w:left w:val="single" w:color="auto" w:sz="4" w:space="0"/>
            </w:tcBorders>
            <w:shd w:val="clear" w:color="auto" w:fill="FFFFFF"/>
            <w:noWrap w:val="0"/>
            <w:vAlign w:val="center"/>
          </w:tcPr>
          <w:p w14:paraId="1B36652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cs="Times New Roman" w:eastAsiaTheme="minorEastAsia"/>
                <w:b w:val="0"/>
                <w:bCs w:val="0"/>
                <w:sz w:val="24"/>
                <w:lang w:eastAsia="zh-CN"/>
              </w:rPr>
            </w:pPr>
            <w:r>
              <w:rPr>
                <w:rFonts w:hint="default" w:ascii="Times New Roman" w:hAnsi="Times New Roman" w:cs="Times New Roman" w:eastAsiaTheme="minorEastAsia"/>
                <w:b w:val="0"/>
                <w:bCs w:val="0"/>
                <w:sz w:val="24"/>
                <w:lang w:eastAsia="zh-CN"/>
              </w:rPr>
              <w:t>是否存在超温、超压运行情况。</w:t>
            </w:r>
          </w:p>
        </w:tc>
        <w:tc>
          <w:tcPr>
            <w:tcW w:w="1430" w:type="dxa"/>
            <w:tcBorders>
              <w:top w:val="single" w:color="auto" w:sz="4" w:space="0"/>
              <w:left w:val="single" w:color="auto" w:sz="4" w:space="0"/>
            </w:tcBorders>
            <w:shd w:val="clear" w:color="auto" w:fill="FFFFFF"/>
            <w:noWrap w:val="0"/>
            <w:vAlign w:val="center"/>
          </w:tcPr>
          <w:p w14:paraId="6457793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cs="Times New Roman" w:eastAsiaTheme="minorEastAsia"/>
                <w:b w:val="0"/>
                <w:bCs w:val="0"/>
                <w:sz w:val="24"/>
              </w:rPr>
            </w:pPr>
          </w:p>
        </w:tc>
        <w:tc>
          <w:tcPr>
            <w:tcW w:w="1368" w:type="dxa"/>
            <w:tcBorders>
              <w:top w:val="single" w:color="auto" w:sz="4" w:space="0"/>
              <w:left w:val="single" w:color="auto" w:sz="4" w:space="0"/>
            </w:tcBorders>
            <w:shd w:val="clear" w:color="auto" w:fill="FFFFFF"/>
            <w:noWrap w:val="0"/>
            <w:vAlign w:val="center"/>
          </w:tcPr>
          <w:p w14:paraId="6D52045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1554C6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r>
      <w:tr w14:paraId="29299F78">
        <w:tblPrEx>
          <w:tblCellMar>
            <w:top w:w="0" w:type="dxa"/>
            <w:left w:w="10" w:type="dxa"/>
            <w:bottom w:w="0" w:type="dxa"/>
            <w:right w:w="10" w:type="dxa"/>
          </w:tblCellMar>
        </w:tblPrEx>
        <w:trPr>
          <w:trHeight w:val="897" w:hRule="exact"/>
          <w:jc w:val="center"/>
        </w:trPr>
        <w:tc>
          <w:tcPr>
            <w:tcW w:w="869" w:type="dxa"/>
            <w:tcBorders>
              <w:top w:val="single" w:color="auto" w:sz="4" w:space="0"/>
              <w:left w:val="single" w:color="auto" w:sz="4" w:space="0"/>
            </w:tcBorders>
            <w:shd w:val="clear" w:color="auto" w:fill="FFFFFF"/>
            <w:noWrap w:val="0"/>
            <w:vAlign w:val="center"/>
          </w:tcPr>
          <w:p w14:paraId="2FD0DFEC">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8</w:t>
            </w:r>
          </w:p>
        </w:tc>
        <w:tc>
          <w:tcPr>
            <w:tcW w:w="1651" w:type="dxa"/>
            <w:tcBorders>
              <w:top w:val="single" w:color="auto" w:sz="4" w:space="0"/>
              <w:left w:val="single" w:color="auto" w:sz="4" w:space="0"/>
            </w:tcBorders>
            <w:shd w:val="clear" w:color="auto" w:fill="FFFFFF"/>
            <w:noWrap w:val="0"/>
            <w:vAlign w:val="center"/>
          </w:tcPr>
          <w:p w14:paraId="7DD8CAD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eastAsiaTheme="minorEastAsia"/>
                <w:b w:val="0"/>
                <w:bCs w:val="0"/>
                <w:sz w:val="24"/>
                <w:lang w:eastAsia="zh-CN"/>
              </w:rPr>
            </w:pPr>
            <w:r>
              <w:rPr>
                <w:rFonts w:hint="default" w:ascii="Times New Roman" w:hAnsi="Times New Roman" w:cs="Times New Roman" w:eastAsiaTheme="minorEastAsia"/>
                <w:b w:val="0"/>
                <w:bCs w:val="0"/>
                <w:color w:val="000000"/>
                <w:sz w:val="24"/>
                <w:szCs w:val="24"/>
                <w:lang w:eastAsia="zh-CN"/>
              </w:rPr>
              <w:t>外部</w:t>
            </w:r>
            <w:r>
              <w:rPr>
                <w:rFonts w:hint="default" w:ascii="Times New Roman" w:hAnsi="Times New Roman" w:cs="Times New Roman" w:eastAsiaTheme="minorEastAsia"/>
                <w:b w:val="0"/>
                <w:bCs w:val="0"/>
                <w:color w:val="000000"/>
                <w:sz w:val="24"/>
                <w:szCs w:val="24"/>
              </w:rPr>
              <w:t>环境</w:t>
            </w:r>
            <w:r>
              <w:rPr>
                <w:rFonts w:hint="default" w:ascii="Times New Roman" w:hAnsi="Times New Roman" w:cs="Times New Roman" w:eastAsiaTheme="minorEastAsia"/>
                <w:b w:val="0"/>
                <w:bCs w:val="0"/>
                <w:color w:val="000000"/>
                <w:sz w:val="24"/>
                <w:szCs w:val="24"/>
                <w:lang w:eastAsia="zh-CN"/>
              </w:rPr>
              <w:t>和第三方破坏</w:t>
            </w:r>
          </w:p>
        </w:tc>
        <w:tc>
          <w:tcPr>
            <w:tcW w:w="2578" w:type="dxa"/>
            <w:tcBorders>
              <w:top w:val="single" w:color="auto" w:sz="4" w:space="0"/>
              <w:left w:val="single" w:color="auto" w:sz="4" w:space="0"/>
            </w:tcBorders>
            <w:shd w:val="clear" w:color="auto" w:fill="FFFFFF"/>
            <w:noWrap w:val="0"/>
            <w:vAlign w:val="center"/>
          </w:tcPr>
          <w:p w14:paraId="308270B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cs="Times New Roman" w:eastAsiaTheme="minorEastAsia"/>
                <w:b w:val="0"/>
                <w:bCs w:val="0"/>
                <w:sz w:val="24"/>
                <w:lang w:eastAsia="zh-CN"/>
              </w:rPr>
            </w:pPr>
          </w:p>
        </w:tc>
        <w:tc>
          <w:tcPr>
            <w:tcW w:w="1430" w:type="dxa"/>
            <w:tcBorders>
              <w:top w:val="single" w:color="auto" w:sz="4" w:space="0"/>
              <w:left w:val="single" w:color="auto" w:sz="4" w:space="0"/>
            </w:tcBorders>
            <w:shd w:val="clear" w:color="auto" w:fill="FFFFFF"/>
            <w:noWrap w:val="0"/>
            <w:vAlign w:val="center"/>
          </w:tcPr>
          <w:p w14:paraId="43D6EA7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default" w:ascii="Times New Roman" w:hAnsi="Times New Roman" w:cs="Times New Roman" w:eastAsiaTheme="minorEastAsia"/>
                <w:b w:val="0"/>
                <w:bCs w:val="0"/>
                <w:sz w:val="24"/>
              </w:rPr>
            </w:pPr>
          </w:p>
        </w:tc>
        <w:tc>
          <w:tcPr>
            <w:tcW w:w="1368" w:type="dxa"/>
            <w:tcBorders>
              <w:top w:val="single" w:color="auto" w:sz="4" w:space="0"/>
              <w:left w:val="single" w:color="auto" w:sz="4" w:space="0"/>
            </w:tcBorders>
            <w:shd w:val="clear" w:color="auto" w:fill="FFFFFF"/>
            <w:noWrap w:val="0"/>
            <w:vAlign w:val="center"/>
          </w:tcPr>
          <w:p w14:paraId="1969A6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c>
          <w:tcPr>
            <w:tcW w:w="1056" w:type="dxa"/>
            <w:tcBorders>
              <w:top w:val="single" w:color="auto" w:sz="4" w:space="0"/>
              <w:left w:val="single" w:color="auto" w:sz="4" w:space="0"/>
              <w:right w:val="single" w:color="auto" w:sz="4" w:space="0"/>
            </w:tcBorders>
            <w:shd w:val="clear" w:color="auto" w:fill="FFFFFF"/>
            <w:noWrap w:val="0"/>
            <w:vAlign w:val="center"/>
          </w:tcPr>
          <w:p w14:paraId="21FC91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b w:val="0"/>
                <w:bCs w:val="0"/>
                <w:sz w:val="24"/>
              </w:rPr>
            </w:pPr>
          </w:p>
        </w:tc>
      </w:tr>
      <w:tr w14:paraId="25B5B005">
        <w:tblPrEx>
          <w:tblCellMar>
            <w:top w:w="0" w:type="dxa"/>
            <w:left w:w="10" w:type="dxa"/>
            <w:bottom w:w="0" w:type="dxa"/>
            <w:right w:w="10" w:type="dxa"/>
          </w:tblCellMar>
        </w:tblPrEx>
        <w:trPr>
          <w:trHeight w:val="1895" w:hRule="exact"/>
          <w:jc w:val="center"/>
        </w:trPr>
        <w:tc>
          <w:tcPr>
            <w:tcW w:w="8952" w:type="dxa"/>
            <w:gridSpan w:val="6"/>
            <w:tcBorders>
              <w:top w:val="single" w:color="auto" w:sz="4" w:space="0"/>
              <w:left w:val="single" w:color="auto" w:sz="4" w:space="0"/>
              <w:bottom w:val="single" w:color="auto" w:sz="4" w:space="0"/>
              <w:right w:val="single" w:color="auto" w:sz="4" w:space="0"/>
            </w:tcBorders>
            <w:shd w:val="clear" w:color="auto" w:fill="FFFFFF"/>
            <w:noWrap w:val="0"/>
            <w:vAlign w:val="top"/>
          </w:tcPr>
          <w:p w14:paraId="54F5908D">
            <w:pPr>
              <w:pStyle w:val="28"/>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cs="Times New Roman" w:eastAsiaTheme="minorEastAsia"/>
                <w:b w:val="0"/>
                <w:bCs w:val="0"/>
                <w:color w:val="000000"/>
                <w:sz w:val="24"/>
                <w:szCs w:val="24"/>
              </w:rPr>
            </w:pPr>
          </w:p>
          <w:p w14:paraId="04012682">
            <w:pPr>
              <w:pStyle w:val="28"/>
              <w:keepNext w:val="0"/>
              <w:keepLines w:val="0"/>
              <w:pageBreakBefore w:val="0"/>
              <w:widowControl w:val="0"/>
              <w:kinsoku/>
              <w:wordWrap/>
              <w:overflowPunct/>
              <w:topLinePunct w:val="0"/>
              <w:autoSpaceDE/>
              <w:autoSpaceDN/>
              <w:bidi w:val="0"/>
              <w:adjustRightInd/>
              <w:snapToGrid/>
              <w:spacing w:line="240" w:lineRule="exact"/>
              <w:ind w:left="0" w:leftChars="0" w:firstLine="240" w:firstLineChars="100"/>
              <w:jc w:val="left"/>
              <w:textAlignment w:val="auto"/>
              <w:rPr>
                <w:rFonts w:hint="default" w:ascii="Times New Roman" w:hAnsi="Times New Roman" w:cs="Times New Roman" w:eastAsiaTheme="minorEastAsia"/>
                <w:b w:val="0"/>
                <w:bCs w:val="0"/>
                <w:color w:val="000000"/>
                <w:sz w:val="24"/>
                <w:szCs w:val="24"/>
              </w:rPr>
            </w:pPr>
            <w:r>
              <w:rPr>
                <w:rFonts w:hint="default" w:ascii="Times New Roman" w:hAnsi="Times New Roman" w:cs="Times New Roman" w:eastAsiaTheme="minorEastAsia"/>
                <w:b w:val="0"/>
                <w:bCs w:val="0"/>
                <w:color w:val="000000"/>
                <w:sz w:val="24"/>
                <w:szCs w:val="24"/>
              </w:rPr>
              <w:t>釆取的防范措施：</w:t>
            </w:r>
          </w:p>
          <w:p w14:paraId="0F50D64D">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eastAsiaTheme="minorEastAsia"/>
                <w:b w:val="0"/>
                <w:bCs w:val="0"/>
                <w:color w:val="000000"/>
                <w:sz w:val="24"/>
              </w:rPr>
            </w:pPr>
          </w:p>
          <w:p w14:paraId="3D5133C6">
            <w:pPr>
              <w:pStyle w:val="2"/>
              <w:pageBreakBefore w:val="0"/>
              <w:widowControl w:val="0"/>
              <w:kinsoku/>
              <w:wordWrap/>
              <w:overflowPunct/>
              <w:topLinePunct w:val="0"/>
              <w:autoSpaceDE/>
              <w:autoSpaceDN/>
              <w:bidi w:val="0"/>
              <w:adjustRightInd/>
              <w:snapToGrid/>
              <w:spacing w:line="240" w:lineRule="exact"/>
              <w:textAlignment w:val="auto"/>
              <w:rPr>
                <w:rFonts w:hint="default"/>
              </w:rPr>
            </w:pPr>
          </w:p>
          <w:p w14:paraId="4B8CE344">
            <w:pPr>
              <w:keepNext w:val="0"/>
              <w:keepLines w:val="0"/>
              <w:pageBreakBefore w:val="0"/>
              <w:widowControl w:val="0"/>
              <w:kinsoku/>
              <w:wordWrap/>
              <w:overflowPunct/>
              <w:topLinePunct w:val="0"/>
              <w:autoSpaceDE/>
              <w:autoSpaceDN/>
              <w:bidi w:val="0"/>
              <w:adjustRightInd/>
              <w:snapToGrid/>
              <w:spacing w:line="240" w:lineRule="exact"/>
              <w:ind w:left="0" w:leftChars="0" w:firstLine="240" w:firstLineChars="100"/>
              <w:textAlignment w:val="auto"/>
              <w:rPr>
                <w:rFonts w:hint="default" w:ascii="Times New Roman" w:hAnsi="Times New Roman" w:cs="Times New Roman" w:eastAsiaTheme="minorEastAsia"/>
                <w:b w:val="0"/>
                <w:bCs w:val="0"/>
                <w:sz w:val="24"/>
              </w:rPr>
            </w:pPr>
            <w:r>
              <w:rPr>
                <w:rFonts w:hint="default" w:ascii="Times New Roman" w:hAnsi="Times New Roman" w:cs="Times New Roman" w:eastAsiaTheme="minorEastAsia"/>
                <w:b w:val="0"/>
                <w:bCs w:val="0"/>
                <w:color w:val="000000"/>
                <w:sz w:val="24"/>
                <w:lang w:eastAsia="zh-CN"/>
              </w:rPr>
              <w:t>特种设备</w:t>
            </w:r>
            <w:r>
              <w:rPr>
                <w:rFonts w:hint="default" w:ascii="Times New Roman" w:hAnsi="Times New Roman" w:cs="Times New Roman" w:eastAsiaTheme="minorEastAsia"/>
                <w:b w:val="0"/>
                <w:bCs w:val="0"/>
                <w:color w:val="000000"/>
                <w:sz w:val="24"/>
              </w:rPr>
              <w:t>安全员：</w:t>
            </w:r>
          </w:p>
        </w:tc>
      </w:tr>
    </w:tbl>
    <w:p w14:paraId="152BC6BD">
      <w:pPr>
        <w:pStyle w:val="29"/>
        <w:ind w:left="5"/>
        <w:jc w:val="left"/>
        <w:rPr>
          <w:rFonts w:hint="default" w:ascii="Times New Roman" w:hAnsi="Times New Roman" w:cs="Times New Roman" w:eastAsiaTheme="minorEastAsia"/>
          <w:b w:val="0"/>
          <w:bCs w:val="0"/>
          <w:color w:val="000000"/>
          <w:sz w:val="21"/>
          <w:szCs w:val="21"/>
        </w:rPr>
      </w:pPr>
      <w:r>
        <w:rPr>
          <w:rFonts w:hint="default" w:ascii="Times New Roman" w:hAnsi="Times New Roman" w:cs="Times New Roman" w:eastAsiaTheme="minorEastAsia"/>
          <w:b w:val="0"/>
          <w:bCs w:val="0"/>
          <w:color w:val="000000"/>
          <w:sz w:val="21"/>
          <w:szCs w:val="21"/>
        </w:rPr>
        <w:t>注：1.以上检查结果合格直接打“√”</w:t>
      </w:r>
      <w:r>
        <w:rPr>
          <w:rFonts w:hint="default" w:ascii="Times New Roman" w:hAnsi="Times New Roman" w:cs="Times New Roman" w:eastAsiaTheme="minorEastAsia"/>
          <w:b w:val="0"/>
          <w:bCs w:val="0"/>
          <w:color w:val="000000"/>
          <w:sz w:val="21"/>
          <w:szCs w:val="21"/>
          <w:lang w:val="en-US" w:eastAsia="zh-CN" w:bidi="en-US"/>
        </w:rPr>
        <w:t>，</w:t>
      </w:r>
      <w:r>
        <w:rPr>
          <w:rFonts w:hint="default" w:ascii="Times New Roman" w:hAnsi="Times New Roman" w:cs="Times New Roman" w:eastAsiaTheme="minorEastAsia"/>
          <w:b w:val="0"/>
          <w:bCs w:val="0"/>
          <w:color w:val="000000"/>
          <w:sz w:val="21"/>
          <w:szCs w:val="21"/>
        </w:rPr>
        <w:t>若有不合格则在</w:t>
      </w:r>
      <w:r>
        <w:rPr>
          <w:rFonts w:hint="default" w:ascii="Times New Roman" w:hAnsi="Times New Roman" w:cs="Times New Roman" w:eastAsiaTheme="minorEastAsia"/>
          <w:b w:val="0"/>
          <w:bCs w:val="0"/>
          <w:color w:val="000000"/>
          <w:sz w:val="21"/>
          <w:szCs w:val="21"/>
          <w:lang w:val="zh-CN" w:eastAsia="zh-CN" w:bidi="zh-CN"/>
        </w:rPr>
        <w:t>“检</w:t>
      </w:r>
      <w:r>
        <w:rPr>
          <w:rFonts w:hint="default" w:ascii="Times New Roman" w:hAnsi="Times New Roman" w:cs="Times New Roman" w:eastAsiaTheme="minorEastAsia"/>
          <w:b w:val="0"/>
          <w:bCs w:val="0"/>
          <w:color w:val="000000"/>
          <w:sz w:val="21"/>
          <w:szCs w:val="21"/>
        </w:rPr>
        <w:t>查结果</w:t>
      </w:r>
      <w:r>
        <w:rPr>
          <w:rFonts w:hint="default" w:ascii="Times New Roman" w:hAnsi="Times New Roman" w:cs="Times New Roman" w:eastAsiaTheme="minorEastAsia"/>
          <w:b w:val="0"/>
          <w:bCs w:val="0"/>
          <w:color w:val="000000"/>
          <w:sz w:val="21"/>
          <w:szCs w:val="21"/>
          <w:lang w:val="zh-CN" w:eastAsia="zh-CN" w:bidi="zh-CN"/>
        </w:rPr>
        <w:t>”栏</w:t>
      </w:r>
      <w:r>
        <w:rPr>
          <w:rFonts w:hint="default" w:ascii="Times New Roman" w:hAnsi="Times New Roman" w:cs="Times New Roman" w:eastAsiaTheme="minorEastAsia"/>
          <w:b w:val="0"/>
          <w:bCs w:val="0"/>
          <w:color w:val="000000"/>
          <w:sz w:val="21"/>
          <w:szCs w:val="21"/>
        </w:rPr>
        <w:t>内填写不合格具体情况，同时填写处理结果。</w:t>
      </w:r>
    </w:p>
    <w:p w14:paraId="27F7FB32">
      <w:pPr>
        <w:pStyle w:val="29"/>
        <w:numPr>
          <w:ilvl w:val="0"/>
          <w:numId w:val="0"/>
        </w:numPr>
        <w:ind w:leftChars="200"/>
        <w:jc w:val="left"/>
        <w:rPr>
          <w:rFonts w:hint="default" w:ascii="Times New Roman" w:hAnsi="Times New Roman" w:cs="Times New Roman" w:eastAsiaTheme="minorEastAsia"/>
          <w:b w:val="0"/>
          <w:bCs w:val="0"/>
          <w:color w:val="000000"/>
          <w:sz w:val="21"/>
          <w:szCs w:val="21"/>
        </w:rPr>
      </w:pPr>
      <w:r>
        <w:rPr>
          <w:rFonts w:hint="eastAsia" w:ascii="Times New Roman" w:hAnsi="Times New Roman" w:cs="Times New Roman" w:eastAsiaTheme="minorEastAsia"/>
          <w:b w:val="0"/>
          <w:bCs w:val="0"/>
          <w:color w:val="000000"/>
          <w:sz w:val="21"/>
          <w:szCs w:val="21"/>
          <w:lang w:val="en-US" w:eastAsia="zh-CN"/>
        </w:rPr>
        <w:t>2.</w:t>
      </w:r>
      <w:r>
        <w:rPr>
          <w:rFonts w:hint="default" w:ascii="Times New Roman" w:hAnsi="Times New Roman" w:cs="Times New Roman" w:eastAsiaTheme="minorEastAsia"/>
          <w:b w:val="0"/>
          <w:bCs w:val="0"/>
          <w:color w:val="000000"/>
          <w:sz w:val="21"/>
          <w:szCs w:val="21"/>
        </w:rPr>
        <w:t>以上为例表，特种设备</w:t>
      </w:r>
      <w:r>
        <w:rPr>
          <w:rFonts w:hint="default" w:ascii="Times New Roman" w:hAnsi="Times New Roman" w:cs="Times New Roman" w:eastAsiaTheme="minorEastAsia"/>
          <w:b w:val="0"/>
          <w:bCs w:val="0"/>
          <w:color w:val="000000"/>
          <w:sz w:val="21"/>
          <w:szCs w:val="21"/>
          <w:lang w:val="en-US" w:eastAsia="zh-CN"/>
        </w:rPr>
        <w:t>使用</w:t>
      </w:r>
      <w:r>
        <w:rPr>
          <w:rFonts w:hint="default" w:ascii="Times New Roman" w:hAnsi="Times New Roman" w:cs="Times New Roman" w:eastAsiaTheme="minorEastAsia"/>
          <w:b w:val="0"/>
          <w:bCs w:val="0"/>
          <w:color w:val="000000"/>
          <w:sz w:val="21"/>
          <w:szCs w:val="21"/>
        </w:rPr>
        <w:t>单位可根据本单位的《安全风险管控清单》调整检査项目，细化检査内容。</w:t>
      </w:r>
    </w:p>
    <w:p w14:paraId="6D5DBE01">
      <w:pPr>
        <w:pStyle w:val="29"/>
        <w:numPr>
          <w:ilvl w:val="0"/>
          <w:numId w:val="0"/>
        </w:numPr>
        <w:ind w:leftChars="200"/>
        <w:jc w:val="left"/>
        <w:rPr>
          <w:rFonts w:hint="default" w:ascii="Times New Roman" w:hAnsi="Times New Roman" w:eastAsia="方正小标宋简体" w:cs="Times New Roman"/>
          <w:b w:val="0"/>
          <w:bCs w:val="0"/>
          <w:color w:val="000000"/>
          <w:sz w:val="44"/>
          <w:szCs w:val="44"/>
        </w:rPr>
      </w:pPr>
      <w:r>
        <w:rPr>
          <w:rFonts w:hint="default" w:ascii="Times New Roman" w:hAnsi="Times New Roman" w:cs="Times New Roman" w:eastAsiaTheme="minorEastAsia"/>
          <w:b w:val="0"/>
          <w:bCs w:val="0"/>
          <w:color w:val="000000"/>
          <w:sz w:val="21"/>
          <w:szCs w:val="21"/>
          <w:lang w:val="en-US" w:eastAsia="zh-CN"/>
        </w:rPr>
        <w:t>3.</w:t>
      </w:r>
      <w:r>
        <w:rPr>
          <w:rFonts w:hint="default" w:ascii="Times New Roman" w:hAnsi="Times New Roman" w:cs="Times New Roman" w:eastAsiaTheme="minorEastAsia"/>
          <w:b w:val="0"/>
          <w:bCs w:val="0"/>
          <w:color w:val="000000"/>
          <w:sz w:val="21"/>
          <w:szCs w:val="21"/>
          <w:lang w:eastAsia="zh-CN"/>
        </w:rPr>
        <w:t>特种设备较少的单位，可以把一个月的工作记录整合到一张表。</w:t>
      </w:r>
    </w:p>
    <w:p w14:paraId="231F6D78">
      <w:pPr>
        <w:rPr>
          <w:rFonts w:hint="default" w:ascii="Times New Roman" w:hAnsi="Times New Roman" w:eastAsia="方正小标宋简体" w:cs="Times New Roman"/>
          <w:b w:val="0"/>
          <w:bCs w:val="0"/>
          <w:color w:val="000000"/>
          <w:sz w:val="44"/>
          <w:szCs w:val="44"/>
        </w:rPr>
      </w:pPr>
      <w:r>
        <w:rPr>
          <w:rFonts w:hint="default" w:ascii="Times New Roman" w:hAnsi="Times New Roman" w:eastAsia="方正小标宋简体" w:cs="Times New Roman"/>
          <w:b w:val="0"/>
          <w:bCs w:val="0"/>
          <w:color w:val="000000"/>
          <w:sz w:val="44"/>
          <w:szCs w:val="44"/>
        </w:rPr>
        <w:br w:type="page"/>
      </w:r>
    </w:p>
    <w:p w14:paraId="058E4841">
      <w:pPr>
        <w:pStyle w:val="29"/>
        <w:keepNext w:val="0"/>
        <w:keepLines w:val="0"/>
        <w:pageBreakBefore w:val="0"/>
        <w:widowControl w:val="0"/>
        <w:kinsoku/>
        <w:wordWrap/>
        <w:overflowPunct/>
        <w:topLinePunct w:val="0"/>
        <w:autoSpaceDE/>
        <w:autoSpaceDN/>
        <w:bidi w:val="0"/>
        <w:adjustRightInd/>
        <w:snapToGrid/>
        <w:spacing w:after="313" w:afterLines="100" w:line="600" w:lineRule="exact"/>
        <w:ind w:left="0" w:leftChars="0" w:firstLine="0" w:firstLineChars="0"/>
        <w:jc w:val="center"/>
        <w:textAlignment w:val="auto"/>
        <w:rPr>
          <w:rFonts w:hint="default" w:ascii="Times New Roman" w:hAnsi="Times New Roman" w:eastAsia="方正小标宋简体" w:cs="Times New Roman"/>
          <w:b w:val="0"/>
          <w:bCs w:val="0"/>
          <w:color w:val="000000"/>
          <w:sz w:val="32"/>
          <w:szCs w:val="32"/>
        </w:rPr>
      </w:pPr>
      <w:r>
        <w:rPr>
          <w:rFonts w:hint="default" w:ascii="Times New Roman" w:hAnsi="Times New Roman" w:eastAsia="方正小标宋简体" w:cs="Times New Roman"/>
          <w:b w:val="0"/>
          <w:bCs w:val="0"/>
          <w:color w:val="000000"/>
          <w:sz w:val="32"/>
          <w:szCs w:val="32"/>
        </w:rPr>
        <w:t>特种设备每周安全排查治理报告</w:t>
      </w:r>
      <w:r>
        <w:rPr>
          <w:rFonts w:hint="default" w:ascii="Times New Roman" w:hAnsi="Times New Roman" w:eastAsia="方正公文小标宋" w:cs="Times New Roman"/>
          <w:b w:val="0"/>
          <w:bCs w:val="0"/>
          <w:sz w:val="32"/>
          <w:szCs w:val="32"/>
          <w:lang w:eastAsia="zh-CN"/>
        </w:rPr>
        <w:t>（供参考）</w:t>
      </w:r>
    </w:p>
    <w:p w14:paraId="6A01ACBD">
      <w:pPr>
        <w:pStyle w:val="29"/>
        <w:tabs>
          <w:tab w:val="left" w:pos="6984"/>
        </w:tabs>
        <w:spacing w:line="240" w:lineRule="auto"/>
        <w:ind w:left="0" w:leftChars="0" w:firstLine="0" w:firstLineChars="0"/>
        <w:jc w:val="left"/>
        <w:rPr>
          <w:rFonts w:hint="default" w:ascii="Times New Roman" w:hAnsi="Times New Roman" w:cs="Times New Roman"/>
          <w:b w:val="0"/>
          <w:bCs w:val="0"/>
        </w:rPr>
      </w:pPr>
      <w:r>
        <w:rPr>
          <w:rFonts w:hint="default" w:ascii="Times New Roman" w:hAnsi="Times New Roman" w:cs="Times New Roman"/>
          <w:b w:val="0"/>
          <w:bCs w:val="0"/>
          <w:color w:val="000000"/>
          <w:sz w:val="24"/>
        </w:rPr>
        <w:t>日期：</w:t>
      </w:r>
      <w:r>
        <w:rPr>
          <w:rFonts w:hint="default" w:ascii="Times New Roman" w:hAnsi="Times New Roman" w:cs="Times New Roman"/>
          <w:b w:val="0"/>
          <w:bCs w:val="0"/>
          <w:color w:val="000000"/>
          <w:sz w:val="24"/>
          <w:lang w:val="en-US" w:eastAsia="zh-CN"/>
        </w:rPr>
        <w:t xml:space="preserve">  </w:t>
      </w:r>
      <w:r>
        <w:rPr>
          <w:rFonts w:hint="default" w:ascii="Times New Roman" w:hAnsi="Times New Roman" w:cs="Times New Roman"/>
          <w:b w:val="0"/>
          <w:bCs w:val="0"/>
          <w:color w:val="000000"/>
          <w:sz w:val="24"/>
        </w:rPr>
        <w:t xml:space="preserve"> 年</w:t>
      </w:r>
      <w:r>
        <w:rPr>
          <w:rFonts w:hint="default" w:ascii="Times New Roman" w:hAnsi="Times New Roman" w:cs="Times New Roman"/>
          <w:b w:val="0"/>
          <w:bCs w:val="0"/>
          <w:color w:val="000000"/>
          <w:sz w:val="24"/>
          <w:lang w:val="en-US" w:eastAsia="zh-CN"/>
        </w:rPr>
        <w:t xml:space="preserve">  </w:t>
      </w:r>
      <w:r>
        <w:rPr>
          <w:rFonts w:hint="default" w:ascii="Times New Roman" w:hAnsi="Times New Roman" w:cs="Times New Roman"/>
          <w:b w:val="0"/>
          <w:bCs w:val="0"/>
          <w:color w:val="000000"/>
          <w:sz w:val="24"/>
        </w:rPr>
        <w:t xml:space="preserve"> </w:t>
      </w:r>
      <w:r>
        <w:rPr>
          <w:rFonts w:hint="default" w:ascii="Times New Roman" w:hAnsi="Times New Roman" w:cs="Times New Roman"/>
          <w:b w:val="0"/>
          <w:bCs w:val="0"/>
          <w:color w:val="000000"/>
          <w:sz w:val="24"/>
          <w:lang w:val="zh-CN" w:eastAsia="zh-CN" w:bidi="zh-CN"/>
        </w:rPr>
        <w:t>月</w:t>
      </w:r>
      <w:r>
        <w:rPr>
          <w:rFonts w:hint="default" w:ascii="Times New Roman" w:hAnsi="Times New Roman" w:cs="Times New Roman"/>
          <w:b w:val="0"/>
          <w:bCs w:val="0"/>
          <w:color w:val="000000"/>
          <w:sz w:val="24"/>
          <w:lang w:val="en-US" w:eastAsia="zh-CN" w:bidi="zh-CN"/>
        </w:rPr>
        <w:t xml:space="preserve">   日</w:t>
      </w:r>
      <w:r>
        <w:rPr>
          <w:rFonts w:hint="default" w:ascii="Times New Roman" w:hAnsi="Times New Roman" w:cs="Times New Roman"/>
          <w:b w:val="0"/>
          <w:bCs w:val="0"/>
          <w:color w:val="000000"/>
          <w:sz w:val="24"/>
          <w:lang w:val="zh-CN" w:eastAsia="zh-CN" w:bidi="zh-CN"/>
        </w:rPr>
        <w:tab/>
      </w:r>
      <w:r>
        <w:rPr>
          <w:rFonts w:hint="default" w:ascii="Times New Roman" w:hAnsi="Times New Roman" w:cs="Times New Roman"/>
          <w:b w:val="0"/>
          <w:bCs w:val="0"/>
          <w:color w:val="000000"/>
          <w:sz w:val="24"/>
        </w:rPr>
        <w:t xml:space="preserve">第 </w:t>
      </w:r>
      <w:r>
        <w:rPr>
          <w:rFonts w:hint="default" w:ascii="Times New Roman" w:hAnsi="Times New Roman" w:cs="Times New Roman"/>
          <w:b w:val="0"/>
          <w:bCs w:val="0"/>
          <w:color w:val="000000"/>
          <w:sz w:val="24"/>
          <w:lang w:val="en-US" w:eastAsia="zh-CN"/>
        </w:rPr>
        <w:t xml:space="preserve">  </w:t>
      </w:r>
      <w:r>
        <w:rPr>
          <w:rFonts w:hint="default" w:ascii="Times New Roman" w:hAnsi="Times New Roman" w:cs="Times New Roman"/>
          <w:b w:val="0"/>
          <w:bCs w:val="0"/>
          <w:color w:val="000000"/>
          <w:sz w:val="24"/>
        </w:rPr>
        <w:t>周</w:t>
      </w:r>
    </w:p>
    <w:tbl>
      <w:tblPr>
        <w:tblStyle w:val="16"/>
        <w:tblW w:w="0" w:type="auto"/>
        <w:jc w:val="center"/>
        <w:tblLayout w:type="fixed"/>
        <w:tblCellMar>
          <w:top w:w="0" w:type="dxa"/>
          <w:left w:w="10" w:type="dxa"/>
          <w:bottom w:w="0" w:type="dxa"/>
          <w:right w:w="10" w:type="dxa"/>
        </w:tblCellMar>
      </w:tblPr>
      <w:tblGrid>
        <w:gridCol w:w="2327"/>
        <w:gridCol w:w="7094"/>
      </w:tblGrid>
      <w:tr w14:paraId="43A9514C">
        <w:tblPrEx>
          <w:tblCellMar>
            <w:top w:w="0" w:type="dxa"/>
            <w:left w:w="10" w:type="dxa"/>
            <w:bottom w:w="0" w:type="dxa"/>
            <w:right w:w="10" w:type="dxa"/>
          </w:tblCellMar>
        </w:tblPrEx>
        <w:trPr>
          <w:trHeight w:val="2046" w:hRule="exact"/>
          <w:jc w:val="center"/>
        </w:trPr>
        <w:tc>
          <w:tcPr>
            <w:tcW w:w="2327" w:type="dxa"/>
            <w:tcBorders>
              <w:top w:val="single" w:color="auto" w:sz="4" w:space="0"/>
              <w:left w:val="single" w:color="auto" w:sz="4" w:space="0"/>
            </w:tcBorders>
            <w:shd w:val="clear" w:color="auto" w:fill="FFFFFF"/>
            <w:noWrap w:val="0"/>
            <w:vAlign w:val="center"/>
          </w:tcPr>
          <w:p w14:paraId="69D7F78B">
            <w:pPr>
              <w:pStyle w:val="28"/>
              <w:spacing w:line="360" w:lineRule="exact"/>
              <w:ind w:left="0" w:leftChars="0" w:firstLine="0" w:firstLineChars="0"/>
              <w:jc w:val="center"/>
              <w:rPr>
                <w:rFonts w:hint="default" w:ascii="Times New Roman" w:hAnsi="Times New Roman" w:cs="Times New Roman"/>
                <w:b w:val="0"/>
                <w:bCs w:val="0"/>
                <w:sz w:val="24"/>
                <w:szCs w:val="24"/>
              </w:rPr>
            </w:pPr>
            <w:r>
              <w:rPr>
                <w:rFonts w:hint="default" w:ascii="Times New Roman" w:hAnsi="Times New Roman" w:cs="Times New Roman"/>
                <w:b w:val="0"/>
                <w:bCs w:val="0"/>
                <w:color w:val="000000"/>
                <w:sz w:val="24"/>
                <w:szCs w:val="24"/>
              </w:rPr>
              <w:t>上周安全风险隐患问题整改核实情况</w:t>
            </w:r>
          </w:p>
        </w:tc>
        <w:tc>
          <w:tcPr>
            <w:tcW w:w="7094" w:type="dxa"/>
            <w:tcBorders>
              <w:top w:val="single" w:color="auto" w:sz="4" w:space="0"/>
              <w:left w:val="single" w:color="auto" w:sz="4" w:space="0"/>
              <w:right w:val="single" w:color="auto" w:sz="4" w:space="0"/>
            </w:tcBorders>
            <w:shd w:val="clear" w:color="auto" w:fill="FFFFFF"/>
            <w:noWrap w:val="0"/>
            <w:vAlign w:val="top"/>
          </w:tcPr>
          <w:p w14:paraId="11B7E2DF">
            <w:pPr>
              <w:rPr>
                <w:rFonts w:hint="default" w:ascii="Times New Roman" w:hAnsi="Times New Roman" w:cs="Times New Roman"/>
                <w:b w:val="0"/>
                <w:bCs w:val="0"/>
                <w:sz w:val="10"/>
                <w:szCs w:val="10"/>
              </w:rPr>
            </w:pPr>
          </w:p>
        </w:tc>
      </w:tr>
      <w:tr w14:paraId="568F9BA5">
        <w:tblPrEx>
          <w:tblCellMar>
            <w:top w:w="0" w:type="dxa"/>
            <w:left w:w="10" w:type="dxa"/>
            <w:bottom w:w="0" w:type="dxa"/>
            <w:right w:w="10" w:type="dxa"/>
          </w:tblCellMar>
        </w:tblPrEx>
        <w:trPr>
          <w:trHeight w:val="2067" w:hRule="exact"/>
          <w:jc w:val="center"/>
        </w:trPr>
        <w:tc>
          <w:tcPr>
            <w:tcW w:w="2327" w:type="dxa"/>
            <w:tcBorders>
              <w:top w:val="single" w:color="auto" w:sz="4" w:space="0"/>
              <w:left w:val="single" w:color="auto" w:sz="4" w:space="0"/>
            </w:tcBorders>
            <w:shd w:val="clear" w:color="auto" w:fill="FFFFFF"/>
            <w:noWrap w:val="0"/>
            <w:vAlign w:val="center"/>
          </w:tcPr>
          <w:p w14:paraId="7123A280">
            <w:pPr>
              <w:pStyle w:val="28"/>
              <w:spacing w:line="360" w:lineRule="exact"/>
              <w:ind w:left="0" w:leftChars="0" w:firstLine="0" w:firstLineChars="0"/>
              <w:jc w:val="center"/>
              <w:rPr>
                <w:rFonts w:hint="default" w:ascii="Times New Roman" w:hAnsi="Times New Roman" w:cs="Times New Roman"/>
                <w:b w:val="0"/>
                <w:bCs w:val="0"/>
                <w:sz w:val="24"/>
                <w:szCs w:val="24"/>
              </w:rPr>
            </w:pPr>
            <w:r>
              <w:rPr>
                <w:rFonts w:hint="default" w:ascii="Times New Roman" w:hAnsi="Times New Roman" w:cs="Times New Roman"/>
                <w:b w:val="0"/>
                <w:bCs w:val="0"/>
                <w:color w:val="000000"/>
                <w:sz w:val="24"/>
                <w:szCs w:val="24"/>
              </w:rPr>
              <w:t>本周主要安全风险隐患和整改情况</w:t>
            </w:r>
          </w:p>
        </w:tc>
        <w:tc>
          <w:tcPr>
            <w:tcW w:w="7094" w:type="dxa"/>
            <w:tcBorders>
              <w:top w:val="single" w:color="auto" w:sz="4" w:space="0"/>
              <w:left w:val="single" w:color="auto" w:sz="4" w:space="0"/>
              <w:right w:val="single" w:color="auto" w:sz="4" w:space="0"/>
            </w:tcBorders>
            <w:shd w:val="clear" w:color="auto" w:fill="FFFFFF"/>
            <w:noWrap w:val="0"/>
            <w:vAlign w:val="top"/>
          </w:tcPr>
          <w:p w14:paraId="43AD2234">
            <w:pPr>
              <w:rPr>
                <w:rFonts w:hint="default" w:ascii="Times New Roman" w:hAnsi="Times New Roman" w:cs="Times New Roman"/>
                <w:b w:val="0"/>
                <w:bCs w:val="0"/>
                <w:sz w:val="10"/>
                <w:szCs w:val="10"/>
              </w:rPr>
            </w:pPr>
          </w:p>
        </w:tc>
      </w:tr>
      <w:tr w14:paraId="01506A08">
        <w:tblPrEx>
          <w:tblCellMar>
            <w:top w:w="0" w:type="dxa"/>
            <w:left w:w="10" w:type="dxa"/>
            <w:bottom w:w="0" w:type="dxa"/>
            <w:right w:w="10" w:type="dxa"/>
          </w:tblCellMar>
        </w:tblPrEx>
        <w:trPr>
          <w:trHeight w:val="1646" w:hRule="exact"/>
          <w:jc w:val="center"/>
        </w:trPr>
        <w:tc>
          <w:tcPr>
            <w:tcW w:w="2327" w:type="dxa"/>
            <w:tcBorders>
              <w:top w:val="single" w:color="auto" w:sz="4" w:space="0"/>
              <w:left w:val="single" w:color="auto" w:sz="4" w:space="0"/>
            </w:tcBorders>
            <w:shd w:val="clear" w:color="auto" w:fill="FFFFFF"/>
            <w:noWrap w:val="0"/>
            <w:vAlign w:val="center"/>
          </w:tcPr>
          <w:p w14:paraId="2FF66D9E">
            <w:pPr>
              <w:pStyle w:val="28"/>
              <w:spacing w:line="360" w:lineRule="exact"/>
              <w:ind w:left="0" w:leftChars="0" w:firstLine="0" w:firstLineChars="0"/>
              <w:jc w:val="center"/>
              <w:rPr>
                <w:rFonts w:hint="default" w:ascii="Times New Roman" w:hAnsi="Times New Roman" w:cs="Times New Roman"/>
                <w:b w:val="0"/>
                <w:bCs w:val="0"/>
                <w:sz w:val="24"/>
                <w:szCs w:val="24"/>
              </w:rPr>
            </w:pPr>
            <w:r>
              <w:rPr>
                <w:rFonts w:hint="default" w:ascii="Times New Roman" w:hAnsi="Times New Roman" w:cs="Times New Roman"/>
                <w:b w:val="0"/>
                <w:bCs w:val="0"/>
                <w:color w:val="000000"/>
                <w:sz w:val="24"/>
                <w:szCs w:val="24"/>
              </w:rPr>
              <w:t>本周安全管理情况评价</w:t>
            </w:r>
          </w:p>
        </w:tc>
        <w:tc>
          <w:tcPr>
            <w:tcW w:w="7094" w:type="dxa"/>
            <w:tcBorders>
              <w:top w:val="single" w:color="auto" w:sz="4" w:space="0"/>
              <w:left w:val="single" w:color="auto" w:sz="4" w:space="0"/>
              <w:right w:val="single" w:color="auto" w:sz="4" w:space="0"/>
            </w:tcBorders>
            <w:shd w:val="clear" w:color="auto" w:fill="FFFFFF"/>
            <w:noWrap w:val="0"/>
            <w:vAlign w:val="center"/>
          </w:tcPr>
          <w:p w14:paraId="07F13B3D">
            <w:pPr>
              <w:pStyle w:val="28"/>
              <w:spacing w:line="466" w:lineRule="exact"/>
              <w:ind w:left="100"/>
              <w:jc w:val="left"/>
              <w:rPr>
                <w:rFonts w:hint="default" w:ascii="Times New Roman" w:hAnsi="Times New Roman" w:cs="Times New Roman"/>
                <w:b w:val="0"/>
                <w:bCs w:val="0"/>
                <w:color w:val="000000"/>
                <w:sz w:val="24"/>
                <w:szCs w:val="24"/>
                <w:lang w:eastAsia="zh-CN"/>
              </w:rPr>
            </w:pPr>
            <w:r>
              <w:rPr>
                <w:rFonts w:hint="default" w:ascii="Times New Roman" w:hAnsi="Times New Roman" w:eastAsia="仿宋" w:cs="Times New Roman"/>
                <w:b w:val="0"/>
                <w:bCs w:val="0"/>
                <w:color w:val="000000"/>
                <w:sz w:val="24"/>
                <w:szCs w:val="24"/>
              </w:rPr>
              <w:t>□</w:t>
            </w:r>
            <w:r>
              <w:rPr>
                <w:rFonts w:hint="default" w:ascii="Times New Roman" w:hAnsi="Times New Roman" w:cs="Times New Roman"/>
                <w:b w:val="0"/>
                <w:bCs w:val="0"/>
                <w:color w:val="000000"/>
                <w:sz w:val="24"/>
                <w:szCs w:val="24"/>
              </w:rPr>
              <w:t>安全风险可控，无较大安全风险隐患</w:t>
            </w:r>
            <w:r>
              <w:rPr>
                <w:rFonts w:hint="default" w:ascii="Times New Roman" w:hAnsi="Times New Roman" w:cs="Times New Roman"/>
                <w:b w:val="0"/>
                <w:bCs w:val="0"/>
                <w:color w:val="000000"/>
                <w:sz w:val="24"/>
                <w:szCs w:val="24"/>
                <w:lang w:eastAsia="zh-CN"/>
              </w:rPr>
              <w:t>。</w:t>
            </w:r>
          </w:p>
          <w:p w14:paraId="42C9041A">
            <w:pPr>
              <w:pStyle w:val="28"/>
              <w:spacing w:line="466" w:lineRule="exact"/>
              <w:ind w:left="100"/>
              <w:jc w:val="left"/>
              <w:rPr>
                <w:rFonts w:hint="default" w:ascii="Times New Roman" w:hAnsi="Times New Roman" w:cs="Times New Roman"/>
                <w:b w:val="0"/>
                <w:bCs w:val="0"/>
                <w:sz w:val="24"/>
                <w:szCs w:val="24"/>
                <w:lang w:eastAsia="zh-CN"/>
              </w:rPr>
            </w:pPr>
            <w:r>
              <w:rPr>
                <w:rFonts w:hint="default" w:ascii="Times New Roman" w:hAnsi="Times New Roman" w:eastAsia="仿宋" w:cs="Times New Roman"/>
                <w:b w:val="0"/>
                <w:bCs w:val="0"/>
                <w:color w:val="000000"/>
                <w:sz w:val="24"/>
                <w:szCs w:val="24"/>
              </w:rPr>
              <w:t>□</w:t>
            </w:r>
            <w:r>
              <w:rPr>
                <w:rFonts w:hint="default" w:ascii="Times New Roman" w:hAnsi="Times New Roman" w:cs="Times New Roman"/>
                <w:b w:val="0"/>
                <w:bCs w:val="0"/>
                <w:color w:val="000000"/>
                <w:sz w:val="24"/>
                <w:szCs w:val="24"/>
              </w:rPr>
              <w:t>存在安全风险隐患，需尽快采取防范措施</w:t>
            </w:r>
            <w:r>
              <w:rPr>
                <w:rFonts w:hint="default" w:ascii="Times New Roman" w:hAnsi="Times New Roman" w:cs="Times New Roman"/>
                <w:b w:val="0"/>
                <w:bCs w:val="0"/>
                <w:color w:val="000000"/>
                <w:sz w:val="24"/>
                <w:szCs w:val="24"/>
                <w:lang w:eastAsia="zh-CN"/>
              </w:rPr>
              <w:t>。</w:t>
            </w:r>
          </w:p>
        </w:tc>
      </w:tr>
      <w:tr w14:paraId="101CC9D4">
        <w:tblPrEx>
          <w:tblCellMar>
            <w:top w:w="0" w:type="dxa"/>
            <w:left w:w="10" w:type="dxa"/>
            <w:bottom w:w="0" w:type="dxa"/>
            <w:right w:w="10" w:type="dxa"/>
          </w:tblCellMar>
        </w:tblPrEx>
        <w:trPr>
          <w:trHeight w:val="1472" w:hRule="exact"/>
          <w:jc w:val="center"/>
        </w:trPr>
        <w:tc>
          <w:tcPr>
            <w:tcW w:w="2327" w:type="dxa"/>
            <w:tcBorders>
              <w:top w:val="single" w:color="auto" w:sz="4" w:space="0"/>
              <w:left w:val="single" w:color="auto" w:sz="4" w:space="0"/>
            </w:tcBorders>
            <w:shd w:val="clear" w:color="auto" w:fill="FFFFFF"/>
            <w:noWrap w:val="0"/>
            <w:vAlign w:val="center"/>
          </w:tcPr>
          <w:p w14:paraId="4A3AB9FF">
            <w:pPr>
              <w:pStyle w:val="28"/>
              <w:spacing w:line="240" w:lineRule="auto"/>
              <w:ind w:left="0" w:leftChars="0" w:firstLine="0" w:firstLineChars="0"/>
              <w:jc w:val="center"/>
              <w:rPr>
                <w:rFonts w:hint="default" w:ascii="Times New Roman" w:hAnsi="Times New Roman" w:cs="Times New Roman"/>
                <w:b w:val="0"/>
                <w:bCs w:val="0"/>
                <w:sz w:val="24"/>
                <w:szCs w:val="24"/>
              </w:rPr>
            </w:pPr>
            <w:r>
              <w:rPr>
                <w:rFonts w:hint="default" w:ascii="Times New Roman" w:hAnsi="Times New Roman" w:cs="Times New Roman"/>
                <w:b w:val="0"/>
                <w:bCs w:val="0"/>
                <w:color w:val="000000"/>
                <w:sz w:val="24"/>
                <w:szCs w:val="24"/>
              </w:rPr>
              <w:t>下周工作重点</w:t>
            </w:r>
          </w:p>
        </w:tc>
        <w:tc>
          <w:tcPr>
            <w:tcW w:w="7094" w:type="dxa"/>
            <w:tcBorders>
              <w:top w:val="single" w:color="auto" w:sz="4" w:space="0"/>
              <w:left w:val="single" w:color="auto" w:sz="4" w:space="0"/>
              <w:right w:val="single" w:color="auto" w:sz="4" w:space="0"/>
            </w:tcBorders>
            <w:shd w:val="clear" w:color="auto" w:fill="FFFFFF"/>
            <w:noWrap w:val="0"/>
            <w:vAlign w:val="top"/>
          </w:tcPr>
          <w:p w14:paraId="75F75404">
            <w:pPr>
              <w:rPr>
                <w:rFonts w:hint="default" w:ascii="Times New Roman" w:hAnsi="Times New Roman" w:cs="Times New Roman"/>
                <w:b w:val="0"/>
                <w:bCs w:val="0"/>
                <w:sz w:val="10"/>
                <w:szCs w:val="10"/>
              </w:rPr>
            </w:pPr>
          </w:p>
        </w:tc>
      </w:tr>
      <w:tr w14:paraId="5D960239">
        <w:tblPrEx>
          <w:tblCellMar>
            <w:top w:w="0" w:type="dxa"/>
            <w:left w:w="10" w:type="dxa"/>
            <w:bottom w:w="0" w:type="dxa"/>
            <w:right w:w="10" w:type="dxa"/>
          </w:tblCellMar>
        </w:tblPrEx>
        <w:trPr>
          <w:trHeight w:val="1921" w:hRule="exact"/>
          <w:jc w:val="center"/>
        </w:trPr>
        <w:tc>
          <w:tcPr>
            <w:tcW w:w="9421" w:type="dxa"/>
            <w:gridSpan w:val="2"/>
            <w:tcBorders>
              <w:top w:val="single" w:color="auto" w:sz="4" w:space="0"/>
              <w:left w:val="single" w:color="auto" w:sz="4" w:space="0"/>
              <w:right w:val="single" w:color="auto" w:sz="4" w:space="0"/>
            </w:tcBorders>
            <w:shd w:val="clear" w:color="auto" w:fill="FFFFFF"/>
            <w:noWrap w:val="0"/>
            <w:vAlign w:val="center"/>
          </w:tcPr>
          <w:p w14:paraId="04DBFD5D">
            <w:pPr>
              <w:pStyle w:val="28"/>
              <w:spacing w:after="640" w:line="240" w:lineRule="auto"/>
              <w:ind w:firstLine="220"/>
              <w:jc w:val="left"/>
              <w:rPr>
                <w:rFonts w:hint="default" w:ascii="Times New Roman" w:hAnsi="Times New Roman" w:cs="Times New Roman"/>
                <w:b w:val="0"/>
                <w:bCs w:val="0"/>
                <w:color w:val="000000"/>
                <w:sz w:val="24"/>
                <w:szCs w:val="24"/>
              </w:rPr>
            </w:pPr>
            <w:r>
              <w:rPr>
                <w:rFonts w:hint="default" w:ascii="Times New Roman" w:hAnsi="Times New Roman" w:cs="Times New Roman"/>
                <w:b w:val="0"/>
                <w:bCs w:val="0"/>
                <w:color w:val="000000"/>
                <w:sz w:val="24"/>
                <w:szCs w:val="24"/>
                <w:lang w:eastAsia="zh-CN"/>
              </w:rPr>
              <w:t>特种设备</w:t>
            </w:r>
            <w:r>
              <w:rPr>
                <w:rFonts w:hint="default" w:ascii="Times New Roman" w:hAnsi="Times New Roman" w:cs="Times New Roman"/>
                <w:b w:val="0"/>
                <w:bCs w:val="0"/>
                <w:color w:val="000000"/>
                <w:sz w:val="24"/>
                <w:szCs w:val="24"/>
              </w:rPr>
              <w:t>安全员意见：</w:t>
            </w:r>
          </w:p>
          <w:p w14:paraId="01CDB995">
            <w:pPr>
              <w:pStyle w:val="28"/>
              <w:keepNext w:val="0"/>
              <w:keepLines w:val="0"/>
              <w:pageBreakBefore w:val="0"/>
              <w:widowControl w:val="0"/>
              <w:kinsoku/>
              <w:wordWrap/>
              <w:overflowPunct/>
              <w:topLinePunct w:val="0"/>
              <w:autoSpaceDE/>
              <w:autoSpaceDN/>
              <w:bidi w:val="0"/>
              <w:adjustRightInd/>
              <w:snapToGrid/>
              <w:spacing w:after="20" w:line="240" w:lineRule="auto"/>
              <w:ind w:firstLine="221"/>
              <w:jc w:val="left"/>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color w:val="000000"/>
                <w:sz w:val="24"/>
                <w:szCs w:val="24"/>
                <w:lang w:val="en-US" w:eastAsia="zh-CN"/>
              </w:rPr>
              <w:t xml:space="preserve">                               </w:t>
            </w:r>
            <w:r>
              <w:rPr>
                <w:rFonts w:hint="default" w:ascii="Times New Roman" w:hAnsi="Times New Roman" w:cs="Times New Roman"/>
                <w:b w:val="0"/>
                <w:bCs w:val="0"/>
                <w:color w:val="000000"/>
                <w:sz w:val="24"/>
                <w:szCs w:val="24"/>
              </w:rPr>
              <w:t>签名：</w:t>
            </w:r>
            <w:r>
              <w:rPr>
                <w:rFonts w:hint="default" w:ascii="Times New Roman" w:hAnsi="Times New Roman" w:cs="Times New Roman"/>
                <w:b w:val="0"/>
                <w:bCs w:val="0"/>
                <w:color w:val="000000"/>
                <w:sz w:val="24"/>
                <w:szCs w:val="24"/>
                <w:lang w:val="en-US" w:eastAsia="zh-CN"/>
              </w:rPr>
              <w:t xml:space="preserve">                </w:t>
            </w:r>
            <w:r>
              <w:rPr>
                <w:rFonts w:hint="default" w:ascii="Times New Roman" w:hAnsi="Times New Roman" w:cs="Times New Roman"/>
                <w:b w:val="0"/>
                <w:bCs w:val="0"/>
                <w:color w:val="000000"/>
                <w:sz w:val="24"/>
                <w:szCs w:val="24"/>
              </w:rPr>
              <w:tab/>
            </w:r>
            <w:r>
              <w:rPr>
                <w:rFonts w:hint="default" w:ascii="Times New Roman" w:hAnsi="Times New Roman" w:cs="Times New Roman"/>
                <w:b w:val="0"/>
                <w:bCs w:val="0"/>
                <w:color w:val="000000"/>
                <w:sz w:val="24"/>
                <w:szCs w:val="24"/>
              </w:rPr>
              <w:t>年</w:t>
            </w:r>
            <w:r>
              <w:rPr>
                <w:rFonts w:hint="default" w:ascii="Times New Roman" w:hAnsi="Times New Roman" w:cs="Times New Roman"/>
                <w:b w:val="0"/>
                <w:bCs w:val="0"/>
                <w:color w:val="000000"/>
                <w:sz w:val="24"/>
                <w:szCs w:val="24"/>
                <w:lang w:val="en-US" w:eastAsia="zh-CN"/>
              </w:rPr>
              <w:t xml:space="preserve">  </w:t>
            </w:r>
            <w:r>
              <w:rPr>
                <w:rFonts w:hint="default" w:ascii="Times New Roman" w:hAnsi="Times New Roman" w:cs="Times New Roman"/>
                <w:b w:val="0"/>
                <w:bCs w:val="0"/>
                <w:color w:val="000000"/>
                <w:sz w:val="24"/>
                <w:szCs w:val="24"/>
              </w:rPr>
              <w:t xml:space="preserve"> 月</w:t>
            </w:r>
            <w:r>
              <w:rPr>
                <w:rFonts w:hint="default" w:ascii="Times New Roman" w:hAnsi="Times New Roman" w:cs="Times New Roman"/>
                <w:b w:val="0"/>
                <w:bCs w:val="0"/>
                <w:color w:val="000000"/>
                <w:sz w:val="24"/>
                <w:szCs w:val="24"/>
                <w:lang w:val="en-US" w:eastAsia="zh-CN"/>
              </w:rPr>
              <w:t xml:space="preserve">  </w:t>
            </w:r>
            <w:r>
              <w:rPr>
                <w:rFonts w:hint="default" w:ascii="Times New Roman" w:hAnsi="Times New Roman" w:cs="Times New Roman"/>
                <w:b w:val="0"/>
                <w:bCs w:val="0"/>
                <w:color w:val="000000"/>
                <w:sz w:val="24"/>
                <w:szCs w:val="24"/>
              </w:rPr>
              <w:t xml:space="preserve"> 日</w:t>
            </w:r>
          </w:p>
        </w:tc>
      </w:tr>
      <w:tr w14:paraId="086639AA">
        <w:tblPrEx>
          <w:tblCellMar>
            <w:top w:w="0" w:type="dxa"/>
            <w:left w:w="10" w:type="dxa"/>
            <w:bottom w:w="0" w:type="dxa"/>
            <w:right w:w="10" w:type="dxa"/>
          </w:tblCellMar>
        </w:tblPrEx>
        <w:trPr>
          <w:trHeight w:val="1976" w:hRule="exact"/>
          <w:jc w:val="center"/>
        </w:trPr>
        <w:tc>
          <w:tcPr>
            <w:tcW w:w="9421" w:type="dxa"/>
            <w:gridSpan w:val="2"/>
            <w:tcBorders>
              <w:top w:val="single" w:color="auto" w:sz="4" w:space="0"/>
              <w:left w:val="single" w:color="auto" w:sz="4" w:space="0"/>
              <w:bottom w:val="single" w:color="auto" w:sz="4" w:space="0"/>
              <w:right w:val="single" w:color="auto" w:sz="4" w:space="0"/>
            </w:tcBorders>
            <w:shd w:val="clear" w:color="auto" w:fill="FFFFFF"/>
            <w:noWrap w:val="0"/>
            <w:vAlign w:val="top"/>
          </w:tcPr>
          <w:p w14:paraId="6D19A4C5">
            <w:pPr>
              <w:pStyle w:val="28"/>
              <w:spacing w:after="960" w:line="240" w:lineRule="auto"/>
              <w:ind w:firstLine="220"/>
              <w:jc w:val="left"/>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eastAsia="zh-CN"/>
              </w:rPr>
              <w:t>特种设备</w:t>
            </w:r>
            <w:r>
              <w:rPr>
                <w:rFonts w:hint="default" w:ascii="Times New Roman" w:hAnsi="Times New Roman" w:cs="Times New Roman"/>
                <w:b w:val="0"/>
                <w:bCs w:val="0"/>
                <w:color w:val="000000"/>
                <w:sz w:val="24"/>
                <w:szCs w:val="24"/>
              </w:rPr>
              <w:t>安全总监意见：</w:t>
            </w:r>
            <w:r>
              <w:rPr>
                <w:rFonts w:hint="default" w:ascii="Times New Roman" w:hAnsi="Times New Roman" w:cs="Times New Roman"/>
                <w:b w:val="0"/>
                <w:bCs w:val="0"/>
                <w:color w:val="000000"/>
                <w:sz w:val="24"/>
                <w:szCs w:val="24"/>
                <w:lang w:val="en-US" w:eastAsia="zh-CN"/>
              </w:rPr>
              <w:t xml:space="preserve">                                       </w:t>
            </w:r>
          </w:p>
          <w:p w14:paraId="47BDA870">
            <w:pPr>
              <w:pStyle w:val="28"/>
              <w:keepNext w:val="0"/>
              <w:keepLines w:val="0"/>
              <w:pageBreakBefore w:val="0"/>
              <w:widowControl w:val="0"/>
              <w:kinsoku/>
              <w:wordWrap/>
              <w:overflowPunct/>
              <w:topLinePunct w:val="0"/>
              <w:autoSpaceDE/>
              <w:autoSpaceDN/>
              <w:bidi w:val="0"/>
              <w:adjustRightInd/>
              <w:snapToGrid/>
              <w:spacing w:after="20" w:line="240" w:lineRule="auto"/>
              <w:ind w:firstLine="4320" w:firstLineChars="1800"/>
              <w:jc w:val="left"/>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color w:val="000000"/>
                <w:sz w:val="24"/>
                <w:szCs w:val="24"/>
              </w:rPr>
              <w:t>签名：</w:t>
            </w:r>
            <w:r>
              <w:rPr>
                <w:rFonts w:hint="default" w:ascii="Times New Roman" w:hAnsi="Times New Roman" w:cs="Times New Roman"/>
                <w:b w:val="0"/>
                <w:bCs w:val="0"/>
                <w:color w:val="000000"/>
                <w:sz w:val="24"/>
                <w:szCs w:val="24"/>
              </w:rPr>
              <w:tab/>
            </w:r>
            <w:r>
              <w:rPr>
                <w:rFonts w:hint="default" w:ascii="Times New Roman" w:hAnsi="Times New Roman" w:cs="Times New Roman"/>
                <w:b w:val="0"/>
                <w:bCs w:val="0"/>
                <w:color w:val="000000"/>
                <w:sz w:val="24"/>
                <w:szCs w:val="24"/>
                <w:lang w:val="en-US" w:eastAsia="zh-CN"/>
              </w:rPr>
              <w:t xml:space="preserve">              </w:t>
            </w:r>
            <w:r>
              <w:rPr>
                <w:rFonts w:hint="default" w:ascii="Times New Roman" w:hAnsi="Times New Roman" w:cs="Times New Roman"/>
                <w:b w:val="0"/>
                <w:bCs w:val="0"/>
                <w:color w:val="000000"/>
                <w:sz w:val="24"/>
                <w:szCs w:val="24"/>
              </w:rPr>
              <w:t xml:space="preserve">年 </w:t>
            </w:r>
            <w:r>
              <w:rPr>
                <w:rFonts w:hint="default" w:ascii="Times New Roman" w:hAnsi="Times New Roman" w:cs="Times New Roman"/>
                <w:b w:val="0"/>
                <w:bCs w:val="0"/>
                <w:color w:val="000000"/>
                <w:sz w:val="24"/>
                <w:szCs w:val="24"/>
                <w:lang w:val="en-US" w:eastAsia="zh-CN"/>
              </w:rPr>
              <w:t xml:space="preserve">  </w:t>
            </w:r>
            <w:r>
              <w:rPr>
                <w:rFonts w:hint="default" w:ascii="Times New Roman" w:hAnsi="Times New Roman" w:cs="Times New Roman"/>
                <w:b w:val="0"/>
                <w:bCs w:val="0"/>
                <w:color w:val="000000"/>
                <w:sz w:val="24"/>
                <w:szCs w:val="24"/>
              </w:rPr>
              <w:t>月</w:t>
            </w:r>
            <w:r>
              <w:rPr>
                <w:rFonts w:hint="default" w:ascii="Times New Roman" w:hAnsi="Times New Roman" w:cs="Times New Roman"/>
                <w:b w:val="0"/>
                <w:bCs w:val="0"/>
                <w:color w:val="000000"/>
                <w:sz w:val="24"/>
                <w:szCs w:val="24"/>
                <w:lang w:val="en-US" w:eastAsia="zh-CN"/>
              </w:rPr>
              <w:t xml:space="preserve">  </w:t>
            </w:r>
            <w:r>
              <w:rPr>
                <w:rFonts w:hint="default" w:ascii="Times New Roman" w:hAnsi="Times New Roman" w:cs="Times New Roman"/>
                <w:b w:val="0"/>
                <w:bCs w:val="0"/>
                <w:color w:val="000000"/>
                <w:sz w:val="24"/>
                <w:szCs w:val="24"/>
              </w:rPr>
              <w:t xml:space="preserve"> 日</w:t>
            </w:r>
          </w:p>
        </w:tc>
      </w:tr>
    </w:tbl>
    <w:p w14:paraId="100A58DD">
      <w:pPr>
        <w:spacing w:line="1" w:lineRule="exact"/>
        <w:rPr>
          <w:rFonts w:hint="default" w:ascii="Times New Roman" w:hAnsi="Times New Roman" w:cs="Times New Roman"/>
          <w:b w:val="0"/>
          <w:bCs w:val="0"/>
          <w:sz w:val="2"/>
          <w:szCs w:val="2"/>
        </w:rPr>
      </w:pPr>
      <w:r>
        <w:rPr>
          <w:rFonts w:hint="default" w:ascii="Times New Roman" w:hAnsi="Times New Roman" w:cs="Times New Roman"/>
          <w:b w:val="0"/>
          <w:bCs w:val="0"/>
        </w:rPr>
        <w:br w:type="page"/>
      </w:r>
    </w:p>
    <w:p w14:paraId="7530A100">
      <w:pPr>
        <w:pStyle w:val="29"/>
        <w:keepNext w:val="0"/>
        <w:keepLines w:val="0"/>
        <w:pageBreakBefore w:val="0"/>
        <w:widowControl w:val="0"/>
        <w:shd w:val="clear" w:color="auto" w:fill="auto"/>
        <w:kinsoku/>
        <w:wordWrap/>
        <w:overflowPunct/>
        <w:topLinePunct w:val="0"/>
        <w:autoSpaceDE/>
        <w:autoSpaceDN/>
        <w:bidi w:val="0"/>
        <w:adjustRightInd/>
        <w:snapToGrid/>
        <w:spacing w:after="313" w:afterLines="100" w:line="600" w:lineRule="exact"/>
        <w:ind w:left="0" w:leftChars="0" w:firstLine="0" w:firstLineChars="0"/>
        <w:jc w:val="center"/>
        <w:textAlignment w:val="auto"/>
        <w:rPr>
          <w:rFonts w:hint="default" w:ascii="Times New Roman" w:hAnsi="Times New Roman" w:eastAsia="方正小标宋简体" w:cs="Times New Roman"/>
          <w:b w:val="0"/>
          <w:bCs w:val="0"/>
          <w:color w:val="000000"/>
          <w:sz w:val="32"/>
          <w:szCs w:val="32"/>
        </w:rPr>
      </w:pPr>
      <w:r>
        <w:rPr>
          <w:rFonts w:hint="default" w:ascii="Times New Roman" w:hAnsi="Times New Roman" w:eastAsia="方正小标宋简体" w:cs="Times New Roman"/>
          <w:b w:val="0"/>
          <w:bCs w:val="0"/>
          <w:color w:val="000000"/>
          <w:sz w:val="32"/>
          <w:szCs w:val="32"/>
        </w:rPr>
        <w:t>特种设备每月安全调度会议纪要</w:t>
      </w:r>
      <w:r>
        <w:rPr>
          <w:rFonts w:hint="default" w:ascii="Times New Roman" w:hAnsi="Times New Roman" w:eastAsia="方正小标宋简体" w:cs="Times New Roman"/>
          <w:b w:val="0"/>
          <w:bCs w:val="0"/>
          <w:color w:val="000000"/>
          <w:sz w:val="32"/>
          <w:szCs w:val="32"/>
          <w:lang w:eastAsia="zh-CN"/>
        </w:rPr>
        <w:t>（供参考）</w:t>
      </w:r>
    </w:p>
    <w:p w14:paraId="6CD672C4">
      <w:pPr>
        <w:pStyle w:val="26"/>
        <w:spacing w:line="580" w:lineRule="exact"/>
        <w:ind w:left="0" w:leftChars="0" w:firstLine="0" w:firstLineChars="0"/>
        <w:jc w:val="center"/>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lang w:val="en-US" w:eastAsia="zh-CN"/>
        </w:rPr>
        <w:t>20</w:t>
      </w:r>
      <w:r>
        <w:rPr>
          <w:rFonts w:hint="eastAsia" w:ascii="Times New Roman" w:hAnsi="Times New Roman" w:cs="Times New Roman" w:eastAsiaTheme="minorEastAsia"/>
          <w:b w:val="0"/>
          <w:bCs w:val="0"/>
          <w:color w:val="000000"/>
          <w:sz w:val="24"/>
          <w:szCs w:val="24"/>
          <w:lang w:val="en-US" w:eastAsia="zh-CN"/>
        </w:rPr>
        <w:t>XX</w:t>
      </w:r>
      <w:r>
        <w:rPr>
          <w:rFonts w:hint="default" w:ascii="Times New Roman" w:hAnsi="Times New Roman" w:cs="Times New Roman" w:eastAsiaTheme="minorEastAsia"/>
          <w:b w:val="0"/>
          <w:bCs w:val="0"/>
          <w:color w:val="000000"/>
          <w:sz w:val="24"/>
          <w:szCs w:val="24"/>
          <w:lang w:val="en-US" w:eastAsia="zh-CN"/>
        </w:rPr>
        <w:t>年</w:t>
      </w:r>
      <w:r>
        <w:rPr>
          <w:rFonts w:hint="default" w:ascii="Times New Roman" w:hAnsi="Times New Roman" w:cs="Times New Roman" w:eastAsiaTheme="minorEastAsia"/>
          <w:b w:val="0"/>
          <w:bCs w:val="0"/>
          <w:color w:val="000000"/>
          <w:sz w:val="24"/>
          <w:szCs w:val="24"/>
        </w:rPr>
        <w:t>（</w:t>
      </w:r>
      <w:r>
        <w:rPr>
          <w:rFonts w:hint="default" w:ascii="Times New Roman" w:hAnsi="Times New Roman" w:cs="Times New Roman" w:eastAsiaTheme="minorEastAsia"/>
          <w:b w:val="0"/>
          <w:bCs w:val="0"/>
          <w:color w:val="000000"/>
          <w:sz w:val="24"/>
          <w:szCs w:val="24"/>
          <w:lang w:eastAsia="zh-CN"/>
        </w:rPr>
        <w:t xml:space="preserve"> </w:t>
      </w:r>
      <w:r>
        <w:rPr>
          <w:rFonts w:hint="default" w:ascii="Times New Roman" w:hAnsi="Times New Roman" w:cs="Times New Roman" w:eastAsiaTheme="minorEastAsia"/>
          <w:b w:val="0"/>
          <w:bCs w:val="0"/>
          <w:color w:val="000000"/>
          <w:sz w:val="24"/>
          <w:szCs w:val="24"/>
        </w:rPr>
        <w:t xml:space="preserve">  ）月</w:t>
      </w:r>
    </w:p>
    <w:tbl>
      <w:tblPr>
        <w:tblStyle w:val="16"/>
        <w:tblW w:w="0" w:type="auto"/>
        <w:jc w:val="center"/>
        <w:tblLayout w:type="fixed"/>
        <w:tblCellMar>
          <w:top w:w="0" w:type="dxa"/>
          <w:left w:w="10" w:type="dxa"/>
          <w:bottom w:w="0" w:type="dxa"/>
          <w:right w:w="10" w:type="dxa"/>
        </w:tblCellMar>
      </w:tblPr>
      <w:tblGrid>
        <w:gridCol w:w="1651"/>
        <w:gridCol w:w="2659"/>
        <w:gridCol w:w="1646"/>
        <w:gridCol w:w="3254"/>
      </w:tblGrid>
      <w:tr w14:paraId="60F53351">
        <w:tblPrEx>
          <w:tblCellMar>
            <w:top w:w="0" w:type="dxa"/>
            <w:left w:w="10" w:type="dxa"/>
            <w:bottom w:w="0" w:type="dxa"/>
            <w:right w:w="10" w:type="dxa"/>
          </w:tblCellMar>
        </w:tblPrEx>
        <w:trPr>
          <w:trHeight w:val="764" w:hRule="exact"/>
          <w:jc w:val="center"/>
        </w:trPr>
        <w:tc>
          <w:tcPr>
            <w:tcW w:w="1651" w:type="dxa"/>
            <w:tcBorders>
              <w:top w:val="single" w:color="auto" w:sz="4" w:space="0"/>
              <w:left w:val="single" w:color="auto" w:sz="4" w:space="0"/>
            </w:tcBorders>
            <w:shd w:val="clear" w:color="auto" w:fill="FFFFFF"/>
            <w:noWrap w:val="0"/>
            <w:vAlign w:val="center"/>
          </w:tcPr>
          <w:p w14:paraId="36CD402C">
            <w:pPr>
              <w:pStyle w:val="28"/>
              <w:spacing w:line="240" w:lineRule="auto"/>
              <w:ind w:left="0" w:leftChars="0" w:firstLine="0" w:firstLineChars="0"/>
              <w:jc w:val="center"/>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会议时间</w:t>
            </w:r>
          </w:p>
        </w:tc>
        <w:tc>
          <w:tcPr>
            <w:tcW w:w="2659" w:type="dxa"/>
            <w:tcBorders>
              <w:top w:val="single" w:color="auto" w:sz="4" w:space="0"/>
              <w:left w:val="single" w:color="auto" w:sz="4" w:space="0"/>
            </w:tcBorders>
            <w:shd w:val="clear" w:color="auto" w:fill="FFFFFF"/>
            <w:noWrap w:val="0"/>
            <w:vAlign w:val="center"/>
          </w:tcPr>
          <w:p w14:paraId="720A2697">
            <w:pPr>
              <w:ind w:left="0" w:leftChars="0" w:firstLine="0" w:firstLineChars="0"/>
              <w:jc w:val="center"/>
              <w:rPr>
                <w:rFonts w:hint="default" w:ascii="Times New Roman" w:hAnsi="Times New Roman" w:cs="Times New Roman" w:eastAsiaTheme="minorEastAsia"/>
                <w:b w:val="0"/>
                <w:bCs w:val="0"/>
                <w:sz w:val="24"/>
                <w:szCs w:val="24"/>
                <w:lang w:val="en-US" w:eastAsia="zh-CN"/>
              </w:rPr>
            </w:pPr>
          </w:p>
        </w:tc>
        <w:tc>
          <w:tcPr>
            <w:tcW w:w="1646" w:type="dxa"/>
            <w:tcBorders>
              <w:top w:val="single" w:color="auto" w:sz="4" w:space="0"/>
              <w:left w:val="single" w:color="auto" w:sz="4" w:space="0"/>
            </w:tcBorders>
            <w:shd w:val="clear" w:color="auto" w:fill="FFFFFF"/>
            <w:noWrap w:val="0"/>
            <w:vAlign w:val="center"/>
          </w:tcPr>
          <w:p w14:paraId="2A201C73">
            <w:pPr>
              <w:pStyle w:val="28"/>
              <w:spacing w:line="240" w:lineRule="auto"/>
              <w:ind w:left="0" w:leftChars="0" w:firstLine="0" w:firstLineChars="0"/>
              <w:jc w:val="center"/>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会议地点</w:t>
            </w:r>
          </w:p>
        </w:tc>
        <w:tc>
          <w:tcPr>
            <w:tcW w:w="3254" w:type="dxa"/>
            <w:tcBorders>
              <w:top w:val="single" w:color="auto" w:sz="4" w:space="0"/>
              <w:left w:val="single" w:color="auto" w:sz="4" w:space="0"/>
              <w:right w:val="single" w:color="auto" w:sz="4" w:space="0"/>
            </w:tcBorders>
            <w:shd w:val="clear" w:color="auto" w:fill="FFFFFF"/>
            <w:noWrap w:val="0"/>
            <w:vAlign w:val="center"/>
          </w:tcPr>
          <w:p w14:paraId="606FBAFA">
            <w:pPr>
              <w:ind w:left="0" w:leftChars="0" w:firstLine="0" w:firstLineChars="0"/>
              <w:jc w:val="center"/>
              <w:rPr>
                <w:rFonts w:hint="default" w:ascii="Times New Roman" w:hAnsi="Times New Roman" w:cs="Times New Roman" w:eastAsiaTheme="minorEastAsia"/>
                <w:b w:val="0"/>
                <w:bCs w:val="0"/>
                <w:sz w:val="24"/>
                <w:szCs w:val="24"/>
              </w:rPr>
            </w:pPr>
          </w:p>
        </w:tc>
      </w:tr>
      <w:tr w14:paraId="22E00332">
        <w:tblPrEx>
          <w:tblCellMar>
            <w:top w:w="0" w:type="dxa"/>
            <w:left w:w="10" w:type="dxa"/>
            <w:bottom w:w="0" w:type="dxa"/>
            <w:right w:w="10" w:type="dxa"/>
          </w:tblCellMar>
        </w:tblPrEx>
        <w:trPr>
          <w:trHeight w:val="783" w:hRule="exact"/>
          <w:jc w:val="center"/>
        </w:trPr>
        <w:tc>
          <w:tcPr>
            <w:tcW w:w="1651" w:type="dxa"/>
            <w:tcBorders>
              <w:top w:val="single" w:color="auto" w:sz="4" w:space="0"/>
              <w:left w:val="single" w:color="auto" w:sz="4" w:space="0"/>
            </w:tcBorders>
            <w:shd w:val="clear" w:color="auto" w:fill="FFFFFF"/>
            <w:noWrap w:val="0"/>
            <w:vAlign w:val="center"/>
          </w:tcPr>
          <w:p w14:paraId="1EE10AEC">
            <w:pPr>
              <w:pStyle w:val="28"/>
              <w:spacing w:line="240" w:lineRule="auto"/>
              <w:ind w:left="0" w:leftChars="0" w:firstLine="0" w:firstLineChars="0"/>
              <w:jc w:val="center"/>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会议主持人</w:t>
            </w:r>
          </w:p>
        </w:tc>
        <w:tc>
          <w:tcPr>
            <w:tcW w:w="2659" w:type="dxa"/>
            <w:tcBorders>
              <w:top w:val="single" w:color="auto" w:sz="4" w:space="0"/>
              <w:left w:val="single" w:color="auto" w:sz="4" w:space="0"/>
            </w:tcBorders>
            <w:shd w:val="clear" w:color="auto" w:fill="FFFFFF"/>
            <w:noWrap w:val="0"/>
            <w:vAlign w:val="center"/>
          </w:tcPr>
          <w:p w14:paraId="619837FB">
            <w:pPr>
              <w:ind w:left="0" w:leftChars="0" w:firstLine="0" w:firstLineChars="0"/>
              <w:jc w:val="center"/>
              <w:rPr>
                <w:rFonts w:hint="default" w:ascii="Times New Roman" w:hAnsi="Times New Roman" w:cs="Times New Roman" w:eastAsiaTheme="minorEastAsia"/>
                <w:b w:val="0"/>
                <w:bCs w:val="0"/>
                <w:sz w:val="24"/>
                <w:szCs w:val="24"/>
              </w:rPr>
            </w:pPr>
          </w:p>
        </w:tc>
        <w:tc>
          <w:tcPr>
            <w:tcW w:w="1646" w:type="dxa"/>
            <w:tcBorders>
              <w:top w:val="single" w:color="auto" w:sz="4" w:space="0"/>
              <w:left w:val="single" w:color="auto" w:sz="4" w:space="0"/>
            </w:tcBorders>
            <w:shd w:val="clear" w:color="auto" w:fill="FFFFFF"/>
            <w:noWrap w:val="0"/>
            <w:vAlign w:val="center"/>
          </w:tcPr>
          <w:p w14:paraId="589E405C">
            <w:pPr>
              <w:pStyle w:val="28"/>
              <w:spacing w:line="240" w:lineRule="auto"/>
              <w:ind w:left="0" w:leftChars="0" w:firstLine="0" w:firstLineChars="0"/>
              <w:jc w:val="center"/>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会议记录人</w:t>
            </w:r>
          </w:p>
        </w:tc>
        <w:tc>
          <w:tcPr>
            <w:tcW w:w="3254" w:type="dxa"/>
            <w:tcBorders>
              <w:top w:val="single" w:color="auto" w:sz="4" w:space="0"/>
              <w:left w:val="single" w:color="auto" w:sz="4" w:space="0"/>
              <w:right w:val="single" w:color="auto" w:sz="4" w:space="0"/>
            </w:tcBorders>
            <w:shd w:val="clear" w:color="auto" w:fill="FFFFFF"/>
            <w:noWrap w:val="0"/>
            <w:vAlign w:val="center"/>
          </w:tcPr>
          <w:p w14:paraId="43C2F94F">
            <w:pPr>
              <w:ind w:left="0" w:leftChars="0" w:firstLine="0" w:firstLineChars="0"/>
              <w:jc w:val="center"/>
              <w:rPr>
                <w:rFonts w:hint="default" w:ascii="Times New Roman" w:hAnsi="Times New Roman" w:cs="Times New Roman" w:eastAsiaTheme="minorEastAsia"/>
                <w:b w:val="0"/>
                <w:bCs w:val="0"/>
                <w:sz w:val="24"/>
                <w:szCs w:val="24"/>
              </w:rPr>
            </w:pPr>
          </w:p>
        </w:tc>
      </w:tr>
      <w:tr w14:paraId="2ED9D8F5">
        <w:tblPrEx>
          <w:tblCellMar>
            <w:top w:w="0" w:type="dxa"/>
            <w:left w:w="10" w:type="dxa"/>
            <w:bottom w:w="0" w:type="dxa"/>
            <w:right w:w="10" w:type="dxa"/>
          </w:tblCellMar>
        </w:tblPrEx>
        <w:trPr>
          <w:trHeight w:val="1887" w:hRule="exact"/>
          <w:jc w:val="center"/>
        </w:trPr>
        <w:tc>
          <w:tcPr>
            <w:tcW w:w="9210" w:type="dxa"/>
            <w:gridSpan w:val="4"/>
            <w:tcBorders>
              <w:top w:val="single" w:color="auto" w:sz="4" w:space="0"/>
              <w:left w:val="single" w:color="auto" w:sz="4" w:space="0"/>
              <w:right w:val="single" w:color="auto" w:sz="4" w:space="0"/>
            </w:tcBorders>
            <w:shd w:val="clear" w:color="auto" w:fill="FFFFFF"/>
            <w:noWrap w:val="0"/>
            <w:vAlign w:val="top"/>
          </w:tcPr>
          <w:p w14:paraId="38F25269">
            <w:pPr>
              <w:pStyle w:val="28"/>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color w:val="000000"/>
                <w:sz w:val="24"/>
                <w:szCs w:val="24"/>
              </w:rPr>
              <w:t>参会人员：</w:t>
            </w:r>
            <w:r>
              <w:rPr>
                <w:rFonts w:hint="default" w:ascii="Times New Roman" w:hAnsi="Times New Roman" w:cs="Times New Roman" w:eastAsiaTheme="minorEastAsia"/>
                <w:b w:val="0"/>
                <w:bCs w:val="0"/>
                <w:color w:val="000000"/>
                <w:sz w:val="24"/>
                <w:szCs w:val="24"/>
                <w:lang w:eastAsia="zh-CN"/>
              </w:rPr>
              <w:t>（</w:t>
            </w:r>
            <w:r>
              <w:rPr>
                <w:rFonts w:hint="default" w:ascii="Times New Roman" w:hAnsi="Times New Roman" w:cs="Times New Roman" w:eastAsiaTheme="minorEastAsia"/>
                <w:b w:val="0"/>
                <w:bCs w:val="0"/>
                <w:color w:val="FF0000"/>
                <w:sz w:val="24"/>
                <w:szCs w:val="24"/>
                <w:lang w:eastAsia="zh-CN"/>
              </w:rPr>
              <w:t>需要企业主要负责人、特种设备安全总监、特种设备安全员以及本单位安全生产相关部门负责人签字</w:t>
            </w:r>
            <w:r>
              <w:rPr>
                <w:rFonts w:hint="default" w:ascii="Times New Roman" w:hAnsi="Times New Roman" w:cs="Times New Roman" w:eastAsiaTheme="minorEastAsia"/>
                <w:b w:val="0"/>
                <w:bCs w:val="0"/>
                <w:color w:val="000000"/>
                <w:sz w:val="24"/>
                <w:szCs w:val="24"/>
                <w:lang w:eastAsia="zh-CN"/>
              </w:rPr>
              <w:t>）</w:t>
            </w:r>
          </w:p>
        </w:tc>
      </w:tr>
      <w:tr w14:paraId="0B4C0054">
        <w:tblPrEx>
          <w:tblCellMar>
            <w:top w:w="0" w:type="dxa"/>
            <w:left w:w="10" w:type="dxa"/>
            <w:bottom w:w="0" w:type="dxa"/>
            <w:right w:w="10" w:type="dxa"/>
          </w:tblCellMar>
        </w:tblPrEx>
        <w:trPr>
          <w:trHeight w:val="7247" w:hRule="exact"/>
          <w:jc w:val="center"/>
        </w:trPr>
        <w:tc>
          <w:tcPr>
            <w:tcW w:w="9210" w:type="dxa"/>
            <w:gridSpan w:val="4"/>
            <w:tcBorders>
              <w:top w:val="single" w:color="auto" w:sz="4" w:space="0"/>
              <w:left w:val="single" w:color="auto" w:sz="4" w:space="0"/>
              <w:right w:val="single" w:color="auto" w:sz="4" w:space="0"/>
            </w:tcBorders>
            <w:shd w:val="clear" w:color="auto" w:fill="FFFFFF"/>
            <w:noWrap w:val="0"/>
            <w:vAlign w:val="top"/>
          </w:tcPr>
          <w:p w14:paraId="706A4E25">
            <w:pPr>
              <w:pStyle w:val="28"/>
              <w:spacing w:before="140" w:after="40" w:line="240" w:lineRule="auto"/>
              <w:jc w:val="left"/>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会议内容：</w:t>
            </w:r>
          </w:p>
          <w:p w14:paraId="7583983D">
            <w:pPr>
              <w:pStyle w:val="28"/>
              <w:tabs>
                <w:tab w:val="left" w:pos="221"/>
              </w:tabs>
              <w:spacing w:after="900" w:line="240" w:lineRule="auto"/>
              <w:jc w:val="left"/>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lang w:val="en-US" w:eastAsia="zh-CN"/>
              </w:rPr>
              <w:t>1.</w:t>
            </w:r>
            <w:r>
              <w:rPr>
                <w:rFonts w:hint="default" w:ascii="Times New Roman" w:hAnsi="Times New Roman" w:cs="Times New Roman" w:eastAsiaTheme="minorEastAsia"/>
                <w:b w:val="0"/>
                <w:bCs w:val="0"/>
                <w:color w:val="000000"/>
                <w:sz w:val="24"/>
                <w:szCs w:val="24"/>
              </w:rPr>
              <w:t>本月巡査主要问题：</w:t>
            </w:r>
          </w:p>
          <w:p w14:paraId="33A307D9">
            <w:pPr>
              <w:pStyle w:val="28"/>
              <w:tabs>
                <w:tab w:val="left" w:pos="235"/>
              </w:tabs>
              <w:spacing w:after="900" w:line="240" w:lineRule="auto"/>
              <w:jc w:val="left"/>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lang w:val="en-US" w:eastAsia="zh-CN"/>
              </w:rPr>
              <w:t>2.</w:t>
            </w:r>
            <w:r>
              <w:rPr>
                <w:rFonts w:hint="default" w:ascii="Times New Roman" w:hAnsi="Times New Roman" w:cs="Times New Roman" w:eastAsiaTheme="minorEastAsia"/>
                <w:b w:val="0"/>
                <w:bCs w:val="0"/>
                <w:color w:val="000000"/>
                <w:sz w:val="24"/>
                <w:szCs w:val="24"/>
              </w:rPr>
              <w:t>本月整改方案落实情况：</w:t>
            </w:r>
          </w:p>
          <w:p w14:paraId="462D0AEE">
            <w:pPr>
              <w:pStyle w:val="28"/>
              <w:tabs>
                <w:tab w:val="left" w:pos="355"/>
              </w:tabs>
              <w:spacing w:after="900" w:line="240" w:lineRule="auto"/>
              <w:jc w:val="left"/>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lang w:val="en-US" w:eastAsia="zh-CN"/>
              </w:rPr>
              <w:t>3.</w:t>
            </w:r>
            <w:r>
              <w:rPr>
                <w:rFonts w:hint="default" w:ascii="Times New Roman" w:hAnsi="Times New Roman" w:cs="Times New Roman" w:eastAsiaTheme="minorEastAsia"/>
                <w:b w:val="0"/>
                <w:bCs w:val="0"/>
                <w:color w:val="000000"/>
                <w:sz w:val="24"/>
                <w:szCs w:val="24"/>
              </w:rPr>
              <w:t>本月还未解决的问题：</w:t>
            </w:r>
          </w:p>
          <w:p w14:paraId="7194FFA6">
            <w:pPr>
              <w:pStyle w:val="28"/>
              <w:spacing w:after="660" w:line="240" w:lineRule="auto"/>
              <w:jc w:val="left"/>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lang w:val="en-US" w:eastAsia="zh-CN"/>
              </w:rPr>
              <w:t>4.</w:t>
            </w:r>
            <w:r>
              <w:rPr>
                <w:rFonts w:hint="default" w:ascii="Times New Roman" w:hAnsi="Times New Roman" w:cs="Times New Roman" w:eastAsiaTheme="minorEastAsia"/>
                <w:b w:val="0"/>
                <w:bCs w:val="0"/>
                <w:color w:val="000000"/>
                <w:sz w:val="24"/>
                <w:szCs w:val="24"/>
              </w:rPr>
              <w:t>月调度相关内容（如制度修订、人员岗位职责变化等）：</w:t>
            </w:r>
          </w:p>
          <w:p w14:paraId="044513F4">
            <w:pPr>
              <w:pStyle w:val="28"/>
              <w:tabs>
                <w:tab w:val="left" w:pos="235"/>
              </w:tabs>
              <w:spacing w:after="660" w:line="240" w:lineRule="auto"/>
              <w:jc w:val="left"/>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lang w:val="en-US" w:eastAsia="zh-CN"/>
              </w:rPr>
              <w:t>5.</w:t>
            </w:r>
            <w:r>
              <w:rPr>
                <w:rFonts w:hint="default" w:ascii="Times New Roman" w:hAnsi="Times New Roman" w:cs="Times New Roman" w:eastAsiaTheme="minorEastAsia"/>
                <w:b w:val="0"/>
                <w:bCs w:val="0"/>
                <w:color w:val="000000"/>
                <w:sz w:val="24"/>
                <w:szCs w:val="24"/>
              </w:rPr>
              <w:t>其他安全事项：</w:t>
            </w:r>
          </w:p>
          <w:p w14:paraId="52F806DD">
            <w:pPr>
              <w:pStyle w:val="28"/>
              <w:tabs>
                <w:tab w:val="left" w:pos="360"/>
              </w:tabs>
              <w:spacing w:line="240" w:lineRule="auto"/>
              <w:jc w:val="left"/>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color w:val="000000"/>
                <w:sz w:val="24"/>
                <w:szCs w:val="24"/>
              </w:rPr>
              <w:t>6</w:t>
            </w:r>
            <w:r>
              <w:rPr>
                <w:rFonts w:hint="default" w:ascii="Times New Roman" w:hAnsi="Times New Roman" w:cs="Times New Roman" w:eastAsiaTheme="minorEastAsia"/>
                <w:b w:val="0"/>
                <w:bCs w:val="0"/>
                <w:color w:val="000000"/>
                <w:sz w:val="24"/>
                <w:szCs w:val="24"/>
                <w:lang w:val="en-US" w:eastAsia="zh-CN"/>
              </w:rPr>
              <w:t>.</w:t>
            </w:r>
            <w:r>
              <w:rPr>
                <w:rFonts w:hint="default" w:ascii="Times New Roman" w:hAnsi="Times New Roman" w:cs="Times New Roman" w:eastAsiaTheme="minorEastAsia"/>
                <w:b w:val="0"/>
                <w:bCs w:val="0"/>
                <w:color w:val="000000"/>
                <w:sz w:val="24"/>
                <w:szCs w:val="24"/>
              </w:rPr>
              <w:t>会议研究釆取的措施：</w:t>
            </w:r>
          </w:p>
        </w:tc>
      </w:tr>
      <w:tr w14:paraId="759AD090">
        <w:tblPrEx>
          <w:tblCellMar>
            <w:top w:w="0" w:type="dxa"/>
            <w:left w:w="10" w:type="dxa"/>
            <w:bottom w:w="0" w:type="dxa"/>
            <w:right w:w="10" w:type="dxa"/>
          </w:tblCellMar>
        </w:tblPrEx>
        <w:trPr>
          <w:trHeight w:val="1311" w:hRule="exact"/>
          <w:jc w:val="center"/>
        </w:trPr>
        <w:tc>
          <w:tcPr>
            <w:tcW w:w="9210"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A0B32E">
            <w:pPr>
              <w:pStyle w:val="28"/>
              <w:spacing w:line="240" w:lineRule="auto"/>
              <w:jc w:val="left"/>
              <w:rPr>
                <w:rFonts w:hint="default" w:ascii="Times New Roman" w:hAnsi="Times New Roman" w:cs="Times New Roman" w:eastAsiaTheme="minorEastAsia"/>
                <w:b w:val="0"/>
                <w:bCs w:val="0"/>
                <w:sz w:val="24"/>
                <w:szCs w:val="24"/>
                <w:lang w:eastAsia="zh-CN"/>
              </w:rPr>
            </w:pPr>
            <w:r>
              <w:rPr>
                <w:rFonts w:hint="default" w:ascii="Times New Roman" w:hAnsi="Times New Roman" w:cs="Times New Roman" w:eastAsiaTheme="minorEastAsia"/>
                <w:b w:val="0"/>
                <w:bCs w:val="0"/>
                <w:color w:val="000000"/>
                <w:sz w:val="24"/>
                <w:szCs w:val="24"/>
              </w:rPr>
              <w:t>备注</w:t>
            </w:r>
            <w:r>
              <w:rPr>
                <w:rFonts w:hint="default" w:ascii="Times New Roman" w:hAnsi="Times New Roman" w:cs="Times New Roman" w:eastAsiaTheme="minorEastAsia"/>
                <w:b w:val="0"/>
                <w:bCs w:val="0"/>
                <w:color w:val="000000"/>
                <w:sz w:val="24"/>
                <w:szCs w:val="24"/>
                <w:lang w:eastAsia="zh-CN"/>
              </w:rPr>
              <w:t>：</w:t>
            </w:r>
          </w:p>
        </w:tc>
      </w:tr>
    </w:tbl>
    <w:p w14:paraId="467A0738">
      <w:pPr>
        <w:rPr>
          <w:rFonts w:hint="default" w:ascii="Times New Roman" w:hAnsi="Times New Roman" w:eastAsia="黑体" w:cs="Times New Roman"/>
          <w:b w:val="0"/>
          <w:bCs w:val="0"/>
          <w:sz w:val="44"/>
          <w:szCs w:val="44"/>
        </w:rPr>
      </w:pPr>
    </w:p>
    <w:p w14:paraId="4192060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Times New Roman" w:hAnsi="Times New Roman" w:cs="Times New Roman"/>
          <w:b w:val="0"/>
          <w:bCs w:val="0"/>
        </w:rPr>
        <w:sectPr>
          <w:pgSz w:w="11906" w:h="16838"/>
          <w:pgMar w:top="1440" w:right="1800" w:bottom="1440" w:left="1800" w:header="851" w:footer="992" w:gutter="0"/>
          <w:pgNumType w:fmt="decimal" w:start="1"/>
          <w:cols w:space="425" w:num="1"/>
          <w:docGrid w:type="lines" w:linePitch="312" w:charSpace="0"/>
        </w:sectPr>
      </w:pPr>
    </w:p>
    <w:p w14:paraId="362329A1">
      <w:pPr>
        <w:pStyle w:val="2"/>
        <w:bidi w:val="0"/>
        <w:ind w:left="0" w:leftChars="0" w:firstLine="0" w:firstLineChars="0"/>
        <w:rPr>
          <w:rFonts w:hint="default" w:ascii="Times New Roman" w:hAnsi="Times New Roman" w:cs="Times New Roman"/>
          <w:b w:val="0"/>
          <w:bCs w:val="0"/>
          <w:lang w:val="en-US" w:eastAsia="zh-CN"/>
        </w:rPr>
      </w:pPr>
      <w:bookmarkStart w:id="69" w:name="_Toc7610"/>
      <w:r>
        <w:rPr>
          <w:rFonts w:hint="default" w:ascii="Times New Roman" w:hAnsi="Times New Roman" w:cs="Times New Roman"/>
          <w:b w:val="0"/>
          <w:bCs w:val="0"/>
          <w:lang w:val="en-US" w:eastAsia="zh-CN"/>
        </w:rPr>
        <w:t>附件3</w:t>
      </w:r>
      <w:r>
        <w:rPr>
          <w:rFonts w:hint="default" w:ascii="Times New Roman" w:hAnsi="Times New Roman" w:cs="Times New Roman"/>
          <w:b w:val="0"/>
          <w:bCs w:val="0"/>
          <w:lang w:eastAsia="zh-CN"/>
        </w:rPr>
        <w:t>特种设备安全风险管控清单</w:t>
      </w:r>
      <w:r>
        <w:rPr>
          <w:rFonts w:hint="eastAsia" w:cs="Times New Roman"/>
          <w:b w:val="0"/>
          <w:bCs w:val="0"/>
          <w:lang w:eastAsia="zh-CN"/>
        </w:rPr>
        <w:t>（</w:t>
      </w:r>
      <w:r>
        <w:rPr>
          <w:rFonts w:hint="default" w:ascii="Times New Roman" w:hAnsi="Times New Roman" w:cs="Times New Roman"/>
          <w:b w:val="0"/>
          <w:bCs w:val="0"/>
          <w:lang w:val="en-US" w:eastAsia="zh-CN"/>
        </w:rPr>
        <w:t>参考模板</w:t>
      </w:r>
      <w:r>
        <w:rPr>
          <w:rFonts w:hint="eastAsia" w:cs="Times New Roman"/>
          <w:b w:val="0"/>
          <w:bCs w:val="0"/>
          <w:lang w:eastAsia="zh-CN"/>
        </w:rPr>
        <w:t>）</w:t>
      </w:r>
      <w:bookmarkEnd w:id="69"/>
    </w:p>
    <w:p w14:paraId="663499C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eastAsiaTheme="minorEastAsia"/>
          <w:b w:val="0"/>
          <w:bCs w:val="0"/>
          <w:sz w:val="36"/>
          <w:szCs w:val="36"/>
          <w:lang w:eastAsia="zh-CN"/>
        </w:rPr>
      </w:pPr>
      <w:r>
        <w:rPr>
          <w:rFonts w:hint="default" w:ascii="Times New Roman" w:hAnsi="Times New Roman" w:cs="Times New Roman" w:eastAsiaTheme="minorEastAsia"/>
          <w:b w:val="0"/>
          <w:bCs w:val="0"/>
          <w:sz w:val="36"/>
          <w:szCs w:val="36"/>
        </w:rPr>
        <w:t>锅炉安全风险管控清单</w:t>
      </w:r>
      <w:r>
        <w:rPr>
          <w:rFonts w:hint="default" w:ascii="Times New Roman" w:hAnsi="Times New Roman" w:cs="Times New Roman" w:eastAsiaTheme="minorEastAsia"/>
          <w:b w:val="0"/>
          <w:bCs w:val="0"/>
          <w:sz w:val="36"/>
          <w:szCs w:val="36"/>
          <w:lang w:eastAsia="zh-CN"/>
        </w:rPr>
        <w:t>（供参考）</w:t>
      </w:r>
    </w:p>
    <w:tbl>
      <w:tblPr>
        <w:tblStyle w:val="16"/>
        <w:tblW w:w="142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4"/>
        <w:gridCol w:w="1444"/>
        <w:gridCol w:w="3180"/>
        <w:gridCol w:w="5250"/>
        <w:gridCol w:w="1260"/>
        <w:gridCol w:w="1286"/>
        <w:gridCol w:w="1011"/>
      </w:tblGrid>
      <w:tr w14:paraId="7B9EE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794" w:type="dxa"/>
            <w:shd w:val="clear" w:color="auto" w:fill="BEBEBE"/>
            <w:vAlign w:val="center"/>
          </w:tcPr>
          <w:p w14:paraId="2B95CA52">
            <w:pPr>
              <w:spacing w:line="240" w:lineRule="auto"/>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序号</w:t>
            </w:r>
          </w:p>
        </w:tc>
        <w:tc>
          <w:tcPr>
            <w:tcW w:w="1444" w:type="dxa"/>
            <w:shd w:val="clear" w:color="auto" w:fill="BEBEBE"/>
            <w:vAlign w:val="center"/>
          </w:tcPr>
          <w:p w14:paraId="3804FFFF">
            <w:pPr>
              <w:spacing w:line="240" w:lineRule="auto"/>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风险类别</w:t>
            </w:r>
          </w:p>
        </w:tc>
        <w:tc>
          <w:tcPr>
            <w:tcW w:w="3180" w:type="dxa"/>
            <w:shd w:val="clear" w:color="auto" w:fill="BEBEBE"/>
            <w:vAlign w:val="center"/>
          </w:tcPr>
          <w:p w14:paraId="0D16E641">
            <w:pPr>
              <w:spacing w:line="240" w:lineRule="auto"/>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风险指标</w:t>
            </w:r>
          </w:p>
        </w:tc>
        <w:tc>
          <w:tcPr>
            <w:tcW w:w="5250" w:type="dxa"/>
            <w:shd w:val="clear" w:color="auto" w:fill="BEBEBE"/>
            <w:vAlign w:val="center"/>
          </w:tcPr>
          <w:p w14:paraId="043B1D84">
            <w:pPr>
              <w:spacing w:line="240" w:lineRule="auto"/>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风险管控措施</w:t>
            </w:r>
          </w:p>
        </w:tc>
        <w:tc>
          <w:tcPr>
            <w:tcW w:w="1260" w:type="dxa"/>
            <w:shd w:val="clear" w:color="auto" w:fill="BEBEBE"/>
            <w:vAlign w:val="center"/>
          </w:tcPr>
          <w:p w14:paraId="68B23145">
            <w:pPr>
              <w:spacing w:line="240" w:lineRule="auto"/>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管控形式</w:t>
            </w:r>
          </w:p>
        </w:tc>
        <w:tc>
          <w:tcPr>
            <w:tcW w:w="1286" w:type="dxa"/>
            <w:shd w:val="clear" w:color="auto" w:fill="BEBEBE"/>
            <w:vAlign w:val="center"/>
          </w:tcPr>
          <w:p w14:paraId="515CFAEC">
            <w:pPr>
              <w:spacing w:line="240" w:lineRule="auto"/>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责任人</w:t>
            </w:r>
          </w:p>
        </w:tc>
        <w:tc>
          <w:tcPr>
            <w:tcW w:w="1011" w:type="dxa"/>
            <w:shd w:val="clear" w:color="auto" w:fill="BEBEBE"/>
          </w:tcPr>
          <w:p w14:paraId="012AB5DB">
            <w:pPr>
              <w:spacing w:line="240" w:lineRule="auto"/>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备注</w:t>
            </w:r>
          </w:p>
        </w:tc>
      </w:tr>
      <w:tr w14:paraId="0269B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794" w:type="dxa"/>
            <w:vAlign w:val="center"/>
          </w:tcPr>
          <w:p w14:paraId="32202E8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w:t>
            </w:r>
          </w:p>
        </w:tc>
        <w:tc>
          <w:tcPr>
            <w:tcW w:w="1444" w:type="dxa"/>
            <w:vMerge w:val="restart"/>
            <w:vAlign w:val="center"/>
          </w:tcPr>
          <w:p w14:paraId="1E28B42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人员</w:t>
            </w:r>
          </w:p>
        </w:tc>
        <w:tc>
          <w:tcPr>
            <w:tcW w:w="3180" w:type="dxa"/>
            <w:vAlign w:val="center"/>
          </w:tcPr>
          <w:p w14:paraId="5BFB57C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未按规定配备安全管理人员和作业人员</w:t>
            </w:r>
          </w:p>
        </w:tc>
        <w:tc>
          <w:tcPr>
            <w:tcW w:w="5250" w:type="dxa"/>
            <w:vAlign w:val="center"/>
          </w:tcPr>
          <w:p w14:paraId="59D1C85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1.建立特种设备安全管理人员与作业人员管理制度；</w:t>
            </w:r>
          </w:p>
          <w:p w14:paraId="785A731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2.按规定配备相关人员。</w:t>
            </w:r>
          </w:p>
        </w:tc>
        <w:tc>
          <w:tcPr>
            <w:tcW w:w="1260" w:type="dxa"/>
            <w:vAlign w:val="center"/>
          </w:tcPr>
          <w:p w14:paraId="205CF2A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86" w:type="dxa"/>
            <w:vAlign w:val="center"/>
          </w:tcPr>
          <w:p w14:paraId="22ADFE1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11" w:type="dxa"/>
          </w:tcPr>
          <w:p w14:paraId="4066B31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3DA0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794" w:type="dxa"/>
            <w:vAlign w:val="center"/>
          </w:tcPr>
          <w:p w14:paraId="511A1C5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w:t>
            </w:r>
          </w:p>
        </w:tc>
        <w:tc>
          <w:tcPr>
            <w:tcW w:w="1444" w:type="dxa"/>
            <w:vMerge w:val="continue"/>
            <w:vAlign w:val="center"/>
          </w:tcPr>
          <w:p w14:paraId="6596B3A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5B83828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作业人员未持有相应资格证件</w:t>
            </w:r>
          </w:p>
        </w:tc>
        <w:tc>
          <w:tcPr>
            <w:tcW w:w="5250" w:type="dxa"/>
            <w:vAlign w:val="center"/>
          </w:tcPr>
          <w:p w14:paraId="375D2D9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配备具有相应职责资质的作业人员，加强资格证的换证管理</w:t>
            </w:r>
          </w:p>
        </w:tc>
        <w:tc>
          <w:tcPr>
            <w:tcW w:w="1260" w:type="dxa"/>
            <w:vAlign w:val="center"/>
          </w:tcPr>
          <w:p w14:paraId="68C24E7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22B1097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1F304C6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15C49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794" w:type="dxa"/>
            <w:vAlign w:val="center"/>
          </w:tcPr>
          <w:p w14:paraId="0702BA3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3</w:t>
            </w:r>
          </w:p>
        </w:tc>
        <w:tc>
          <w:tcPr>
            <w:tcW w:w="1444" w:type="dxa"/>
            <w:vMerge w:val="continue"/>
            <w:vAlign w:val="center"/>
          </w:tcPr>
          <w:p w14:paraId="0D179E2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17D3688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未按规定对安全管理人员和作业人员开展安全教育培训</w:t>
            </w:r>
          </w:p>
        </w:tc>
        <w:tc>
          <w:tcPr>
            <w:tcW w:w="5250" w:type="dxa"/>
            <w:vAlign w:val="center"/>
          </w:tcPr>
          <w:p w14:paraId="177EF9C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按规定开展安全培训教育</w:t>
            </w:r>
          </w:p>
        </w:tc>
        <w:tc>
          <w:tcPr>
            <w:tcW w:w="1260" w:type="dxa"/>
            <w:vAlign w:val="center"/>
          </w:tcPr>
          <w:p w14:paraId="282A97E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3A77EA0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2BA96DD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0346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794" w:type="dxa"/>
            <w:vAlign w:val="center"/>
          </w:tcPr>
          <w:p w14:paraId="19221DC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4</w:t>
            </w:r>
          </w:p>
        </w:tc>
        <w:tc>
          <w:tcPr>
            <w:tcW w:w="1444" w:type="dxa"/>
            <w:vMerge w:val="continue"/>
            <w:vAlign w:val="center"/>
          </w:tcPr>
          <w:p w14:paraId="5EB5DD1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47B05A3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作业人员违章作业或到岗值守情况不符合要求</w:t>
            </w:r>
          </w:p>
        </w:tc>
        <w:tc>
          <w:tcPr>
            <w:tcW w:w="5250" w:type="dxa"/>
            <w:vAlign w:val="center"/>
          </w:tcPr>
          <w:p w14:paraId="5436B09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检查锅炉作业人员到岗值守情况，纠正和制止违章作业行为</w:t>
            </w:r>
          </w:p>
        </w:tc>
        <w:tc>
          <w:tcPr>
            <w:tcW w:w="1260" w:type="dxa"/>
            <w:vAlign w:val="center"/>
          </w:tcPr>
          <w:p w14:paraId="6C25F3F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5546C9C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775BC2B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A832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794" w:type="dxa"/>
            <w:vAlign w:val="center"/>
          </w:tcPr>
          <w:p w14:paraId="5832493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5</w:t>
            </w:r>
          </w:p>
        </w:tc>
        <w:tc>
          <w:tcPr>
            <w:tcW w:w="1444" w:type="dxa"/>
            <w:vMerge w:val="restart"/>
            <w:vAlign w:val="center"/>
          </w:tcPr>
          <w:p w14:paraId="6C1DC3A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管理</w:t>
            </w:r>
          </w:p>
        </w:tc>
        <w:tc>
          <w:tcPr>
            <w:tcW w:w="3180" w:type="dxa"/>
            <w:vAlign w:val="center"/>
          </w:tcPr>
          <w:p w14:paraId="4B65625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未按规定设置安全管理机构</w:t>
            </w:r>
          </w:p>
        </w:tc>
        <w:tc>
          <w:tcPr>
            <w:tcW w:w="5250" w:type="dxa"/>
            <w:vAlign w:val="center"/>
          </w:tcPr>
          <w:p w14:paraId="4DC1BFD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根据使用的特种设备种类和数量，设置专门的安全管理机构。</w:t>
            </w:r>
          </w:p>
        </w:tc>
        <w:tc>
          <w:tcPr>
            <w:tcW w:w="1260" w:type="dxa"/>
            <w:vAlign w:val="center"/>
          </w:tcPr>
          <w:p w14:paraId="71235B5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86" w:type="dxa"/>
            <w:vAlign w:val="center"/>
          </w:tcPr>
          <w:p w14:paraId="4441E22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11" w:type="dxa"/>
          </w:tcPr>
          <w:p w14:paraId="62062FE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CD99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794" w:type="dxa"/>
            <w:vAlign w:val="center"/>
          </w:tcPr>
          <w:p w14:paraId="378AE5F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6</w:t>
            </w:r>
          </w:p>
        </w:tc>
        <w:tc>
          <w:tcPr>
            <w:tcW w:w="1444" w:type="dxa"/>
            <w:vMerge w:val="continue"/>
            <w:vAlign w:val="center"/>
          </w:tcPr>
          <w:p w14:paraId="05C22C4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180" w:type="dxa"/>
            <w:vAlign w:val="center"/>
          </w:tcPr>
          <w:p w14:paraId="36E3DA8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未建立锅炉</w:t>
            </w:r>
            <w:r>
              <w:rPr>
                <w:rFonts w:hint="default" w:ascii="Times New Roman" w:hAnsi="Times New Roman" w:eastAsia="宋体" w:cs="Times New Roman"/>
                <w:b w:val="0"/>
                <w:bCs w:val="0"/>
                <w:sz w:val="24"/>
                <w:szCs w:val="22"/>
              </w:rPr>
              <w:t>使用安全节能管理制度</w:t>
            </w:r>
          </w:p>
        </w:tc>
        <w:tc>
          <w:tcPr>
            <w:tcW w:w="5250" w:type="dxa"/>
            <w:vAlign w:val="center"/>
          </w:tcPr>
          <w:p w14:paraId="11F73AB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制定锅炉安全管理机构和相关人员岗位职责；</w:t>
            </w:r>
          </w:p>
          <w:p w14:paraId="0C91A49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制定《锅炉安全总监职责》《锅炉安全员守则》《锅炉安全日管控、周排查、月调度管理制度》；</w:t>
            </w:r>
          </w:p>
          <w:p w14:paraId="48B4ACF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3.按《特种设备使用管理规则》建立锅炉使用安全和节能管理制度 。</w:t>
            </w:r>
          </w:p>
        </w:tc>
        <w:tc>
          <w:tcPr>
            <w:tcW w:w="1260" w:type="dxa"/>
            <w:vAlign w:val="center"/>
          </w:tcPr>
          <w:p w14:paraId="5657B80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48F2BC5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506D8A9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1E31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794" w:type="dxa"/>
            <w:vAlign w:val="center"/>
          </w:tcPr>
          <w:p w14:paraId="3322273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7</w:t>
            </w:r>
          </w:p>
        </w:tc>
        <w:tc>
          <w:tcPr>
            <w:tcW w:w="1444" w:type="dxa"/>
            <w:vMerge w:val="continue"/>
            <w:vAlign w:val="center"/>
          </w:tcPr>
          <w:p w14:paraId="7CFC6E5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1BE128E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未建立安全</w:t>
            </w:r>
            <w:r>
              <w:rPr>
                <w:rFonts w:hint="eastAsia" w:cs="Times New Roman"/>
                <w:b w:val="0"/>
                <w:bCs w:val="0"/>
                <w:sz w:val="24"/>
                <w:szCs w:val="22"/>
                <w:lang w:eastAsia="zh-CN"/>
              </w:rPr>
              <w:t>与节能</w:t>
            </w:r>
            <w:r>
              <w:rPr>
                <w:rFonts w:hint="default" w:ascii="Times New Roman" w:hAnsi="Times New Roman" w:eastAsia="宋体" w:cs="Times New Roman"/>
                <w:b w:val="0"/>
                <w:bCs w:val="0"/>
                <w:sz w:val="24"/>
                <w:szCs w:val="22"/>
              </w:rPr>
              <w:t>技术档案</w:t>
            </w:r>
          </w:p>
        </w:tc>
        <w:tc>
          <w:tcPr>
            <w:tcW w:w="5250" w:type="dxa"/>
            <w:vAlign w:val="center"/>
          </w:tcPr>
          <w:p w14:paraId="1B92D187">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1.建立锅炉安全</w:t>
            </w:r>
            <w:r>
              <w:rPr>
                <w:rFonts w:hint="eastAsia" w:cs="Times New Roman"/>
                <w:b w:val="0"/>
                <w:bCs w:val="0"/>
                <w:sz w:val="24"/>
                <w:szCs w:val="22"/>
                <w:lang w:eastAsia="zh-CN"/>
              </w:rPr>
              <w:t>与节能</w:t>
            </w:r>
            <w:r>
              <w:rPr>
                <w:rFonts w:hint="default" w:ascii="Times New Roman" w:hAnsi="Times New Roman" w:eastAsia="宋体" w:cs="Times New Roman"/>
                <w:b w:val="0"/>
                <w:bCs w:val="0"/>
                <w:sz w:val="24"/>
                <w:szCs w:val="22"/>
                <w:lang w:val="en-US" w:eastAsia="zh-CN"/>
              </w:rPr>
              <w:t>技术档案管理制度，明确档案内容及管理要求；</w:t>
            </w:r>
          </w:p>
          <w:p w14:paraId="7097EFA3">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2.按规定建立安全</w:t>
            </w:r>
            <w:r>
              <w:rPr>
                <w:rFonts w:hint="eastAsia" w:cs="Times New Roman"/>
                <w:b w:val="0"/>
                <w:bCs w:val="0"/>
                <w:sz w:val="24"/>
                <w:szCs w:val="22"/>
                <w:lang w:eastAsia="zh-CN"/>
              </w:rPr>
              <w:t>与节能</w:t>
            </w:r>
            <w:r>
              <w:rPr>
                <w:rFonts w:hint="default" w:ascii="Times New Roman" w:hAnsi="Times New Roman" w:eastAsia="宋体" w:cs="Times New Roman"/>
                <w:b w:val="0"/>
                <w:bCs w:val="0"/>
                <w:sz w:val="24"/>
                <w:szCs w:val="22"/>
                <w:lang w:val="en-US" w:eastAsia="zh-CN"/>
              </w:rPr>
              <w:t xml:space="preserve">技术档案并及时更新。 </w:t>
            </w:r>
          </w:p>
        </w:tc>
        <w:tc>
          <w:tcPr>
            <w:tcW w:w="1260" w:type="dxa"/>
            <w:vAlign w:val="center"/>
          </w:tcPr>
          <w:p w14:paraId="16EB785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3DECF23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388C023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F1B3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794" w:type="dxa"/>
            <w:vAlign w:val="center"/>
          </w:tcPr>
          <w:p w14:paraId="301F64E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8</w:t>
            </w:r>
          </w:p>
        </w:tc>
        <w:tc>
          <w:tcPr>
            <w:tcW w:w="1444" w:type="dxa"/>
            <w:vMerge w:val="continue"/>
            <w:vAlign w:val="center"/>
          </w:tcPr>
          <w:p w14:paraId="12E2979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0D55294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未按规定办理使用登记、变更登记及停用、报废等手续</w:t>
            </w:r>
          </w:p>
        </w:tc>
        <w:tc>
          <w:tcPr>
            <w:tcW w:w="5250" w:type="dxa"/>
            <w:vAlign w:val="center"/>
          </w:tcPr>
          <w:p w14:paraId="53483F4B">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1.建立使用管理制度和规程，明确相关内容及安全管理要求；</w:t>
            </w:r>
          </w:p>
          <w:p w14:paraId="20D0330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 按规定办理使用登记、变更登记及停用、报废手续。</w:t>
            </w:r>
          </w:p>
        </w:tc>
        <w:tc>
          <w:tcPr>
            <w:tcW w:w="1260" w:type="dxa"/>
            <w:vAlign w:val="center"/>
          </w:tcPr>
          <w:p w14:paraId="05DBA66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6E8FA4A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66280B9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50A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794" w:type="dxa"/>
            <w:vAlign w:val="center"/>
          </w:tcPr>
          <w:p w14:paraId="610A9BB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9</w:t>
            </w:r>
          </w:p>
        </w:tc>
        <w:tc>
          <w:tcPr>
            <w:tcW w:w="1444" w:type="dxa"/>
            <w:vMerge w:val="continue"/>
            <w:vAlign w:val="center"/>
          </w:tcPr>
          <w:p w14:paraId="440B3BD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5D155CF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未按规定制定锅炉事故应急专项预案并定期演练</w:t>
            </w:r>
          </w:p>
        </w:tc>
        <w:tc>
          <w:tcPr>
            <w:tcW w:w="5250" w:type="dxa"/>
            <w:vAlign w:val="center"/>
          </w:tcPr>
          <w:p w14:paraId="1E87774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制定锅炉事故应急专项预案并每年至少开展1次演练</w:t>
            </w:r>
          </w:p>
        </w:tc>
        <w:tc>
          <w:tcPr>
            <w:tcW w:w="1260" w:type="dxa"/>
            <w:vAlign w:val="center"/>
          </w:tcPr>
          <w:p w14:paraId="1B078E2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86" w:type="dxa"/>
            <w:vAlign w:val="center"/>
          </w:tcPr>
          <w:p w14:paraId="6805423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11" w:type="dxa"/>
          </w:tcPr>
          <w:p w14:paraId="0FEE8B9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0F53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794" w:type="dxa"/>
            <w:vAlign w:val="center"/>
          </w:tcPr>
          <w:p w14:paraId="6797CDB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10</w:t>
            </w:r>
          </w:p>
        </w:tc>
        <w:tc>
          <w:tcPr>
            <w:tcW w:w="1444" w:type="dxa"/>
            <w:vMerge w:val="continue"/>
            <w:vAlign w:val="center"/>
          </w:tcPr>
          <w:p w14:paraId="6CB2ABA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6F8C7BF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锅炉停炉期间未按规定对锅炉及水处理设备进行停炉保养</w:t>
            </w:r>
          </w:p>
        </w:tc>
        <w:tc>
          <w:tcPr>
            <w:tcW w:w="5250" w:type="dxa"/>
            <w:vAlign w:val="center"/>
          </w:tcPr>
          <w:p w14:paraId="7CC7382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1.制定并落实锅炉停炉期间的锅炉、水处理设备保养措施；</w:t>
            </w:r>
          </w:p>
          <w:p w14:paraId="21B27EE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2.加强锅炉管理人员、操作人员、维护保养人员的相关专业培训。</w:t>
            </w:r>
          </w:p>
        </w:tc>
        <w:tc>
          <w:tcPr>
            <w:tcW w:w="1260" w:type="dxa"/>
            <w:vAlign w:val="center"/>
          </w:tcPr>
          <w:p w14:paraId="6571434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0A8F75E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2F51DC1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61E8C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794" w:type="dxa"/>
            <w:vAlign w:val="center"/>
          </w:tcPr>
          <w:p w14:paraId="5FBD0DD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11</w:t>
            </w:r>
          </w:p>
        </w:tc>
        <w:tc>
          <w:tcPr>
            <w:tcW w:w="1444" w:type="dxa"/>
            <w:vMerge w:val="restart"/>
            <w:vAlign w:val="center"/>
          </w:tcPr>
          <w:p w14:paraId="6E5E72B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锅炉本体</w:t>
            </w:r>
          </w:p>
          <w:p w14:paraId="42CD588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及锅炉范围内管道</w:t>
            </w:r>
          </w:p>
        </w:tc>
        <w:tc>
          <w:tcPr>
            <w:tcW w:w="3180" w:type="dxa"/>
            <w:vAlign w:val="center"/>
          </w:tcPr>
          <w:p w14:paraId="53D34DD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选用国家明令禁止或淘汰的锅炉产品</w:t>
            </w:r>
          </w:p>
        </w:tc>
        <w:tc>
          <w:tcPr>
            <w:tcW w:w="5250" w:type="dxa"/>
            <w:vAlign w:val="center"/>
          </w:tcPr>
          <w:p w14:paraId="52DB63C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建立采购管理制度，明确采购、验收要求</w:t>
            </w:r>
          </w:p>
        </w:tc>
        <w:tc>
          <w:tcPr>
            <w:tcW w:w="1260" w:type="dxa"/>
            <w:vAlign w:val="center"/>
          </w:tcPr>
          <w:p w14:paraId="7982286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86" w:type="dxa"/>
            <w:vAlign w:val="center"/>
          </w:tcPr>
          <w:p w14:paraId="68E2148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11" w:type="dxa"/>
          </w:tcPr>
          <w:p w14:paraId="4045607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6D5E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jc w:val="center"/>
        </w:trPr>
        <w:tc>
          <w:tcPr>
            <w:tcW w:w="794" w:type="dxa"/>
            <w:vAlign w:val="center"/>
          </w:tcPr>
          <w:p w14:paraId="150DD25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12</w:t>
            </w:r>
          </w:p>
        </w:tc>
        <w:tc>
          <w:tcPr>
            <w:tcW w:w="1444" w:type="dxa"/>
            <w:vMerge w:val="continue"/>
            <w:vAlign w:val="center"/>
          </w:tcPr>
          <w:p w14:paraId="7E07DBF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1DB196D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未按规定调试、检查和启动锅炉</w:t>
            </w:r>
          </w:p>
        </w:tc>
        <w:tc>
          <w:tcPr>
            <w:tcW w:w="5250" w:type="dxa"/>
            <w:vAlign w:val="center"/>
          </w:tcPr>
          <w:p w14:paraId="6A03EEE9">
            <w:pPr>
              <w:keepNext w:val="0"/>
              <w:keepLines w:val="0"/>
              <w:pageBreakBefore w:val="0"/>
              <w:numPr>
                <w:ilvl w:val="0"/>
                <w:numId w:val="3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制定调试方案，调试过程中的技术、安全保障措施，规定进行调试并记录；</w:t>
            </w:r>
          </w:p>
          <w:p w14:paraId="10A3F094">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2.按操作规程进行启动前检查和启动程序。</w:t>
            </w:r>
          </w:p>
        </w:tc>
        <w:tc>
          <w:tcPr>
            <w:tcW w:w="1260" w:type="dxa"/>
            <w:vAlign w:val="center"/>
          </w:tcPr>
          <w:p w14:paraId="442CF2E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44D3534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10077B8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1FC8F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jc w:val="center"/>
        </w:trPr>
        <w:tc>
          <w:tcPr>
            <w:tcW w:w="794" w:type="dxa"/>
            <w:vAlign w:val="center"/>
          </w:tcPr>
          <w:p w14:paraId="1D76752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13</w:t>
            </w:r>
          </w:p>
        </w:tc>
        <w:tc>
          <w:tcPr>
            <w:tcW w:w="1444" w:type="dxa"/>
            <w:vMerge w:val="continue"/>
            <w:vAlign w:val="center"/>
          </w:tcPr>
          <w:p w14:paraId="7F7440A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76958E7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锅炉膨胀异常</w:t>
            </w:r>
          </w:p>
        </w:tc>
        <w:tc>
          <w:tcPr>
            <w:tcW w:w="5250" w:type="dxa"/>
            <w:vAlign w:val="center"/>
          </w:tcPr>
          <w:p w14:paraId="0532015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膨胀示值有异常时，分析原因并采取相应的处置措施</w:t>
            </w:r>
          </w:p>
        </w:tc>
        <w:tc>
          <w:tcPr>
            <w:tcW w:w="1260" w:type="dxa"/>
            <w:vAlign w:val="center"/>
          </w:tcPr>
          <w:p w14:paraId="39CD532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7536457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39687A9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62F10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794" w:type="dxa"/>
            <w:vAlign w:val="center"/>
          </w:tcPr>
          <w:p w14:paraId="2B5A717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14</w:t>
            </w:r>
          </w:p>
        </w:tc>
        <w:tc>
          <w:tcPr>
            <w:tcW w:w="1444" w:type="dxa"/>
            <w:vMerge w:val="continue"/>
            <w:vAlign w:val="center"/>
          </w:tcPr>
          <w:p w14:paraId="0DF9C08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0C3A069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受压部件及管接头等部位出现变形、泄漏、腐蚀等异常情况</w:t>
            </w:r>
          </w:p>
        </w:tc>
        <w:tc>
          <w:tcPr>
            <w:tcW w:w="5250" w:type="dxa"/>
            <w:vAlign w:val="center"/>
          </w:tcPr>
          <w:p w14:paraId="264CC43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开展巡回检查，发现异常，按规定进行报告和处理</w:t>
            </w:r>
          </w:p>
        </w:tc>
        <w:tc>
          <w:tcPr>
            <w:tcW w:w="1260" w:type="dxa"/>
            <w:vAlign w:val="center"/>
          </w:tcPr>
          <w:p w14:paraId="4419142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42E875D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6646EFE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B4C6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794" w:type="dxa"/>
            <w:vAlign w:val="center"/>
          </w:tcPr>
          <w:p w14:paraId="7230F0D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15</w:t>
            </w:r>
          </w:p>
        </w:tc>
        <w:tc>
          <w:tcPr>
            <w:tcW w:w="1444" w:type="dxa"/>
            <w:vMerge w:val="continue"/>
            <w:vAlign w:val="center"/>
          </w:tcPr>
          <w:p w14:paraId="269EC31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15A410C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管道、阀门、分汽（水、油）缸存在振动 、变形、泄漏</w:t>
            </w:r>
          </w:p>
        </w:tc>
        <w:tc>
          <w:tcPr>
            <w:tcW w:w="5250" w:type="dxa"/>
            <w:vAlign w:val="center"/>
          </w:tcPr>
          <w:p w14:paraId="5C46476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开展巡回检查，发现异常，按规定进行报告和处理</w:t>
            </w:r>
          </w:p>
        </w:tc>
        <w:tc>
          <w:tcPr>
            <w:tcW w:w="1260" w:type="dxa"/>
            <w:vAlign w:val="center"/>
          </w:tcPr>
          <w:p w14:paraId="26C1DF8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30A9D6E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4F372F5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B246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794" w:type="dxa"/>
            <w:vAlign w:val="center"/>
          </w:tcPr>
          <w:p w14:paraId="55E935D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16</w:t>
            </w:r>
          </w:p>
        </w:tc>
        <w:tc>
          <w:tcPr>
            <w:tcW w:w="1444" w:type="dxa"/>
            <w:vMerge w:val="continue"/>
            <w:vAlign w:val="center"/>
          </w:tcPr>
          <w:p w14:paraId="3419B95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3501A73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未按规定进行维护保养和自行检查</w:t>
            </w:r>
          </w:p>
        </w:tc>
        <w:tc>
          <w:tcPr>
            <w:tcW w:w="5250" w:type="dxa"/>
            <w:vAlign w:val="center"/>
          </w:tcPr>
          <w:p w14:paraId="61AB2F2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按规定制定维护保养制度和定期自行检查制度，组织开展维护保养和定期自行检查并做好相应记录</w:t>
            </w:r>
          </w:p>
        </w:tc>
        <w:tc>
          <w:tcPr>
            <w:tcW w:w="1260" w:type="dxa"/>
            <w:vAlign w:val="center"/>
          </w:tcPr>
          <w:p w14:paraId="752DC0A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0051DDF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1035505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325BB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794" w:type="dxa"/>
            <w:vAlign w:val="center"/>
          </w:tcPr>
          <w:p w14:paraId="4B2D720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17</w:t>
            </w:r>
          </w:p>
        </w:tc>
        <w:tc>
          <w:tcPr>
            <w:tcW w:w="1444" w:type="dxa"/>
            <w:vMerge w:val="continue"/>
            <w:vAlign w:val="center"/>
          </w:tcPr>
          <w:p w14:paraId="21DE20A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24E9D1D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 xml:space="preserve">未按规定进行定期检验、监督检验 </w:t>
            </w:r>
          </w:p>
        </w:tc>
        <w:tc>
          <w:tcPr>
            <w:tcW w:w="5250" w:type="dxa"/>
            <w:vAlign w:val="center"/>
          </w:tcPr>
          <w:p w14:paraId="52CD12E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 制定定期检验、监督检验计划并组织实施，落实定期检验、监督检验的后续整改工作；</w:t>
            </w:r>
          </w:p>
          <w:p w14:paraId="21DAA7D0">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 成套装置中的锅炉和A级高压以上电站锅炉因检修原因不能按期进行内部检验时，督促落实相关监控措施。</w:t>
            </w:r>
          </w:p>
        </w:tc>
        <w:tc>
          <w:tcPr>
            <w:tcW w:w="1260" w:type="dxa"/>
            <w:vAlign w:val="center"/>
          </w:tcPr>
          <w:p w14:paraId="63BB8C9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86" w:type="dxa"/>
            <w:vAlign w:val="center"/>
          </w:tcPr>
          <w:p w14:paraId="4594DF5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11" w:type="dxa"/>
          </w:tcPr>
          <w:p w14:paraId="0D6C144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290A0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794" w:type="dxa"/>
            <w:vAlign w:val="center"/>
          </w:tcPr>
          <w:p w14:paraId="2947637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18</w:t>
            </w:r>
          </w:p>
        </w:tc>
        <w:tc>
          <w:tcPr>
            <w:tcW w:w="1444" w:type="dxa"/>
            <w:vMerge w:val="restart"/>
            <w:vAlign w:val="center"/>
          </w:tcPr>
          <w:p w14:paraId="23C9D9A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安全附件和安全保护装置</w:t>
            </w:r>
          </w:p>
        </w:tc>
        <w:tc>
          <w:tcPr>
            <w:tcW w:w="3180" w:type="dxa"/>
            <w:vAlign w:val="center"/>
          </w:tcPr>
          <w:p w14:paraId="2918271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控制式安全阀控制系统未定期试验、安全阀未定期校验、安全阀未进行定期排放试验</w:t>
            </w:r>
          </w:p>
        </w:tc>
        <w:tc>
          <w:tcPr>
            <w:tcW w:w="5250" w:type="dxa"/>
            <w:vAlign w:val="center"/>
          </w:tcPr>
          <w:p w14:paraId="121AFC7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1.制定安全附件定期试验、校验、维护保养管理制度，并严格执行；</w:t>
            </w:r>
          </w:p>
          <w:p w14:paraId="094D18C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2.落实专人定期开展校验或试验。</w:t>
            </w:r>
          </w:p>
        </w:tc>
        <w:tc>
          <w:tcPr>
            <w:tcW w:w="1260" w:type="dxa"/>
            <w:vAlign w:val="center"/>
          </w:tcPr>
          <w:p w14:paraId="28DCF8B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69A04A4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1E4DFB6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32BB7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794" w:type="dxa"/>
            <w:vAlign w:val="center"/>
          </w:tcPr>
          <w:p w14:paraId="460CFE7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19</w:t>
            </w:r>
          </w:p>
        </w:tc>
        <w:tc>
          <w:tcPr>
            <w:tcW w:w="1444" w:type="dxa"/>
            <w:vMerge w:val="continue"/>
            <w:vAlign w:val="center"/>
          </w:tcPr>
          <w:p w14:paraId="163D3C5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357D8AD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压力表未按规定进行检定或者校准</w:t>
            </w:r>
          </w:p>
        </w:tc>
        <w:tc>
          <w:tcPr>
            <w:tcW w:w="5250" w:type="dxa"/>
            <w:vAlign w:val="center"/>
          </w:tcPr>
          <w:p w14:paraId="5013891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1.制定安全附件定期试验、校验、维护保养管理制度，并严格执行；</w:t>
            </w:r>
          </w:p>
          <w:p w14:paraId="2C80D96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2.落实专人定期开展送检或检查。</w:t>
            </w:r>
          </w:p>
        </w:tc>
        <w:tc>
          <w:tcPr>
            <w:tcW w:w="1260" w:type="dxa"/>
            <w:vAlign w:val="center"/>
          </w:tcPr>
          <w:p w14:paraId="1FDACFC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527FDBD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790F341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2FFAB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794" w:type="dxa"/>
            <w:vAlign w:val="center"/>
          </w:tcPr>
          <w:p w14:paraId="524E499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20</w:t>
            </w:r>
          </w:p>
        </w:tc>
        <w:tc>
          <w:tcPr>
            <w:tcW w:w="1444" w:type="dxa"/>
            <w:vMerge w:val="continue"/>
            <w:vAlign w:val="center"/>
          </w:tcPr>
          <w:p w14:paraId="071AAE5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6028A36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同一系统内相同位置的各压力表示值存在误差</w:t>
            </w:r>
          </w:p>
        </w:tc>
        <w:tc>
          <w:tcPr>
            <w:tcW w:w="5250" w:type="dxa"/>
            <w:vAlign w:val="center"/>
          </w:tcPr>
          <w:p w14:paraId="688A074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开展巡回检查，发现异常，按规定进行报告和处理</w:t>
            </w:r>
          </w:p>
        </w:tc>
        <w:tc>
          <w:tcPr>
            <w:tcW w:w="1260" w:type="dxa"/>
            <w:vAlign w:val="center"/>
          </w:tcPr>
          <w:p w14:paraId="27BE1A9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666B331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1D58663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762A7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794" w:type="dxa"/>
            <w:vAlign w:val="center"/>
          </w:tcPr>
          <w:p w14:paraId="72317D0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21</w:t>
            </w:r>
          </w:p>
        </w:tc>
        <w:tc>
          <w:tcPr>
            <w:tcW w:w="1444" w:type="dxa"/>
            <w:vMerge w:val="continue"/>
            <w:vAlign w:val="center"/>
          </w:tcPr>
          <w:p w14:paraId="22586D1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169C40D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水（液）位表的水（液）位显示不清晰</w:t>
            </w:r>
          </w:p>
        </w:tc>
        <w:tc>
          <w:tcPr>
            <w:tcW w:w="5250" w:type="dxa"/>
            <w:vMerge w:val="restart"/>
            <w:vAlign w:val="center"/>
          </w:tcPr>
          <w:p w14:paraId="3DCAE90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1.明确远程水位测量装置、只读式水位表检修、验收、维护保养、水位计冲洗等要求；</w:t>
            </w:r>
          </w:p>
          <w:p w14:paraId="2F674B9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2.定期对水位计进行维护保养、更换、冲洗、校对等。</w:t>
            </w:r>
          </w:p>
        </w:tc>
        <w:tc>
          <w:tcPr>
            <w:tcW w:w="1260" w:type="dxa"/>
            <w:vAlign w:val="center"/>
          </w:tcPr>
          <w:p w14:paraId="3D776C9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604A5FC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4A1D408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41EDF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794" w:type="dxa"/>
            <w:vAlign w:val="center"/>
          </w:tcPr>
          <w:p w14:paraId="07A8509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22</w:t>
            </w:r>
          </w:p>
        </w:tc>
        <w:tc>
          <w:tcPr>
            <w:tcW w:w="1444" w:type="dxa"/>
            <w:vMerge w:val="continue"/>
            <w:vAlign w:val="center"/>
          </w:tcPr>
          <w:p w14:paraId="0F4859A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7D0C19F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远程水（液）位测量装置与就地水（液）位表未校对</w:t>
            </w:r>
          </w:p>
        </w:tc>
        <w:tc>
          <w:tcPr>
            <w:tcW w:w="5250" w:type="dxa"/>
            <w:vMerge w:val="continue"/>
            <w:vAlign w:val="center"/>
          </w:tcPr>
          <w:p w14:paraId="74F6588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c>
          <w:tcPr>
            <w:tcW w:w="1260" w:type="dxa"/>
            <w:vAlign w:val="center"/>
          </w:tcPr>
          <w:p w14:paraId="539B3A6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08202F4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772BBB7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20703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794" w:type="dxa"/>
            <w:vAlign w:val="center"/>
          </w:tcPr>
          <w:p w14:paraId="221C89C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23</w:t>
            </w:r>
          </w:p>
        </w:tc>
        <w:tc>
          <w:tcPr>
            <w:tcW w:w="1444" w:type="dxa"/>
            <w:vMerge w:val="continue"/>
            <w:vAlign w:val="center"/>
          </w:tcPr>
          <w:p w14:paraId="0C9C566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060E45C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4"/>
              </w:rPr>
              <w:t>温度测量装置未按规定校验或者校准</w:t>
            </w:r>
          </w:p>
        </w:tc>
        <w:tc>
          <w:tcPr>
            <w:tcW w:w="5250" w:type="dxa"/>
            <w:vMerge w:val="restart"/>
            <w:vAlign w:val="center"/>
          </w:tcPr>
          <w:p w14:paraId="48371C8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落实专人定期开展送检或检查</w:t>
            </w:r>
          </w:p>
        </w:tc>
        <w:tc>
          <w:tcPr>
            <w:tcW w:w="1260" w:type="dxa"/>
            <w:vAlign w:val="center"/>
          </w:tcPr>
          <w:p w14:paraId="4E7B1B8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24EFEBF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5BAB795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0619D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794" w:type="dxa"/>
            <w:vAlign w:val="center"/>
          </w:tcPr>
          <w:p w14:paraId="5248409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24</w:t>
            </w:r>
          </w:p>
        </w:tc>
        <w:tc>
          <w:tcPr>
            <w:tcW w:w="1444" w:type="dxa"/>
            <w:vMerge w:val="continue"/>
            <w:vAlign w:val="center"/>
          </w:tcPr>
          <w:p w14:paraId="37367A6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22665D2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温度测量装置示值误差不正常</w:t>
            </w:r>
          </w:p>
        </w:tc>
        <w:tc>
          <w:tcPr>
            <w:tcW w:w="5250" w:type="dxa"/>
            <w:vMerge w:val="continue"/>
            <w:vAlign w:val="center"/>
          </w:tcPr>
          <w:p w14:paraId="4E86E57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c>
          <w:tcPr>
            <w:tcW w:w="1260" w:type="dxa"/>
            <w:vAlign w:val="center"/>
          </w:tcPr>
          <w:p w14:paraId="794DAD6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1BF96A0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2870F4F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29641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9" w:hRule="atLeast"/>
          <w:jc w:val="center"/>
        </w:trPr>
        <w:tc>
          <w:tcPr>
            <w:tcW w:w="794" w:type="dxa"/>
            <w:vAlign w:val="center"/>
          </w:tcPr>
          <w:p w14:paraId="7EB403E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25</w:t>
            </w:r>
          </w:p>
        </w:tc>
        <w:tc>
          <w:tcPr>
            <w:tcW w:w="1444" w:type="dxa"/>
            <w:vMerge w:val="continue"/>
            <w:vAlign w:val="center"/>
          </w:tcPr>
          <w:p w14:paraId="09914AF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29E8381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水位、压力、温度、点火程序控制、熄火保护等联锁保护装置的设置不符合要求</w:t>
            </w:r>
          </w:p>
        </w:tc>
        <w:tc>
          <w:tcPr>
            <w:tcW w:w="5250" w:type="dxa"/>
            <w:vAlign w:val="center"/>
          </w:tcPr>
          <w:p w14:paraId="252A520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1.对安全保护装置进行调试、验收；</w:t>
            </w:r>
          </w:p>
          <w:p w14:paraId="22C2C7E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4"/>
              </w:rPr>
              <w:t>2、对安全保护装置定期进行维护保养和试验并作出记录。</w:t>
            </w:r>
          </w:p>
        </w:tc>
        <w:tc>
          <w:tcPr>
            <w:tcW w:w="1260" w:type="dxa"/>
            <w:vAlign w:val="center"/>
          </w:tcPr>
          <w:p w14:paraId="6D561AB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2495A66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7FFE827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771B6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94" w:type="dxa"/>
            <w:vAlign w:val="center"/>
          </w:tcPr>
          <w:p w14:paraId="63BA163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26</w:t>
            </w:r>
          </w:p>
        </w:tc>
        <w:tc>
          <w:tcPr>
            <w:tcW w:w="1444" w:type="dxa"/>
            <w:vAlign w:val="center"/>
          </w:tcPr>
          <w:p w14:paraId="1905DF5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环境因素</w:t>
            </w:r>
          </w:p>
        </w:tc>
        <w:tc>
          <w:tcPr>
            <w:tcW w:w="3180" w:type="dxa"/>
            <w:vAlign w:val="center"/>
          </w:tcPr>
          <w:p w14:paraId="303ABCE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4"/>
              </w:rPr>
              <w:t>锅炉周围的安全通道、照明、防火、防雷、防风、防雨、防冻、防腐设施以及警示标志的设置不符合要求</w:t>
            </w:r>
          </w:p>
        </w:tc>
        <w:tc>
          <w:tcPr>
            <w:tcW w:w="5250" w:type="dxa"/>
            <w:vAlign w:val="center"/>
          </w:tcPr>
          <w:p w14:paraId="0D39E03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1.制定锅炉房安全管理制度，明确锅炉房管理的要求；</w:t>
            </w:r>
          </w:p>
          <w:p w14:paraId="19874D7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2.锅炉房维修、改造时应满足GB 50041《锅炉房设计标准》、GB 50016《建筑设计防火规范》等规定，并形成验收记录；</w:t>
            </w:r>
          </w:p>
          <w:p w14:paraId="30AE1E3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3.按规定设置警示标志，禁止非锅炉作业人员随意进入锅炉房。</w:t>
            </w:r>
          </w:p>
        </w:tc>
        <w:tc>
          <w:tcPr>
            <w:tcW w:w="1260" w:type="dxa"/>
            <w:vAlign w:val="center"/>
          </w:tcPr>
          <w:p w14:paraId="077D1CC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3F9EBE5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6EA42BA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5791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94" w:type="dxa"/>
            <w:vAlign w:val="center"/>
          </w:tcPr>
          <w:p w14:paraId="1907EF4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27</w:t>
            </w:r>
          </w:p>
        </w:tc>
        <w:tc>
          <w:tcPr>
            <w:tcW w:w="1444" w:type="dxa"/>
            <w:vMerge w:val="restart"/>
            <w:vAlign w:val="center"/>
          </w:tcPr>
          <w:p w14:paraId="3929335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热水锅炉</w:t>
            </w:r>
          </w:p>
          <w:p w14:paraId="2AACE71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专项</w:t>
            </w:r>
          </w:p>
        </w:tc>
        <w:tc>
          <w:tcPr>
            <w:tcW w:w="3180" w:type="dxa"/>
            <w:vAlign w:val="center"/>
          </w:tcPr>
          <w:p w14:paraId="6CCDEC1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自动补给水装置不符合要求</w:t>
            </w:r>
          </w:p>
        </w:tc>
        <w:tc>
          <w:tcPr>
            <w:tcW w:w="5250" w:type="dxa"/>
            <w:vAlign w:val="center"/>
          </w:tcPr>
          <w:p w14:paraId="23EB064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按规定进行维护保养、检查和试验，发现异常，按规定进行报告和处理</w:t>
            </w:r>
          </w:p>
        </w:tc>
        <w:tc>
          <w:tcPr>
            <w:tcW w:w="1260" w:type="dxa"/>
            <w:vAlign w:val="center"/>
          </w:tcPr>
          <w:p w14:paraId="4D9E51C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2D4AEBE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1C1DC6A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687B2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794" w:type="dxa"/>
            <w:vAlign w:val="center"/>
          </w:tcPr>
          <w:p w14:paraId="464F59F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28</w:t>
            </w:r>
          </w:p>
        </w:tc>
        <w:tc>
          <w:tcPr>
            <w:tcW w:w="1444" w:type="dxa"/>
            <w:vMerge w:val="continue"/>
            <w:vAlign w:val="center"/>
          </w:tcPr>
          <w:p w14:paraId="451D9E5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237E3D3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循环泵停泵联锁装置不符合要求</w:t>
            </w:r>
          </w:p>
        </w:tc>
        <w:tc>
          <w:tcPr>
            <w:tcW w:w="5250" w:type="dxa"/>
            <w:vAlign w:val="center"/>
          </w:tcPr>
          <w:p w14:paraId="35FEA0E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按规定进行维护保养、检查和试验，发现异常，按规定进行报告和处理</w:t>
            </w:r>
          </w:p>
        </w:tc>
        <w:tc>
          <w:tcPr>
            <w:tcW w:w="1260" w:type="dxa"/>
            <w:vAlign w:val="center"/>
          </w:tcPr>
          <w:p w14:paraId="30E40ED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196EFD0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62AC1C5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114D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794" w:type="dxa"/>
            <w:vAlign w:val="center"/>
          </w:tcPr>
          <w:p w14:paraId="1CC25AD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29</w:t>
            </w:r>
          </w:p>
        </w:tc>
        <w:tc>
          <w:tcPr>
            <w:tcW w:w="1444" w:type="dxa"/>
            <w:vMerge w:val="restart"/>
            <w:vAlign w:val="center"/>
          </w:tcPr>
          <w:p w14:paraId="01A9D7F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有机热载体锅炉专项</w:t>
            </w:r>
          </w:p>
        </w:tc>
        <w:tc>
          <w:tcPr>
            <w:tcW w:w="3180" w:type="dxa"/>
            <w:vAlign w:val="center"/>
          </w:tcPr>
          <w:p w14:paraId="7B93C3D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有机热载体未按规定进行检验或检验不符合要求</w:t>
            </w:r>
          </w:p>
        </w:tc>
        <w:tc>
          <w:tcPr>
            <w:tcW w:w="5250" w:type="dxa"/>
            <w:vAlign w:val="center"/>
          </w:tcPr>
          <w:p w14:paraId="702A31A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定期对有机热载体按规定取样检验</w:t>
            </w:r>
          </w:p>
        </w:tc>
        <w:tc>
          <w:tcPr>
            <w:tcW w:w="1260" w:type="dxa"/>
            <w:vAlign w:val="center"/>
          </w:tcPr>
          <w:p w14:paraId="05F611F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7911F3C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284AFD4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A4EF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794" w:type="dxa"/>
            <w:vAlign w:val="center"/>
          </w:tcPr>
          <w:p w14:paraId="4C2450B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30</w:t>
            </w:r>
          </w:p>
        </w:tc>
        <w:tc>
          <w:tcPr>
            <w:tcW w:w="1444" w:type="dxa"/>
            <w:vMerge w:val="continue"/>
            <w:vAlign w:val="center"/>
          </w:tcPr>
          <w:p w14:paraId="7219B3D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1BAB12B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膨胀罐、闪蒸罐、冷凝液罐不符合要求</w:t>
            </w:r>
          </w:p>
        </w:tc>
        <w:tc>
          <w:tcPr>
            <w:tcW w:w="5250" w:type="dxa"/>
            <w:vAlign w:val="center"/>
          </w:tcPr>
          <w:p w14:paraId="4DD1955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按规定进行维护保养、检查和试验，发现异常，按规定进行报告和处理</w:t>
            </w:r>
          </w:p>
        </w:tc>
        <w:tc>
          <w:tcPr>
            <w:tcW w:w="1260" w:type="dxa"/>
            <w:vAlign w:val="center"/>
          </w:tcPr>
          <w:p w14:paraId="1345CE2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日管控</w:t>
            </w:r>
          </w:p>
        </w:tc>
        <w:tc>
          <w:tcPr>
            <w:tcW w:w="1286" w:type="dxa"/>
            <w:vAlign w:val="center"/>
          </w:tcPr>
          <w:p w14:paraId="0D5FAB6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11" w:type="dxa"/>
          </w:tcPr>
          <w:p w14:paraId="23BEDD6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1B9CC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 w:type="dxa"/>
            <w:vAlign w:val="center"/>
          </w:tcPr>
          <w:p w14:paraId="642A135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31</w:t>
            </w:r>
          </w:p>
        </w:tc>
        <w:tc>
          <w:tcPr>
            <w:tcW w:w="1444" w:type="dxa"/>
            <w:vMerge w:val="restart"/>
            <w:vAlign w:val="center"/>
          </w:tcPr>
          <w:p w14:paraId="1B95015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D级锅炉专项</w:t>
            </w:r>
          </w:p>
        </w:tc>
        <w:tc>
          <w:tcPr>
            <w:tcW w:w="3180" w:type="dxa"/>
            <w:vAlign w:val="center"/>
          </w:tcPr>
          <w:p w14:paraId="6F92D72C">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未对作业人员进行培训</w:t>
            </w:r>
          </w:p>
        </w:tc>
        <w:tc>
          <w:tcPr>
            <w:tcW w:w="5250" w:type="dxa"/>
            <w:vAlign w:val="center"/>
          </w:tcPr>
          <w:p w14:paraId="0EE3AAEF">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定期对锅炉操作人员进行安全操作、安全管理和应急处置等进行培训</w:t>
            </w:r>
          </w:p>
        </w:tc>
        <w:tc>
          <w:tcPr>
            <w:tcW w:w="1260" w:type="dxa"/>
            <w:vAlign w:val="center"/>
          </w:tcPr>
          <w:p w14:paraId="555BA64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7AEF97C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3908D71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1D37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 w:type="dxa"/>
            <w:vAlign w:val="center"/>
          </w:tcPr>
          <w:p w14:paraId="7FAA0A07">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32</w:t>
            </w:r>
          </w:p>
        </w:tc>
        <w:tc>
          <w:tcPr>
            <w:tcW w:w="1444" w:type="dxa"/>
            <w:vMerge w:val="continue"/>
            <w:vAlign w:val="center"/>
          </w:tcPr>
          <w:p w14:paraId="7FC7074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2756BC64">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未开展定期自行检查，未对安全附件定期维护</w:t>
            </w:r>
          </w:p>
        </w:tc>
        <w:tc>
          <w:tcPr>
            <w:tcW w:w="5250" w:type="dxa"/>
            <w:vAlign w:val="center"/>
          </w:tcPr>
          <w:p w14:paraId="1D23A588">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按规定进行维护保养和定期自行检查</w:t>
            </w:r>
          </w:p>
        </w:tc>
        <w:tc>
          <w:tcPr>
            <w:tcW w:w="1260" w:type="dxa"/>
            <w:vAlign w:val="center"/>
          </w:tcPr>
          <w:p w14:paraId="3334B67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12B9F3F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56B51FD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0701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94" w:type="dxa"/>
            <w:vAlign w:val="center"/>
          </w:tcPr>
          <w:p w14:paraId="039D562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33</w:t>
            </w:r>
          </w:p>
        </w:tc>
        <w:tc>
          <w:tcPr>
            <w:tcW w:w="1444" w:type="dxa"/>
            <w:vMerge w:val="continue"/>
            <w:vAlign w:val="center"/>
          </w:tcPr>
          <w:p w14:paraId="0E8D4C6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05B337F8">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擅自对锅炉进行改造</w:t>
            </w:r>
          </w:p>
        </w:tc>
        <w:tc>
          <w:tcPr>
            <w:tcW w:w="5250" w:type="dxa"/>
            <w:vAlign w:val="center"/>
          </w:tcPr>
          <w:p w14:paraId="5CCEFC05">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发现擅自改造立即停止运行，做进一步处理</w:t>
            </w:r>
          </w:p>
        </w:tc>
        <w:tc>
          <w:tcPr>
            <w:tcW w:w="1260" w:type="dxa"/>
            <w:vAlign w:val="center"/>
          </w:tcPr>
          <w:p w14:paraId="71014FE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86" w:type="dxa"/>
            <w:vAlign w:val="center"/>
          </w:tcPr>
          <w:p w14:paraId="29A8C6B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11" w:type="dxa"/>
          </w:tcPr>
          <w:p w14:paraId="703A9AA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327D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794" w:type="dxa"/>
            <w:vAlign w:val="center"/>
          </w:tcPr>
          <w:p w14:paraId="7B6C9640">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34</w:t>
            </w:r>
          </w:p>
        </w:tc>
        <w:tc>
          <w:tcPr>
            <w:tcW w:w="1444" w:type="dxa"/>
            <w:vMerge w:val="continue"/>
            <w:vAlign w:val="center"/>
          </w:tcPr>
          <w:p w14:paraId="342476D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180" w:type="dxa"/>
            <w:vAlign w:val="center"/>
          </w:tcPr>
          <w:p w14:paraId="22293B81">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超设计寿命使用</w:t>
            </w:r>
          </w:p>
        </w:tc>
        <w:tc>
          <w:tcPr>
            <w:tcW w:w="5250" w:type="dxa"/>
            <w:vAlign w:val="center"/>
          </w:tcPr>
          <w:p w14:paraId="014F7F6F">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使用年限不得超过8年</w:t>
            </w:r>
          </w:p>
        </w:tc>
        <w:tc>
          <w:tcPr>
            <w:tcW w:w="1260" w:type="dxa"/>
            <w:vAlign w:val="center"/>
          </w:tcPr>
          <w:p w14:paraId="13DA3EB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86" w:type="dxa"/>
            <w:vAlign w:val="center"/>
          </w:tcPr>
          <w:p w14:paraId="53EA7EF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11" w:type="dxa"/>
          </w:tcPr>
          <w:p w14:paraId="07F99A3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83BB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794" w:type="dxa"/>
            <w:vAlign w:val="center"/>
          </w:tcPr>
          <w:p w14:paraId="763B89BA">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35</w:t>
            </w:r>
          </w:p>
        </w:tc>
        <w:tc>
          <w:tcPr>
            <w:tcW w:w="1444" w:type="dxa"/>
            <w:vAlign w:val="center"/>
          </w:tcPr>
          <w:p w14:paraId="24D9679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政府监督、通报、预警</w:t>
            </w:r>
          </w:p>
        </w:tc>
        <w:tc>
          <w:tcPr>
            <w:tcW w:w="3180" w:type="dxa"/>
            <w:vAlign w:val="center"/>
          </w:tcPr>
          <w:p w14:paraId="70628D3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250" w:type="dxa"/>
            <w:vAlign w:val="center"/>
          </w:tcPr>
          <w:p w14:paraId="1412093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260" w:type="dxa"/>
            <w:vAlign w:val="center"/>
          </w:tcPr>
          <w:p w14:paraId="30F2E96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周排查</w:t>
            </w:r>
          </w:p>
        </w:tc>
        <w:tc>
          <w:tcPr>
            <w:tcW w:w="1286" w:type="dxa"/>
            <w:vAlign w:val="center"/>
          </w:tcPr>
          <w:p w14:paraId="1F73155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安全总监</w:t>
            </w:r>
          </w:p>
        </w:tc>
        <w:tc>
          <w:tcPr>
            <w:tcW w:w="1011" w:type="dxa"/>
          </w:tcPr>
          <w:p w14:paraId="50D0D38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A10F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794" w:type="dxa"/>
            <w:vAlign w:val="center"/>
          </w:tcPr>
          <w:p w14:paraId="221D6B17">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36</w:t>
            </w:r>
          </w:p>
        </w:tc>
        <w:tc>
          <w:tcPr>
            <w:tcW w:w="1444" w:type="dxa"/>
            <w:vAlign w:val="center"/>
          </w:tcPr>
          <w:p w14:paraId="5708A88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投诉举报</w:t>
            </w:r>
          </w:p>
        </w:tc>
        <w:tc>
          <w:tcPr>
            <w:tcW w:w="3180" w:type="dxa"/>
            <w:vAlign w:val="center"/>
          </w:tcPr>
          <w:p w14:paraId="78323A9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250" w:type="dxa"/>
            <w:vAlign w:val="center"/>
          </w:tcPr>
          <w:p w14:paraId="3400980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记录，整改，消除安全隐患。</w:t>
            </w:r>
          </w:p>
        </w:tc>
        <w:tc>
          <w:tcPr>
            <w:tcW w:w="1260" w:type="dxa"/>
            <w:vAlign w:val="center"/>
          </w:tcPr>
          <w:p w14:paraId="36FD659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日管控</w:t>
            </w:r>
          </w:p>
        </w:tc>
        <w:tc>
          <w:tcPr>
            <w:tcW w:w="1286" w:type="dxa"/>
            <w:vAlign w:val="center"/>
          </w:tcPr>
          <w:p w14:paraId="2B4D081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安全员</w:t>
            </w:r>
          </w:p>
        </w:tc>
        <w:tc>
          <w:tcPr>
            <w:tcW w:w="1011" w:type="dxa"/>
          </w:tcPr>
          <w:p w14:paraId="09CFD24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59F1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794" w:type="dxa"/>
            <w:vAlign w:val="center"/>
          </w:tcPr>
          <w:p w14:paraId="1C3D8F81">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37</w:t>
            </w:r>
          </w:p>
        </w:tc>
        <w:tc>
          <w:tcPr>
            <w:tcW w:w="1444" w:type="dxa"/>
            <w:vAlign w:val="center"/>
          </w:tcPr>
          <w:p w14:paraId="6DB3F56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舆情信息</w:t>
            </w:r>
          </w:p>
        </w:tc>
        <w:tc>
          <w:tcPr>
            <w:tcW w:w="3180" w:type="dxa"/>
            <w:vAlign w:val="center"/>
          </w:tcPr>
          <w:p w14:paraId="0E9FDFA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250" w:type="dxa"/>
            <w:vAlign w:val="center"/>
          </w:tcPr>
          <w:p w14:paraId="38A05A7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260" w:type="dxa"/>
            <w:vAlign w:val="center"/>
          </w:tcPr>
          <w:p w14:paraId="2BA62C3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日管控</w:t>
            </w:r>
          </w:p>
        </w:tc>
        <w:tc>
          <w:tcPr>
            <w:tcW w:w="1286" w:type="dxa"/>
            <w:vAlign w:val="center"/>
          </w:tcPr>
          <w:p w14:paraId="0206A09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安全员</w:t>
            </w:r>
          </w:p>
        </w:tc>
        <w:tc>
          <w:tcPr>
            <w:tcW w:w="1011" w:type="dxa"/>
          </w:tcPr>
          <w:p w14:paraId="0EAE4F1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bl>
    <w:p w14:paraId="6DFD6DC8">
      <w:pPr>
        <w:keepNext w:val="0"/>
        <w:keepLines w:val="0"/>
        <w:pageBreakBefore w:val="0"/>
        <w:widowControl/>
        <w:kinsoku/>
        <w:overflowPunct/>
        <w:bidi w:val="0"/>
        <w:adjustRightInd/>
        <w:spacing w:line="280" w:lineRule="exact"/>
        <w:ind w:left="0" w:leftChars="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注</w:t>
      </w:r>
      <w:r>
        <w:rPr>
          <w:rFonts w:hint="default" w:ascii="Times New Roman" w:hAnsi="Times New Roman" w:eastAsia="宋体" w:cs="Times New Roman"/>
          <w:b w:val="0"/>
          <w:bCs w:val="0"/>
          <w:kern w:val="0"/>
          <w:sz w:val="24"/>
          <w:szCs w:val="22"/>
        </w:rPr>
        <w:t>：</w:t>
      </w:r>
      <w:r>
        <w:rPr>
          <w:rFonts w:hint="default" w:ascii="Times New Roman" w:hAnsi="Times New Roman" w:eastAsia="宋体" w:cs="Times New Roman"/>
          <w:b w:val="0"/>
          <w:bCs w:val="0"/>
          <w:sz w:val="24"/>
          <w:szCs w:val="24"/>
        </w:rPr>
        <w:t>本清单为推荐性格式，仅规定了应当进行日管控、周排查、月调度的基本项目，锅炉使用单位应当结合本单位实际情况和具体要求，细化风险管控清单，合理调整管控形式。</w:t>
      </w:r>
    </w:p>
    <w:p w14:paraId="31A6B98D">
      <w:pPr>
        <w:keepNext w:val="0"/>
        <w:keepLines w:val="0"/>
        <w:pageBreakBefore w:val="0"/>
        <w:kinsoku/>
        <w:overflowPunct/>
        <w:bidi w:val="0"/>
        <w:adjustRightInd/>
        <w:spacing w:line="280" w:lineRule="exact"/>
        <w:rPr>
          <w:rFonts w:hint="default" w:ascii="Times New Roman" w:hAnsi="Times New Roman" w:eastAsia="宋体" w:cs="Times New Roman"/>
          <w:b w:val="0"/>
          <w:bCs w:val="0"/>
          <w:sz w:val="36"/>
          <w:szCs w:val="36"/>
        </w:rPr>
      </w:pPr>
      <w:r>
        <w:rPr>
          <w:rFonts w:hint="default" w:ascii="Times New Roman" w:hAnsi="Times New Roman" w:eastAsia="宋体" w:cs="Times New Roman"/>
          <w:b w:val="0"/>
          <w:bCs w:val="0"/>
          <w:sz w:val="36"/>
          <w:szCs w:val="36"/>
        </w:rPr>
        <w:br w:type="page"/>
      </w:r>
    </w:p>
    <w:p w14:paraId="4685DEE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eastAsiaTheme="minorEastAsia"/>
          <w:b w:val="0"/>
          <w:bCs w:val="0"/>
          <w:sz w:val="36"/>
          <w:szCs w:val="36"/>
        </w:rPr>
      </w:pPr>
      <w:r>
        <w:rPr>
          <w:rFonts w:hint="default" w:ascii="Times New Roman" w:hAnsi="Times New Roman" w:cs="Times New Roman" w:eastAsiaTheme="minorEastAsia"/>
          <w:b w:val="0"/>
          <w:bCs w:val="0"/>
          <w:sz w:val="36"/>
          <w:szCs w:val="36"/>
        </w:rPr>
        <w:t>压力容器安全风险管控清单</w:t>
      </w:r>
      <w:r>
        <w:rPr>
          <w:rFonts w:hint="default" w:ascii="Times New Roman" w:hAnsi="Times New Roman" w:cs="Times New Roman" w:eastAsiaTheme="minorEastAsia"/>
          <w:b w:val="0"/>
          <w:bCs w:val="0"/>
          <w:sz w:val="36"/>
          <w:szCs w:val="36"/>
          <w:lang w:eastAsia="zh-CN"/>
        </w:rPr>
        <w:t>（供参考）</w:t>
      </w:r>
    </w:p>
    <w:tbl>
      <w:tblPr>
        <w:tblStyle w:val="16"/>
        <w:tblW w:w="141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1"/>
        <w:gridCol w:w="1418"/>
        <w:gridCol w:w="3661"/>
        <w:gridCol w:w="4649"/>
        <w:gridCol w:w="1425"/>
        <w:gridCol w:w="1290"/>
        <w:gridCol w:w="934"/>
      </w:tblGrid>
      <w:tr w14:paraId="0EA67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791" w:type="dxa"/>
            <w:shd w:val="clear" w:color="auto" w:fill="BEBEBE"/>
            <w:vAlign w:val="center"/>
          </w:tcPr>
          <w:p w14:paraId="55DF83D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序号</w:t>
            </w:r>
          </w:p>
        </w:tc>
        <w:tc>
          <w:tcPr>
            <w:tcW w:w="1418" w:type="dxa"/>
            <w:shd w:val="clear" w:color="auto" w:fill="BEBEBE"/>
            <w:vAlign w:val="center"/>
          </w:tcPr>
          <w:p w14:paraId="76343BE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风险类别</w:t>
            </w:r>
          </w:p>
        </w:tc>
        <w:tc>
          <w:tcPr>
            <w:tcW w:w="3661" w:type="dxa"/>
            <w:shd w:val="clear" w:color="auto" w:fill="BEBEBE"/>
            <w:vAlign w:val="center"/>
          </w:tcPr>
          <w:p w14:paraId="38AD7C0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kern w:val="0"/>
                <w:sz w:val="28"/>
                <w:szCs w:val="28"/>
              </w:rPr>
              <w:t>风险指标</w:t>
            </w:r>
          </w:p>
        </w:tc>
        <w:tc>
          <w:tcPr>
            <w:tcW w:w="4649" w:type="dxa"/>
            <w:shd w:val="clear" w:color="auto" w:fill="BEBEBE"/>
            <w:vAlign w:val="center"/>
          </w:tcPr>
          <w:p w14:paraId="472D007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风险管控措施</w:t>
            </w:r>
          </w:p>
        </w:tc>
        <w:tc>
          <w:tcPr>
            <w:tcW w:w="1425" w:type="dxa"/>
            <w:shd w:val="clear" w:color="auto" w:fill="BEBEBE"/>
            <w:vAlign w:val="center"/>
          </w:tcPr>
          <w:p w14:paraId="212FB65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管控形式</w:t>
            </w:r>
          </w:p>
        </w:tc>
        <w:tc>
          <w:tcPr>
            <w:tcW w:w="1290" w:type="dxa"/>
            <w:shd w:val="clear" w:color="auto" w:fill="BEBEBE"/>
            <w:vAlign w:val="center"/>
          </w:tcPr>
          <w:p w14:paraId="38D2D77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责任人</w:t>
            </w:r>
          </w:p>
        </w:tc>
        <w:tc>
          <w:tcPr>
            <w:tcW w:w="934" w:type="dxa"/>
            <w:shd w:val="clear" w:color="auto" w:fill="BEBEBE"/>
            <w:vAlign w:val="center"/>
          </w:tcPr>
          <w:p w14:paraId="797F7DA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备注</w:t>
            </w:r>
          </w:p>
        </w:tc>
      </w:tr>
      <w:tr w14:paraId="12593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1E3C56A2">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w:t>
            </w:r>
          </w:p>
        </w:tc>
        <w:tc>
          <w:tcPr>
            <w:tcW w:w="1418" w:type="dxa"/>
            <w:vMerge w:val="restart"/>
            <w:vAlign w:val="center"/>
          </w:tcPr>
          <w:p w14:paraId="7D7F181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人员</w:t>
            </w:r>
          </w:p>
        </w:tc>
        <w:tc>
          <w:tcPr>
            <w:tcW w:w="3661" w:type="dxa"/>
            <w:vAlign w:val="center"/>
          </w:tcPr>
          <w:p w14:paraId="3562C29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未按规定配置安全管理人员、作业人员</w:t>
            </w:r>
          </w:p>
        </w:tc>
        <w:tc>
          <w:tcPr>
            <w:tcW w:w="4649" w:type="dxa"/>
            <w:vAlign w:val="center"/>
          </w:tcPr>
          <w:p w14:paraId="45C8B02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1、建立特种设备安全管理人员与作业人员管理制度；</w:t>
            </w:r>
          </w:p>
          <w:p w14:paraId="15F20BB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2、定期检查作业人员证件；</w:t>
            </w:r>
          </w:p>
          <w:p w14:paraId="4D56BC9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3、现场检查作业人员持证情况</w:t>
            </w:r>
          </w:p>
        </w:tc>
        <w:tc>
          <w:tcPr>
            <w:tcW w:w="1425" w:type="dxa"/>
            <w:vAlign w:val="center"/>
          </w:tcPr>
          <w:p w14:paraId="2C49AC8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vAlign w:val="center"/>
          </w:tcPr>
          <w:p w14:paraId="7DEC58E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451714F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F38F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11457CED">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w:t>
            </w:r>
          </w:p>
        </w:tc>
        <w:tc>
          <w:tcPr>
            <w:tcW w:w="1418" w:type="dxa"/>
            <w:vMerge w:val="continue"/>
            <w:vAlign w:val="center"/>
          </w:tcPr>
          <w:p w14:paraId="4868B64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6ECEC93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未按规定定期开展安全培训，培训未覆盖相关人员</w:t>
            </w:r>
          </w:p>
        </w:tc>
        <w:tc>
          <w:tcPr>
            <w:tcW w:w="4649" w:type="dxa"/>
            <w:vAlign w:val="center"/>
          </w:tcPr>
          <w:p w14:paraId="2AD5761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1、建立人员安全培训制度；</w:t>
            </w:r>
          </w:p>
          <w:p w14:paraId="5319B9B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2、定期对相关人员进行培训教育</w:t>
            </w:r>
            <w:r>
              <w:rPr>
                <w:rFonts w:hint="default" w:ascii="Times New Roman" w:hAnsi="Times New Roman" w:eastAsia="宋体" w:cs="Times New Roman"/>
                <w:b w:val="0"/>
                <w:bCs w:val="0"/>
                <w:kern w:val="0"/>
                <w:sz w:val="24"/>
                <w:szCs w:val="24"/>
              </w:rPr>
              <w:t>和考核</w:t>
            </w:r>
          </w:p>
        </w:tc>
        <w:tc>
          <w:tcPr>
            <w:tcW w:w="1425" w:type="dxa"/>
            <w:vAlign w:val="center"/>
          </w:tcPr>
          <w:p w14:paraId="075126E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90" w:type="dxa"/>
            <w:vAlign w:val="center"/>
          </w:tcPr>
          <w:p w14:paraId="72E2187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34" w:type="dxa"/>
            <w:vAlign w:val="center"/>
          </w:tcPr>
          <w:p w14:paraId="0C18FA7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78EA2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exact"/>
          <w:jc w:val="center"/>
        </w:trPr>
        <w:tc>
          <w:tcPr>
            <w:tcW w:w="791" w:type="dxa"/>
            <w:vAlign w:val="center"/>
          </w:tcPr>
          <w:p w14:paraId="78658B6A">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w:t>
            </w:r>
          </w:p>
        </w:tc>
        <w:tc>
          <w:tcPr>
            <w:tcW w:w="1418" w:type="dxa"/>
            <w:vMerge w:val="continue"/>
            <w:vAlign w:val="center"/>
          </w:tcPr>
          <w:p w14:paraId="244B2B0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10B810E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未按规定配备安全总监、安全员、作业人员</w:t>
            </w:r>
          </w:p>
        </w:tc>
        <w:tc>
          <w:tcPr>
            <w:tcW w:w="4649" w:type="dxa"/>
            <w:vAlign w:val="center"/>
          </w:tcPr>
          <w:p w14:paraId="1E8B50E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按规定配备相关人员</w:t>
            </w:r>
          </w:p>
        </w:tc>
        <w:tc>
          <w:tcPr>
            <w:tcW w:w="1425" w:type="dxa"/>
            <w:vMerge w:val="restart"/>
            <w:vAlign w:val="center"/>
          </w:tcPr>
          <w:p w14:paraId="37A6211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90" w:type="dxa"/>
            <w:vMerge w:val="restart"/>
            <w:vAlign w:val="center"/>
          </w:tcPr>
          <w:p w14:paraId="27AFFFC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34" w:type="dxa"/>
            <w:vAlign w:val="center"/>
          </w:tcPr>
          <w:p w14:paraId="4AA31E7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34904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372A6FAE">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w:t>
            </w:r>
          </w:p>
        </w:tc>
        <w:tc>
          <w:tcPr>
            <w:tcW w:w="1418" w:type="dxa"/>
            <w:vMerge w:val="continue"/>
            <w:vAlign w:val="center"/>
          </w:tcPr>
          <w:p w14:paraId="27DB9900">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5F6821B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使用单位压力容器安全总监、安全员安全管理能力不足</w:t>
            </w:r>
          </w:p>
        </w:tc>
        <w:tc>
          <w:tcPr>
            <w:tcW w:w="4649" w:type="dxa"/>
            <w:vAlign w:val="center"/>
          </w:tcPr>
          <w:p w14:paraId="25CA830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1、定期组织宣贯压力容器有关法律法规、安全技术规范及相关标准培训；</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2、加强人员能力考核</w:t>
            </w:r>
            <w:r>
              <w:rPr>
                <w:rFonts w:hint="default" w:ascii="Times New Roman" w:hAnsi="Times New Roman" w:eastAsia="宋体" w:cs="Times New Roman"/>
                <w:b w:val="0"/>
                <w:bCs w:val="0"/>
                <w:kern w:val="0"/>
                <w:sz w:val="24"/>
                <w:szCs w:val="24"/>
              </w:rPr>
              <w:t>和建立人员激励约束机制</w:t>
            </w:r>
          </w:p>
        </w:tc>
        <w:tc>
          <w:tcPr>
            <w:tcW w:w="1425" w:type="dxa"/>
            <w:vMerge w:val="continue"/>
            <w:vAlign w:val="center"/>
          </w:tcPr>
          <w:p w14:paraId="297D395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p>
        </w:tc>
        <w:tc>
          <w:tcPr>
            <w:tcW w:w="1290" w:type="dxa"/>
            <w:vMerge w:val="continue"/>
            <w:vAlign w:val="center"/>
          </w:tcPr>
          <w:p w14:paraId="4162E2C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p>
        </w:tc>
        <w:tc>
          <w:tcPr>
            <w:tcW w:w="934" w:type="dxa"/>
            <w:vAlign w:val="center"/>
          </w:tcPr>
          <w:p w14:paraId="4B55465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4742E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6" w:hRule="exact"/>
          <w:jc w:val="center"/>
        </w:trPr>
        <w:tc>
          <w:tcPr>
            <w:tcW w:w="791" w:type="dxa"/>
            <w:vAlign w:val="center"/>
          </w:tcPr>
          <w:p w14:paraId="4D300868">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color w:val="FF0000"/>
                <w:kern w:val="0"/>
                <w:sz w:val="24"/>
                <w:szCs w:val="24"/>
              </w:rPr>
            </w:pPr>
            <w:r>
              <w:rPr>
                <w:rFonts w:hint="default" w:ascii="Times New Roman" w:hAnsi="Times New Roman" w:eastAsia="宋体" w:cs="Times New Roman"/>
                <w:b w:val="0"/>
                <w:bCs w:val="0"/>
                <w:color w:val="000000"/>
                <w:kern w:val="0"/>
                <w:sz w:val="24"/>
                <w:szCs w:val="24"/>
              </w:rPr>
              <w:t>5</w:t>
            </w:r>
          </w:p>
        </w:tc>
        <w:tc>
          <w:tcPr>
            <w:tcW w:w="1418" w:type="dxa"/>
            <w:vMerge w:val="restart"/>
            <w:vAlign w:val="center"/>
          </w:tcPr>
          <w:p w14:paraId="5B3FF45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管理</w:t>
            </w:r>
          </w:p>
        </w:tc>
        <w:tc>
          <w:tcPr>
            <w:tcW w:w="3661" w:type="dxa"/>
            <w:vAlign w:val="center"/>
          </w:tcPr>
          <w:p w14:paraId="64A5D97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未按规定办理使用登记和按时申报检验</w:t>
            </w:r>
          </w:p>
        </w:tc>
        <w:tc>
          <w:tcPr>
            <w:tcW w:w="4649" w:type="dxa"/>
            <w:vAlign w:val="center"/>
          </w:tcPr>
          <w:p w14:paraId="0C33480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建立并严格执行使用登记、定期检验管理制度</w:t>
            </w:r>
          </w:p>
        </w:tc>
        <w:tc>
          <w:tcPr>
            <w:tcW w:w="1425" w:type="dxa"/>
            <w:vMerge w:val="restart"/>
            <w:vAlign w:val="center"/>
          </w:tcPr>
          <w:p w14:paraId="418663C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90" w:type="dxa"/>
            <w:vMerge w:val="restart"/>
            <w:vAlign w:val="center"/>
          </w:tcPr>
          <w:p w14:paraId="1DF2F5C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34" w:type="dxa"/>
            <w:vAlign w:val="center"/>
          </w:tcPr>
          <w:p w14:paraId="3120849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7E0A5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71609B1">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6</w:t>
            </w:r>
          </w:p>
        </w:tc>
        <w:tc>
          <w:tcPr>
            <w:tcW w:w="1418" w:type="dxa"/>
            <w:vMerge w:val="continue"/>
            <w:vAlign w:val="center"/>
          </w:tcPr>
          <w:p w14:paraId="174D094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kern w:val="0"/>
                <w:sz w:val="24"/>
                <w:szCs w:val="24"/>
              </w:rPr>
            </w:pPr>
          </w:p>
        </w:tc>
        <w:tc>
          <w:tcPr>
            <w:tcW w:w="3661" w:type="dxa"/>
            <w:vAlign w:val="center"/>
          </w:tcPr>
          <w:p w14:paraId="50FA59A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未按一机一档建立安全技术档案；</w:t>
            </w:r>
          </w:p>
          <w:p w14:paraId="379D4BD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档案文件内容和保存期限不满足相关规定</w:t>
            </w:r>
          </w:p>
        </w:tc>
        <w:tc>
          <w:tcPr>
            <w:tcW w:w="4649" w:type="dxa"/>
            <w:vAlign w:val="center"/>
          </w:tcPr>
          <w:p w14:paraId="1946DDE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健全安全管理技术档案管理</w:t>
            </w:r>
          </w:p>
        </w:tc>
        <w:tc>
          <w:tcPr>
            <w:tcW w:w="1425" w:type="dxa"/>
            <w:vMerge w:val="continue"/>
            <w:vAlign w:val="center"/>
          </w:tcPr>
          <w:p w14:paraId="133EB85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c>
          <w:tcPr>
            <w:tcW w:w="1290" w:type="dxa"/>
            <w:vMerge w:val="continue"/>
            <w:vAlign w:val="center"/>
          </w:tcPr>
          <w:p w14:paraId="3BB51B0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71270A8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266AA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43428265">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color w:val="FF0000"/>
                <w:kern w:val="0"/>
                <w:sz w:val="24"/>
                <w:szCs w:val="24"/>
              </w:rPr>
            </w:pPr>
            <w:r>
              <w:rPr>
                <w:rFonts w:hint="default" w:ascii="Times New Roman" w:hAnsi="Times New Roman" w:eastAsia="宋体" w:cs="Times New Roman"/>
                <w:b w:val="0"/>
                <w:bCs w:val="0"/>
                <w:kern w:val="0"/>
                <w:sz w:val="24"/>
                <w:szCs w:val="24"/>
              </w:rPr>
              <w:t>7</w:t>
            </w:r>
          </w:p>
        </w:tc>
        <w:tc>
          <w:tcPr>
            <w:tcW w:w="1418" w:type="dxa"/>
            <w:vMerge w:val="restart"/>
            <w:vAlign w:val="center"/>
          </w:tcPr>
          <w:p w14:paraId="7907451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kern w:val="0"/>
                <w:sz w:val="24"/>
                <w:szCs w:val="24"/>
              </w:rPr>
            </w:pPr>
            <w:r>
              <w:rPr>
                <w:rFonts w:hint="default" w:ascii="Times New Roman" w:hAnsi="Times New Roman" w:eastAsia="宋体" w:cs="Times New Roman"/>
                <w:b w:val="0"/>
                <w:bCs w:val="0"/>
                <w:color w:val="000000"/>
                <w:kern w:val="0"/>
                <w:sz w:val="24"/>
                <w:szCs w:val="24"/>
              </w:rPr>
              <w:t>管理</w:t>
            </w:r>
          </w:p>
        </w:tc>
        <w:tc>
          <w:tcPr>
            <w:tcW w:w="3661" w:type="dxa"/>
            <w:vAlign w:val="center"/>
          </w:tcPr>
          <w:p w14:paraId="11FA94A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pacing w:val="6"/>
                <w:sz w:val="24"/>
                <w:szCs w:val="24"/>
              </w:rPr>
            </w:pPr>
            <w:r>
              <w:rPr>
                <w:rFonts w:hint="default" w:ascii="Times New Roman" w:hAnsi="Times New Roman" w:eastAsia="宋体" w:cs="Times New Roman"/>
                <w:b w:val="0"/>
                <w:bCs w:val="0"/>
                <w:sz w:val="24"/>
                <w:szCs w:val="24"/>
              </w:rPr>
              <w:t>未定期开展日常维护保养，安全检查</w:t>
            </w:r>
          </w:p>
        </w:tc>
        <w:tc>
          <w:tcPr>
            <w:tcW w:w="4649" w:type="dxa"/>
            <w:vAlign w:val="center"/>
          </w:tcPr>
          <w:p w14:paraId="67BCFC6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定期开展日常维护保养，安全检查</w:t>
            </w:r>
          </w:p>
        </w:tc>
        <w:tc>
          <w:tcPr>
            <w:tcW w:w="1425" w:type="dxa"/>
            <w:vMerge w:val="restart"/>
            <w:vAlign w:val="center"/>
          </w:tcPr>
          <w:p w14:paraId="078C586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周排查</w:t>
            </w:r>
          </w:p>
        </w:tc>
        <w:tc>
          <w:tcPr>
            <w:tcW w:w="1290" w:type="dxa"/>
            <w:vMerge w:val="restart"/>
            <w:vAlign w:val="center"/>
          </w:tcPr>
          <w:p w14:paraId="3F6652C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34" w:type="dxa"/>
            <w:vAlign w:val="center"/>
          </w:tcPr>
          <w:p w14:paraId="42A6A3F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488E7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2DC481EA">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8</w:t>
            </w:r>
          </w:p>
        </w:tc>
        <w:tc>
          <w:tcPr>
            <w:tcW w:w="1418" w:type="dxa"/>
            <w:vMerge w:val="continue"/>
            <w:vAlign w:val="center"/>
          </w:tcPr>
          <w:p w14:paraId="0E0D274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kern w:val="0"/>
                <w:sz w:val="24"/>
                <w:szCs w:val="24"/>
              </w:rPr>
            </w:pPr>
          </w:p>
        </w:tc>
        <w:tc>
          <w:tcPr>
            <w:tcW w:w="3661" w:type="dxa"/>
            <w:vAlign w:val="center"/>
          </w:tcPr>
          <w:p w14:paraId="54D3EA2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pacing w:val="6"/>
                <w:sz w:val="24"/>
                <w:szCs w:val="24"/>
              </w:rPr>
              <w:t>未建立压力容器操作规程</w:t>
            </w:r>
          </w:p>
        </w:tc>
        <w:tc>
          <w:tcPr>
            <w:tcW w:w="4649" w:type="dxa"/>
            <w:vAlign w:val="center"/>
          </w:tcPr>
          <w:p w14:paraId="140D98E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1.建立完善操作规程；</w:t>
            </w:r>
            <w:r>
              <w:rPr>
                <w:rFonts w:hint="default" w:ascii="Times New Roman" w:hAnsi="Times New Roman" w:eastAsia="宋体" w:cs="Times New Roman"/>
                <w:b w:val="0"/>
                <w:bCs w:val="0"/>
                <w:color w:val="000000"/>
                <w:sz w:val="24"/>
                <w:szCs w:val="24"/>
              </w:rPr>
              <w:br w:type="textWrapping"/>
            </w:r>
            <w:r>
              <w:rPr>
                <w:rFonts w:hint="default" w:ascii="Times New Roman" w:hAnsi="Times New Roman" w:eastAsia="宋体" w:cs="Times New Roman"/>
                <w:b w:val="0"/>
                <w:bCs w:val="0"/>
                <w:color w:val="000000"/>
                <w:sz w:val="24"/>
                <w:szCs w:val="24"/>
              </w:rPr>
              <w:t>2.加强人员培训并组织实施</w:t>
            </w:r>
          </w:p>
        </w:tc>
        <w:tc>
          <w:tcPr>
            <w:tcW w:w="1425" w:type="dxa"/>
            <w:vMerge w:val="continue"/>
            <w:vAlign w:val="center"/>
          </w:tcPr>
          <w:p w14:paraId="0052523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64EAD6B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444C8E8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1723D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348479B3">
            <w:pPr>
              <w:keepNext w:val="0"/>
              <w:keepLines w:val="0"/>
              <w:pageBreakBefore w:val="0"/>
              <w:widowControl/>
              <w:kinsoku/>
              <w:overflowPunct/>
              <w:bidi w:val="0"/>
              <w:adjustRightInd/>
              <w:spacing w:line="280" w:lineRule="exact"/>
              <w:ind w:left="0" w:leftChars="0" w:firstLine="240" w:firstLineChars="10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9</w:t>
            </w:r>
          </w:p>
        </w:tc>
        <w:tc>
          <w:tcPr>
            <w:tcW w:w="1418" w:type="dxa"/>
            <w:vMerge w:val="continue"/>
            <w:vAlign w:val="center"/>
          </w:tcPr>
          <w:p w14:paraId="6077DE0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kern w:val="0"/>
                <w:sz w:val="24"/>
                <w:szCs w:val="24"/>
              </w:rPr>
            </w:pPr>
          </w:p>
        </w:tc>
        <w:tc>
          <w:tcPr>
            <w:tcW w:w="3661" w:type="dxa"/>
            <w:vAlign w:val="center"/>
          </w:tcPr>
          <w:p w14:paraId="008020C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pacing w:val="6"/>
                <w:sz w:val="24"/>
                <w:szCs w:val="24"/>
              </w:rPr>
            </w:pPr>
            <w:r>
              <w:rPr>
                <w:rFonts w:hint="default" w:ascii="Times New Roman" w:hAnsi="Times New Roman" w:eastAsia="宋体" w:cs="Times New Roman"/>
                <w:b w:val="0"/>
                <w:bCs w:val="0"/>
                <w:color w:val="000000"/>
                <w:kern w:val="0"/>
                <w:sz w:val="24"/>
                <w:szCs w:val="24"/>
              </w:rPr>
              <w:t>安全隐患未及时整改或未按规定采取监控措施使用存在隐患的压力容器</w:t>
            </w:r>
          </w:p>
        </w:tc>
        <w:tc>
          <w:tcPr>
            <w:tcW w:w="4649" w:type="dxa"/>
            <w:vAlign w:val="center"/>
          </w:tcPr>
          <w:p w14:paraId="5012B72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kern w:val="0"/>
                <w:sz w:val="24"/>
                <w:szCs w:val="24"/>
              </w:rPr>
              <w:t>制定压力容器隐患整改计划，明确监控措施及责任人</w:t>
            </w:r>
          </w:p>
        </w:tc>
        <w:tc>
          <w:tcPr>
            <w:tcW w:w="1425" w:type="dxa"/>
            <w:vMerge w:val="continue"/>
            <w:vAlign w:val="center"/>
          </w:tcPr>
          <w:p w14:paraId="642B2D9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243DFAA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4E5EAAE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66C93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4A8D663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kern w:val="0"/>
                <w:sz w:val="24"/>
                <w:szCs w:val="24"/>
              </w:rPr>
            </w:pPr>
            <w:r>
              <w:rPr>
                <w:rFonts w:hint="default" w:ascii="Times New Roman" w:hAnsi="Times New Roman" w:eastAsia="宋体" w:cs="Times New Roman"/>
                <w:b w:val="0"/>
                <w:bCs w:val="0"/>
                <w:color w:val="000000"/>
                <w:kern w:val="0"/>
                <w:sz w:val="24"/>
                <w:szCs w:val="24"/>
              </w:rPr>
              <w:t>10</w:t>
            </w:r>
          </w:p>
        </w:tc>
        <w:tc>
          <w:tcPr>
            <w:tcW w:w="1418" w:type="dxa"/>
            <w:vMerge w:val="continue"/>
            <w:vAlign w:val="center"/>
          </w:tcPr>
          <w:p w14:paraId="7420D19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kern w:val="0"/>
                <w:sz w:val="24"/>
                <w:szCs w:val="24"/>
              </w:rPr>
            </w:pPr>
          </w:p>
        </w:tc>
        <w:tc>
          <w:tcPr>
            <w:tcW w:w="3661" w:type="dxa"/>
            <w:vAlign w:val="center"/>
          </w:tcPr>
          <w:p w14:paraId="6DF9EBE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pacing w:val="6"/>
                <w:sz w:val="24"/>
                <w:szCs w:val="24"/>
              </w:rPr>
            </w:pPr>
            <w:r>
              <w:rPr>
                <w:rFonts w:hint="default" w:ascii="Times New Roman" w:hAnsi="Times New Roman" w:eastAsia="宋体" w:cs="Times New Roman"/>
                <w:b w:val="0"/>
                <w:bCs w:val="0"/>
                <w:color w:val="000000"/>
                <w:spacing w:val="6"/>
                <w:sz w:val="24"/>
                <w:szCs w:val="24"/>
              </w:rPr>
              <w:t>未建立岗位责任、隐患治理、应急救援等安全管理制度，制定操作规程或相关制度不完善</w:t>
            </w:r>
          </w:p>
        </w:tc>
        <w:tc>
          <w:tcPr>
            <w:tcW w:w="4649" w:type="dxa"/>
            <w:vAlign w:val="center"/>
          </w:tcPr>
          <w:p w14:paraId="4CCD119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根据单位实际情况，及时建立健全各类安全管理制度和操作规程</w:t>
            </w:r>
          </w:p>
        </w:tc>
        <w:tc>
          <w:tcPr>
            <w:tcW w:w="1425" w:type="dxa"/>
            <w:vMerge w:val="restart"/>
            <w:vAlign w:val="center"/>
          </w:tcPr>
          <w:p w14:paraId="04F2CC8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90" w:type="dxa"/>
            <w:vMerge w:val="restart"/>
            <w:vAlign w:val="center"/>
          </w:tcPr>
          <w:p w14:paraId="225E444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34" w:type="dxa"/>
            <w:vAlign w:val="center"/>
          </w:tcPr>
          <w:p w14:paraId="0173C91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0740A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53110C8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11</w:t>
            </w:r>
          </w:p>
        </w:tc>
        <w:tc>
          <w:tcPr>
            <w:tcW w:w="1418" w:type="dxa"/>
            <w:vMerge w:val="restart"/>
            <w:vAlign w:val="center"/>
          </w:tcPr>
          <w:p w14:paraId="6FE959F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68F96D0F">
            <w:pPr>
              <w:keepNext w:val="0"/>
              <w:keepLines w:val="0"/>
              <w:pageBreakBefore w:val="0"/>
              <w:widowControl/>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未及时办理使用登记、变更登记、停用、报废（注销）等相关手续</w:t>
            </w:r>
          </w:p>
        </w:tc>
        <w:tc>
          <w:tcPr>
            <w:tcW w:w="4649" w:type="dxa"/>
            <w:vAlign w:val="center"/>
          </w:tcPr>
          <w:p w14:paraId="3BF9338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立即办理使用登记、变更登记、停用、报废</w:t>
            </w:r>
            <w:r>
              <w:rPr>
                <w:rFonts w:hint="default" w:ascii="Times New Roman" w:hAnsi="Times New Roman" w:eastAsia="宋体" w:cs="Times New Roman"/>
                <w:b w:val="0"/>
                <w:bCs w:val="0"/>
                <w:color w:val="000000"/>
                <w:kern w:val="0"/>
                <w:sz w:val="24"/>
                <w:szCs w:val="24"/>
              </w:rPr>
              <w:t>（注销）</w:t>
            </w:r>
            <w:r>
              <w:rPr>
                <w:rFonts w:hint="default" w:ascii="Times New Roman" w:hAnsi="Times New Roman" w:eastAsia="宋体" w:cs="Times New Roman"/>
                <w:b w:val="0"/>
                <w:bCs w:val="0"/>
                <w:color w:val="000000"/>
                <w:sz w:val="24"/>
                <w:szCs w:val="24"/>
              </w:rPr>
              <w:t>等相关手续</w:t>
            </w:r>
          </w:p>
        </w:tc>
        <w:tc>
          <w:tcPr>
            <w:tcW w:w="1425" w:type="dxa"/>
            <w:vMerge w:val="continue"/>
            <w:vAlign w:val="center"/>
          </w:tcPr>
          <w:p w14:paraId="42066CE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2C43CB4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4782EEC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5F988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791" w:type="dxa"/>
            <w:vAlign w:val="center"/>
          </w:tcPr>
          <w:p w14:paraId="2E1A816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12</w:t>
            </w:r>
          </w:p>
        </w:tc>
        <w:tc>
          <w:tcPr>
            <w:tcW w:w="1418" w:type="dxa"/>
            <w:vMerge w:val="continue"/>
            <w:vAlign w:val="center"/>
          </w:tcPr>
          <w:p w14:paraId="78D8F88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2706FD60">
            <w:pPr>
              <w:keepNext w:val="0"/>
              <w:keepLines w:val="0"/>
              <w:pageBreakBefore w:val="0"/>
              <w:widowControl/>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kern w:val="0"/>
                <w:sz w:val="24"/>
                <w:szCs w:val="24"/>
              </w:rPr>
              <w:t>未按规定开展压力容器年度检查、定期检验，办理延期检验的未采取有效监控</w:t>
            </w:r>
          </w:p>
        </w:tc>
        <w:tc>
          <w:tcPr>
            <w:tcW w:w="4649" w:type="dxa"/>
            <w:vAlign w:val="center"/>
          </w:tcPr>
          <w:p w14:paraId="07544C2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1.按规定开展压力容器年度检查，定期检验；</w:t>
            </w:r>
            <w:r>
              <w:rPr>
                <w:rFonts w:hint="default" w:ascii="Times New Roman" w:hAnsi="Times New Roman" w:eastAsia="宋体" w:cs="Times New Roman"/>
                <w:b w:val="0"/>
                <w:bCs w:val="0"/>
                <w:color w:val="000000"/>
                <w:sz w:val="24"/>
                <w:szCs w:val="24"/>
              </w:rPr>
              <w:br w:type="textWrapping"/>
            </w:r>
            <w:r>
              <w:rPr>
                <w:rFonts w:hint="default" w:ascii="Times New Roman" w:hAnsi="Times New Roman" w:eastAsia="宋体" w:cs="Times New Roman"/>
                <w:b w:val="0"/>
                <w:bCs w:val="0"/>
                <w:color w:val="000000"/>
                <w:sz w:val="24"/>
                <w:szCs w:val="24"/>
              </w:rPr>
              <w:t>2.</w:t>
            </w:r>
            <w:r>
              <w:rPr>
                <w:rFonts w:hint="default" w:ascii="Times New Roman" w:hAnsi="Times New Roman" w:eastAsia="宋体" w:cs="Times New Roman"/>
                <w:b w:val="0"/>
                <w:bCs w:val="0"/>
                <w:color w:val="000000"/>
                <w:kern w:val="0"/>
                <w:sz w:val="24"/>
                <w:szCs w:val="24"/>
              </w:rPr>
              <w:t>延期检验的压力容器经检验机构确认及使用登记机构备案后采取有效措施监控使用</w:t>
            </w:r>
          </w:p>
        </w:tc>
        <w:tc>
          <w:tcPr>
            <w:tcW w:w="1425" w:type="dxa"/>
            <w:vMerge w:val="continue"/>
            <w:vAlign w:val="center"/>
          </w:tcPr>
          <w:p w14:paraId="1846C22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7BDEB2A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633F22E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7D60E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039C759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13</w:t>
            </w:r>
          </w:p>
        </w:tc>
        <w:tc>
          <w:tcPr>
            <w:tcW w:w="1418" w:type="dxa"/>
            <w:vMerge w:val="restart"/>
            <w:vAlign w:val="center"/>
          </w:tcPr>
          <w:p w14:paraId="1D3FCA8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color w:val="000000"/>
                <w:kern w:val="0"/>
                <w:sz w:val="24"/>
                <w:szCs w:val="24"/>
              </w:rPr>
              <w:t>管理</w:t>
            </w:r>
          </w:p>
        </w:tc>
        <w:tc>
          <w:tcPr>
            <w:tcW w:w="3661" w:type="dxa"/>
            <w:vAlign w:val="center"/>
          </w:tcPr>
          <w:p w14:paraId="05BDB98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未落实压力容器安全事故报告义务，未采取有效措施防止事故扩大</w:t>
            </w:r>
          </w:p>
        </w:tc>
        <w:tc>
          <w:tcPr>
            <w:tcW w:w="4649" w:type="dxa"/>
            <w:vAlign w:val="center"/>
          </w:tcPr>
          <w:p w14:paraId="58847BA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1.严格落实压力容器安全事故报告制度；</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2.及时采取有效措施防止事故扩大</w:t>
            </w:r>
          </w:p>
        </w:tc>
        <w:tc>
          <w:tcPr>
            <w:tcW w:w="1425" w:type="dxa"/>
            <w:vMerge w:val="restart"/>
            <w:vAlign w:val="center"/>
          </w:tcPr>
          <w:p w14:paraId="6CB42A3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90" w:type="dxa"/>
            <w:vMerge w:val="restart"/>
            <w:vAlign w:val="center"/>
          </w:tcPr>
          <w:p w14:paraId="13F30AB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34" w:type="dxa"/>
            <w:vAlign w:val="center"/>
          </w:tcPr>
          <w:p w14:paraId="0AEB11F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465C4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32AD5D1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14</w:t>
            </w:r>
          </w:p>
        </w:tc>
        <w:tc>
          <w:tcPr>
            <w:tcW w:w="1418" w:type="dxa"/>
            <w:vMerge w:val="continue"/>
            <w:vAlign w:val="center"/>
          </w:tcPr>
          <w:p w14:paraId="2A79358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3F7F7A5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未对已报废的压力容器去功能化处理</w:t>
            </w:r>
            <w:r>
              <w:rPr>
                <w:rFonts w:hint="default" w:ascii="Times New Roman" w:hAnsi="Times New Roman" w:eastAsia="宋体" w:cs="Times New Roman"/>
                <w:b w:val="0"/>
                <w:bCs w:val="0"/>
                <w:kern w:val="0"/>
                <w:sz w:val="24"/>
                <w:szCs w:val="24"/>
              </w:rPr>
              <w:t>，未对办理停用的压力容器采取有效的保护措施</w:t>
            </w:r>
          </w:p>
        </w:tc>
        <w:tc>
          <w:tcPr>
            <w:tcW w:w="4649" w:type="dxa"/>
            <w:vAlign w:val="center"/>
          </w:tcPr>
          <w:p w14:paraId="3F13C9F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1.加强对报废的压力容器管理，及时采取必要措施消除使用功能；</w:t>
            </w:r>
          </w:p>
          <w:p w14:paraId="3FA27CD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kern w:val="0"/>
                <w:sz w:val="24"/>
                <w:szCs w:val="24"/>
              </w:rPr>
              <w:t>2.加强停用压力容器管理，采取有效保护措施，且设置停用标志</w:t>
            </w:r>
          </w:p>
        </w:tc>
        <w:tc>
          <w:tcPr>
            <w:tcW w:w="1425" w:type="dxa"/>
            <w:vMerge w:val="continue"/>
            <w:vAlign w:val="center"/>
          </w:tcPr>
          <w:p w14:paraId="5D4F5A3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681AD2A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2D3D1D0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2E9DB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791" w:type="dxa"/>
            <w:vAlign w:val="center"/>
          </w:tcPr>
          <w:p w14:paraId="37F9227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15</w:t>
            </w:r>
          </w:p>
        </w:tc>
        <w:tc>
          <w:tcPr>
            <w:tcW w:w="1418" w:type="dxa"/>
            <w:vMerge w:val="continue"/>
            <w:vAlign w:val="center"/>
          </w:tcPr>
          <w:p w14:paraId="30D83B7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0F33E33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未建立压力容器、安全附件、作业人员台账</w:t>
            </w:r>
          </w:p>
        </w:tc>
        <w:tc>
          <w:tcPr>
            <w:tcW w:w="4649" w:type="dxa"/>
            <w:vAlign w:val="center"/>
          </w:tcPr>
          <w:p w14:paraId="6245423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建立健全压力容器、安全附件、作业人员台账，并进行动态管理</w:t>
            </w:r>
          </w:p>
        </w:tc>
        <w:tc>
          <w:tcPr>
            <w:tcW w:w="1425" w:type="dxa"/>
            <w:vMerge w:val="continue"/>
            <w:vAlign w:val="center"/>
          </w:tcPr>
          <w:p w14:paraId="22B4395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00BAD2F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56A244B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212BD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0573A1F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16</w:t>
            </w:r>
          </w:p>
        </w:tc>
        <w:tc>
          <w:tcPr>
            <w:tcW w:w="1418" w:type="dxa"/>
            <w:vMerge w:val="continue"/>
            <w:vAlign w:val="center"/>
          </w:tcPr>
          <w:p w14:paraId="4803A65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138F572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未建立压力容器事故应急专项预案；并定期演练</w:t>
            </w:r>
          </w:p>
        </w:tc>
        <w:tc>
          <w:tcPr>
            <w:tcW w:w="4649" w:type="dxa"/>
            <w:vAlign w:val="center"/>
          </w:tcPr>
          <w:p w14:paraId="013FE77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1、建立并完善压力容器事故应急专项预案；</w:t>
            </w:r>
          </w:p>
          <w:p w14:paraId="3456A4D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2、按技术规范要求定期开展应急演练，并留存演练记录</w:t>
            </w:r>
          </w:p>
        </w:tc>
        <w:tc>
          <w:tcPr>
            <w:tcW w:w="1425" w:type="dxa"/>
            <w:vMerge w:val="continue"/>
            <w:vAlign w:val="center"/>
          </w:tcPr>
          <w:p w14:paraId="04F35AC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1AD1539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55E2869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208C7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791" w:type="dxa"/>
            <w:vAlign w:val="center"/>
          </w:tcPr>
          <w:p w14:paraId="12C2D87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17</w:t>
            </w:r>
          </w:p>
        </w:tc>
        <w:tc>
          <w:tcPr>
            <w:tcW w:w="1418" w:type="dxa"/>
            <w:vMerge w:val="restart"/>
            <w:vAlign w:val="center"/>
          </w:tcPr>
          <w:p w14:paraId="2A655C3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设备</w:t>
            </w:r>
          </w:p>
        </w:tc>
        <w:tc>
          <w:tcPr>
            <w:tcW w:w="3661" w:type="dxa"/>
            <w:vAlign w:val="center"/>
          </w:tcPr>
          <w:p w14:paraId="4F3AA2C2">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本体，接口（阀门、管路）部位、焊接接头缺陷</w:t>
            </w:r>
          </w:p>
        </w:tc>
        <w:tc>
          <w:tcPr>
            <w:tcW w:w="4649" w:type="dxa"/>
            <w:vAlign w:val="center"/>
          </w:tcPr>
          <w:p w14:paraId="4026DD8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1、对新设备严格验收要求；</w:t>
            </w:r>
          </w:p>
          <w:p w14:paraId="53FB9B1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2、制定运行、检修规程，按规程处置；避免疲劳运行；</w:t>
            </w:r>
          </w:p>
          <w:p w14:paraId="6292112C">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3、必要时，采取监控、隔离、维修等安全措施，并做好预案，及时消除隐患</w:t>
            </w:r>
          </w:p>
        </w:tc>
        <w:tc>
          <w:tcPr>
            <w:tcW w:w="1425" w:type="dxa"/>
            <w:vMerge w:val="restart"/>
            <w:vAlign w:val="center"/>
          </w:tcPr>
          <w:p w14:paraId="00B6F8F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vMerge w:val="restart"/>
            <w:vAlign w:val="center"/>
          </w:tcPr>
          <w:p w14:paraId="3310BCD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6F32D8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3ABAC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9" w:hRule="exact"/>
          <w:jc w:val="center"/>
        </w:trPr>
        <w:tc>
          <w:tcPr>
            <w:tcW w:w="791" w:type="dxa"/>
            <w:vAlign w:val="center"/>
          </w:tcPr>
          <w:p w14:paraId="5C41028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18</w:t>
            </w:r>
          </w:p>
        </w:tc>
        <w:tc>
          <w:tcPr>
            <w:tcW w:w="1418" w:type="dxa"/>
            <w:vMerge w:val="continue"/>
            <w:vAlign w:val="center"/>
          </w:tcPr>
          <w:p w14:paraId="7BFCEFE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677D3BB2">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有膨胀要求的压力容器（如）膨胀受阻</w:t>
            </w:r>
          </w:p>
        </w:tc>
        <w:tc>
          <w:tcPr>
            <w:tcW w:w="4649" w:type="dxa"/>
            <w:vAlign w:val="center"/>
          </w:tcPr>
          <w:p w14:paraId="1546F3D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查明并消除受阻原因，确保按预定方向自由膨胀</w:t>
            </w:r>
          </w:p>
        </w:tc>
        <w:tc>
          <w:tcPr>
            <w:tcW w:w="1425" w:type="dxa"/>
            <w:vMerge w:val="continue"/>
            <w:vAlign w:val="center"/>
          </w:tcPr>
          <w:p w14:paraId="3D18DE2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460CF53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highlight w:val="yellow"/>
              </w:rPr>
            </w:pPr>
          </w:p>
        </w:tc>
        <w:tc>
          <w:tcPr>
            <w:tcW w:w="934" w:type="dxa"/>
            <w:vAlign w:val="center"/>
          </w:tcPr>
          <w:p w14:paraId="325C48F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7DEA2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0AD07B1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19</w:t>
            </w:r>
          </w:p>
        </w:tc>
        <w:tc>
          <w:tcPr>
            <w:tcW w:w="1418" w:type="dxa"/>
            <w:vMerge w:val="restart"/>
            <w:vAlign w:val="center"/>
          </w:tcPr>
          <w:p w14:paraId="4E92FF3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设备</w:t>
            </w:r>
          </w:p>
        </w:tc>
        <w:tc>
          <w:tcPr>
            <w:tcW w:w="3661" w:type="dxa"/>
            <w:vAlign w:val="center"/>
          </w:tcPr>
          <w:p w14:paraId="45C4200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压力容器与相邻管道或者构件异常振动、响声或者相互摩擦</w:t>
            </w:r>
          </w:p>
        </w:tc>
        <w:tc>
          <w:tcPr>
            <w:tcW w:w="4649" w:type="dxa"/>
            <w:vAlign w:val="center"/>
          </w:tcPr>
          <w:p w14:paraId="017AA29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1、查明异常发生原因，及时消除隐患；</w:t>
            </w:r>
          </w:p>
          <w:p w14:paraId="00C8A58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2、制定运行、检修规程，按规程处置；避免疲劳运行；</w:t>
            </w:r>
          </w:p>
          <w:p w14:paraId="09F0456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3、必要时，采取监控、隔离、维修等安全措施，并做好预案</w:t>
            </w:r>
          </w:p>
        </w:tc>
        <w:tc>
          <w:tcPr>
            <w:tcW w:w="1425" w:type="dxa"/>
            <w:vMerge w:val="restart"/>
            <w:vAlign w:val="center"/>
          </w:tcPr>
          <w:p w14:paraId="4A2164F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vMerge w:val="restart"/>
            <w:vAlign w:val="center"/>
          </w:tcPr>
          <w:p w14:paraId="00CCD1B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7D972F6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30464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6F25B54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20</w:t>
            </w:r>
          </w:p>
        </w:tc>
        <w:tc>
          <w:tcPr>
            <w:tcW w:w="1418" w:type="dxa"/>
            <w:vMerge w:val="continue"/>
            <w:vAlign w:val="center"/>
          </w:tcPr>
          <w:p w14:paraId="4E4D831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3DC5008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保温隔热层破损，真空绝热层潮湿跑冷</w:t>
            </w:r>
          </w:p>
        </w:tc>
        <w:tc>
          <w:tcPr>
            <w:tcW w:w="4649" w:type="dxa"/>
            <w:vAlign w:val="center"/>
          </w:tcPr>
          <w:p w14:paraId="5F42639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1、检查破损部位设备本体是否存在损伤；</w:t>
            </w:r>
          </w:p>
          <w:p w14:paraId="0369057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2、及时对破损部位进行恢复；</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3、对绝热层异常情况需及时测量真空度或日蒸发率，停止使用并及时进行隐患整改</w:t>
            </w:r>
          </w:p>
        </w:tc>
        <w:tc>
          <w:tcPr>
            <w:tcW w:w="1425" w:type="dxa"/>
            <w:vMerge w:val="continue"/>
            <w:vAlign w:val="center"/>
          </w:tcPr>
          <w:p w14:paraId="21DABFB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1152951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4FD560C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78C70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3" w:hRule="exact"/>
          <w:jc w:val="center"/>
        </w:trPr>
        <w:tc>
          <w:tcPr>
            <w:tcW w:w="791" w:type="dxa"/>
            <w:vAlign w:val="center"/>
          </w:tcPr>
          <w:p w14:paraId="1EF2F8B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21</w:t>
            </w:r>
          </w:p>
        </w:tc>
        <w:tc>
          <w:tcPr>
            <w:tcW w:w="1418" w:type="dxa"/>
            <w:vMerge w:val="continue"/>
            <w:vAlign w:val="center"/>
          </w:tcPr>
          <w:p w14:paraId="2462A3F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25453FF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非金属衬里层：搪玻璃、石墨、玻璃钢等损坏</w:t>
            </w:r>
          </w:p>
        </w:tc>
        <w:tc>
          <w:tcPr>
            <w:tcW w:w="4649" w:type="dxa"/>
            <w:vAlign w:val="center"/>
          </w:tcPr>
          <w:p w14:paraId="73AEB74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检查非金属衬里层的损坏情况并及时进行修复或更换</w:t>
            </w:r>
          </w:p>
        </w:tc>
        <w:tc>
          <w:tcPr>
            <w:tcW w:w="1425" w:type="dxa"/>
            <w:vMerge w:val="continue"/>
            <w:vAlign w:val="center"/>
          </w:tcPr>
          <w:p w14:paraId="0FA290F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25C31D3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0508FA2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3A961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1" w:hRule="exact"/>
          <w:jc w:val="center"/>
        </w:trPr>
        <w:tc>
          <w:tcPr>
            <w:tcW w:w="791" w:type="dxa"/>
            <w:vAlign w:val="center"/>
          </w:tcPr>
          <w:p w14:paraId="77EF3C9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22</w:t>
            </w:r>
          </w:p>
        </w:tc>
        <w:tc>
          <w:tcPr>
            <w:tcW w:w="1418" w:type="dxa"/>
            <w:vMerge w:val="continue"/>
            <w:vAlign w:val="center"/>
          </w:tcPr>
          <w:p w14:paraId="2D75A91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2D0812E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支承或者支座变形、基础沉降、紧固螺栓松动等</w:t>
            </w:r>
          </w:p>
        </w:tc>
        <w:tc>
          <w:tcPr>
            <w:tcW w:w="4649" w:type="dxa"/>
            <w:vAlign w:val="center"/>
          </w:tcPr>
          <w:p w14:paraId="1ECB0A5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加强日常检查监控，必要时及时进行修复</w:t>
            </w:r>
          </w:p>
        </w:tc>
        <w:tc>
          <w:tcPr>
            <w:tcW w:w="1425" w:type="dxa"/>
            <w:vMerge w:val="continue"/>
            <w:vAlign w:val="center"/>
          </w:tcPr>
          <w:p w14:paraId="4509FF3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380848E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17420A4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291E9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572BE2F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23</w:t>
            </w:r>
          </w:p>
        </w:tc>
        <w:tc>
          <w:tcPr>
            <w:tcW w:w="1418" w:type="dxa"/>
            <w:vMerge w:val="continue"/>
            <w:vAlign w:val="center"/>
          </w:tcPr>
          <w:p w14:paraId="2F72F4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5786D21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运行期间超压、超温、超量等</w:t>
            </w:r>
          </w:p>
        </w:tc>
        <w:tc>
          <w:tcPr>
            <w:tcW w:w="4649" w:type="dxa"/>
            <w:vAlign w:val="center"/>
          </w:tcPr>
          <w:p w14:paraId="1F68830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1.制定运行操作规程，并严格执行；</w:t>
            </w:r>
          </w:p>
          <w:p w14:paraId="6B899CA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2.必要时进行检验、评估</w:t>
            </w:r>
          </w:p>
        </w:tc>
        <w:tc>
          <w:tcPr>
            <w:tcW w:w="1425" w:type="dxa"/>
            <w:vMerge w:val="continue"/>
            <w:vAlign w:val="center"/>
          </w:tcPr>
          <w:p w14:paraId="36AF8F4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0BEE960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0C490B1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2890B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D93831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24</w:t>
            </w:r>
          </w:p>
        </w:tc>
        <w:tc>
          <w:tcPr>
            <w:tcW w:w="1418" w:type="dxa"/>
            <w:vMerge w:val="continue"/>
            <w:vAlign w:val="center"/>
          </w:tcPr>
          <w:p w14:paraId="2911608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4398DB83">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检漏孔、信号孔有泄漏。检漏孔不通畅</w:t>
            </w:r>
          </w:p>
        </w:tc>
        <w:tc>
          <w:tcPr>
            <w:tcW w:w="4649" w:type="dxa"/>
            <w:vAlign w:val="center"/>
          </w:tcPr>
          <w:p w14:paraId="7C2A92B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1.及时对泄漏源进行排查并处理；</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2.制定运行操作规程，并严格执行；</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3.及时对检漏孔进行疏通</w:t>
            </w:r>
          </w:p>
        </w:tc>
        <w:tc>
          <w:tcPr>
            <w:tcW w:w="1425" w:type="dxa"/>
            <w:vMerge w:val="continue"/>
            <w:vAlign w:val="center"/>
          </w:tcPr>
          <w:p w14:paraId="1923D6C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5396F72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253F4C6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03221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5535D65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25</w:t>
            </w:r>
          </w:p>
        </w:tc>
        <w:tc>
          <w:tcPr>
            <w:tcW w:w="1418" w:type="dxa"/>
            <w:vMerge w:val="continue"/>
            <w:vAlign w:val="center"/>
          </w:tcPr>
          <w:p w14:paraId="0B9EC59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3A27E8F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接地装置不符合要求</w:t>
            </w:r>
          </w:p>
        </w:tc>
        <w:tc>
          <w:tcPr>
            <w:tcW w:w="4649" w:type="dxa"/>
            <w:vAlign w:val="center"/>
          </w:tcPr>
          <w:p w14:paraId="3447FF5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1.查明异常原因，并及时处理；</w:t>
            </w:r>
          </w:p>
          <w:p w14:paraId="12EDDD5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2.接地装置进行定期检测</w:t>
            </w:r>
          </w:p>
        </w:tc>
        <w:tc>
          <w:tcPr>
            <w:tcW w:w="1425" w:type="dxa"/>
            <w:vMerge w:val="continue"/>
            <w:vAlign w:val="center"/>
          </w:tcPr>
          <w:p w14:paraId="3A02CCA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79AE452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376664D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3B9AC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tcBorders>
              <w:bottom w:val="single" w:color="auto" w:sz="4" w:space="0"/>
            </w:tcBorders>
            <w:vAlign w:val="center"/>
          </w:tcPr>
          <w:p w14:paraId="01CA1E0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26</w:t>
            </w:r>
          </w:p>
        </w:tc>
        <w:tc>
          <w:tcPr>
            <w:tcW w:w="1418" w:type="dxa"/>
            <w:vMerge w:val="restart"/>
            <w:vAlign w:val="center"/>
          </w:tcPr>
          <w:p w14:paraId="1070344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设备</w:t>
            </w:r>
          </w:p>
        </w:tc>
        <w:tc>
          <w:tcPr>
            <w:tcW w:w="3661" w:type="dxa"/>
            <w:vAlign w:val="center"/>
          </w:tcPr>
          <w:p w14:paraId="4A2E56C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铭牌、漆色、标志不符合要求</w:t>
            </w:r>
          </w:p>
        </w:tc>
        <w:tc>
          <w:tcPr>
            <w:tcW w:w="4649" w:type="dxa"/>
            <w:tcBorders>
              <w:bottom w:val="single" w:color="auto" w:sz="4" w:space="0"/>
            </w:tcBorders>
            <w:vAlign w:val="center"/>
          </w:tcPr>
          <w:p w14:paraId="479A6D8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按规定完善铭牌、漆色、标志</w:t>
            </w:r>
          </w:p>
        </w:tc>
        <w:tc>
          <w:tcPr>
            <w:tcW w:w="1425" w:type="dxa"/>
            <w:tcBorders>
              <w:bottom w:val="single" w:color="auto" w:sz="4" w:space="0"/>
            </w:tcBorders>
            <w:vAlign w:val="center"/>
          </w:tcPr>
          <w:p w14:paraId="68CF008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tcBorders>
              <w:bottom w:val="single" w:color="auto" w:sz="4" w:space="0"/>
            </w:tcBorders>
            <w:vAlign w:val="center"/>
          </w:tcPr>
          <w:p w14:paraId="1277995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66568A0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3E6F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1" w:hRule="exact"/>
          <w:jc w:val="center"/>
        </w:trPr>
        <w:tc>
          <w:tcPr>
            <w:tcW w:w="791" w:type="dxa"/>
            <w:tcBorders>
              <w:bottom w:val="single" w:color="auto" w:sz="4" w:space="0"/>
            </w:tcBorders>
            <w:vAlign w:val="center"/>
          </w:tcPr>
          <w:p w14:paraId="3D36795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27</w:t>
            </w:r>
          </w:p>
        </w:tc>
        <w:tc>
          <w:tcPr>
            <w:tcW w:w="1418" w:type="dxa"/>
            <w:vMerge w:val="continue"/>
            <w:tcBorders>
              <w:bottom w:val="single" w:color="auto" w:sz="4" w:space="0"/>
            </w:tcBorders>
            <w:vAlign w:val="center"/>
          </w:tcPr>
          <w:p w14:paraId="2C3C086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661" w:type="dxa"/>
            <w:vAlign w:val="center"/>
          </w:tcPr>
          <w:p w14:paraId="5073604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使用未取得生产许可生产或未经检验合格的压力容器</w:t>
            </w:r>
          </w:p>
        </w:tc>
        <w:tc>
          <w:tcPr>
            <w:tcW w:w="4649" w:type="dxa"/>
            <w:tcBorders>
              <w:bottom w:val="single" w:color="auto" w:sz="4" w:space="0"/>
            </w:tcBorders>
            <w:vAlign w:val="center"/>
          </w:tcPr>
          <w:p w14:paraId="2BA0511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严格采购管理，使用取得生产许可并经检验合格的压力容器</w:t>
            </w:r>
          </w:p>
        </w:tc>
        <w:tc>
          <w:tcPr>
            <w:tcW w:w="1425" w:type="dxa"/>
            <w:tcBorders>
              <w:bottom w:val="single" w:color="auto" w:sz="4" w:space="0"/>
            </w:tcBorders>
            <w:vAlign w:val="center"/>
          </w:tcPr>
          <w:p w14:paraId="1914002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90" w:type="dxa"/>
            <w:tcBorders>
              <w:bottom w:val="single" w:color="auto" w:sz="4" w:space="0"/>
            </w:tcBorders>
            <w:vAlign w:val="center"/>
          </w:tcPr>
          <w:p w14:paraId="4380299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34" w:type="dxa"/>
            <w:vAlign w:val="center"/>
          </w:tcPr>
          <w:p w14:paraId="0EED760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4878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tcBorders>
              <w:top w:val="single" w:color="auto" w:sz="4" w:space="0"/>
            </w:tcBorders>
            <w:vAlign w:val="center"/>
          </w:tcPr>
          <w:p w14:paraId="2059349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28</w:t>
            </w:r>
          </w:p>
        </w:tc>
        <w:tc>
          <w:tcPr>
            <w:tcW w:w="1418" w:type="dxa"/>
            <w:vMerge w:val="restart"/>
            <w:tcBorders>
              <w:top w:val="single" w:color="auto" w:sz="4" w:space="0"/>
            </w:tcBorders>
            <w:vAlign w:val="center"/>
          </w:tcPr>
          <w:p w14:paraId="2A68CC7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安全附件和安全保护装置</w:t>
            </w:r>
          </w:p>
        </w:tc>
        <w:tc>
          <w:tcPr>
            <w:tcW w:w="3661" w:type="dxa"/>
            <w:vAlign w:val="center"/>
          </w:tcPr>
          <w:p w14:paraId="0E6B720B">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安全阀的铅封、校验标签缺失，未在验有效期内；安全阀根部阀未常开。</w:t>
            </w:r>
          </w:p>
        </w:tc>
        <w:tc>
          <w:tcPr>
            <w:tcW w:w="4649" w:type="dxa"/>
            <w:tcBorders>
              <w:top w:val="single" w:color="auto" w:sz="4" w:space="0"/>
              <w:bottom w:val="single" w:color="auto" w:sz="4" w:space="0"/>
            </w:tcBorders>
            <w:vAlign w:val="center"/>
          </w:tcPr>
          <w:p w14:paraId="5B776E9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1.重新校验安全阀；</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2.对安全阀铅封、校验标签采取保护措施；</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3.安全阀根部阀保持常开并锁定</w:t>
            </w:r>
          </w:p>
        </w:tc>
        <w:tc>
          <w:tcPr>
            <w:tcW w:w="1425" w:type="dxa"/>
            <w:tcBorders>
              <w:top w:val="single" w:color="auto" w:sz="4" w:space="0"/>
              <w:bottom w:val="single" w:color="auto" w:sz="4" w:space="0"/>
            </w:tcBorders>
            <w:vAlign w:val="center"/>
          </w:tcPr>
          <w:p w14:paraId="067C82F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tcBorders>
              <w:top w:val="single" w:color="auto" w:sz="4" w:space="0"/>
              <w:bottom w:val="single" w:color="auto" w:sz="4" w:space="0"/>
            </w:tcBorders>
            <w:vAlign w:val="center"/>
          </w:tcPr>
          <w:p w14:paraId="7D7E1A2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tcBorders>
              <w:bottom w:val="single" w:color="auto" w:sz="4" w:space="0"/>
            </w:tcBorders>
            <w:vAlign w:val="center"/>
          </w:tcPr>
          <w:p w14:paraId="0DB7C79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56902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8" w:hRule="atLeast"/>
          <w:jc w:val="center"/>
        </w:trPr>
        <w:tc>
          <w:tcPr>
            <w:tcW w:w="791" w:type="dxa"/>
            <w:vAlign w:val="center"/>
          </w:tcPr>
          <w:p w14:paraId="76A2B44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29</w:t>
            </w:r>
          </w:p>
        </w:tc>
        <w:tc>
          <w:tcPr>
            <w:tcW w:w="1418" w:type="dxa"/>
            <w:vMerge w:val="continue"/>
            <w:vAlign w:val="center"/>
          </w:tcPr>
          <w:p w14:paraId="661B37D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50A3786D">
            <w:pPr>
              <w:keepNext w:val="0"/>
              <w:keepLines w:val="0"/>
              <w:pageBreakBefore w:val="0"/>
              <w:widowControl/>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爆破片泄漏、反装，未定期更换</w:t>
            </w:r>
          </w:p>
        </w:tc>
        <w:tc>
          <w:tcPr>
            <w:tcW w:w="4649" w:type="dxa"/>
            <w:tcBorders>
              <w:top w:val="single" w:color="auto" w:sz="4" w:space="0"/>
              <w:bottom w:val="single" w:color="auto" w:sz="4" w:space="0"/>
            </w:tcBorders>
            <w:vAlign w:val="center"/>
          </w:tcPr>
          <w:p w14:paraId="0D3EDD2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1.查明泄漏原因并消除；</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2.确认爆破片的安装方向；</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3.制定爆破片定期更换计划并实施</w:t>
            </w:r>
          </w:p>
        </w:tc>
        <w:tc>
          <w:tcPr>
            <w:tcW w:w="1425" w:type="dxa"/>
            <w:tcBorders>
              <w:top w:val="single" w:color="auto" w:sz="4" w:space="0"/>
              <w:bottom w:val="single" w:color="auto" w:sz="4" w:space="0"/>
            </w:tcBorders>
            <w:vAlign w:val="center"/>
          </w:tcPr>
          <w:p w14:paraId="0AB091B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tcBorders>
              <w:top w:val="single" w:color="auto" w:sz="4" w:space="0"/>
              <w:bottom w:val="single" w:color="auto" w:sz="4" w:space="0"/>
            </w:tcBorders>
            <w:vAlign w:val="center"/>
          </w:tcPr>
          <w:p w14:paraId="060A805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tcBorders>
              <w:top w:val="single" w:color="auto" w:sz="4" w:space="0"/>
            </w:tcBorders>
            <w:vAlign w:val="center"/>
          </w:tcPr>
          <w:p w14:paraId="63BED29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81B9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791" w:type="dxa"/>
            <w:vAlign w:val="center"/>
          </w:tcPr>
          <w:p w14:paraId="35EE0E4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30</w:t>
            </w:r>
          </w:p>
        </w:tc>
        <w:tc>
          <w:tcPr>
            <w:tcW w:w="1418" w:type="dxa"/>
            <w:vMerge w:val="continue"/>
            <w:vAlign w:val="center"/>
          </w:tcPr>
          <w:p w14:paraId="1D3B352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43FCB603">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压力表选型错误、未在检定有效期内，刻度盘上无指示工作压力的红线，压力表损坏</w:t>
            </w:r>
          </w:p>
        </w:tc>
        <w:tc>
          <w:tcPr>
            <w:tcW w:w="4649" w:type="dxa"/>
            <w:tcBorders>
              <w:top w:val="single" w:color="auto" w:sz="4" w:space="0"/>
              <w:bottom w:val="single" w:color="auto" w:sz="4" w:space="0"/>
            </w:tcBorders>
            <w:vAlign w:val="center"/>
          </w:tcPr>
          <w:p w14:paraId="02FF692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1.根据工况选取符合要求的压力表；</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2.制定压力表定期检定计划并实施；</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3.刻度盘上标出工作压力的红线；</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4.及时更换损坏的压力表</w:t>
            </w:r>
          </w:p>
        </w:tc>
        <w:tc>
          <w:tcPr>
            <w:tcW w:w="1425" w:type="dxa"/>
            <w:tcBorders>
              <w:top w:val="single" w:color="auto" w:sz="4" w:space="0"/>
              <w:bottom w:val="single" w:color="auto" w:sz="4" w:space="0"/>
            </w:tcBorders>
            <w:vAlign w:val="center"/>
          </w:tcPr>
          <w:p w14:paraId="1312B74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tcBorders>
              <w:top w:val="single" w:color="auto" w:sz="4" w:space="0"/>
              <w:bottom w:val="single" w:color="auto" w:sz="4" w:space="0"/>
            </w:tcBorders>
            <w:vAlign w:val="center"/>
          </w:tcPr>
          <w:p w14:paraId="0363B21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0E094C8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49F8E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4399D1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31</w:t>
            </w:r>
          </w:p>
        </w:tc>
        <w:tc>
          <w:tcPr>
            <w:tcW w:w="1418" w:type="dxa"/>
            <w:vMerge w:val="continue"/>
            <w:vAlign w:val="center"/>
          </w:tcPr>
          <w:p w14:paraId="6588427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1E166AE8">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液位计选型错误，无最高和最低安全液位的标志 ，液位计存在泄漏</w:t>
            </w:r>
          </w:p>
        </w:tc>
        <w:tc>
          <w:tcPr>
            <w:tcW w:w="4649" w:type="dxa"/>
            <w:tcBorders>
              <w:top w:val="single" w:color="auto" w:sz="4" w:space="0"/>
            </w:tcBorders>
            <w:vAlign w:val="center"/>
          </w:tcPr>
          <w:p w14:paraId="5727AE9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1.根据工况选取符合要求的液位计；</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2.标注最高和最低安全液位的标志；</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3.修复或更换液位计</w:t>
            </w:r>
          </w:p>
        </w:tc>
        <w:tc>
          <w:tcPr>
            <w:tcW w:w="1425" w:type="dxa"/>
            <w:tcBorders>
              <w:top w:val="single" w:color="auto" w:sz="4" w:space="0"/>
            </w:tcBorders>
            <w:vAlign w:val="center"/>
          </w:tcPr>
          <w:p w14:paraId="2EE51FD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tcBorders>
              <w:top w:val="single" w:color="auto" w:sz="4" w:space="0"/>
            </w:tcBorders>
            <w:vAlign w:val="center"/>
          </w:tcPr>
          <w:p w14:paraId="1392F01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444901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7E36A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7" w:hRule="exact"/>
          <w:jc w:val="center"/>
        </w:trPr>
        <w:tc>
          <w:tcPr>
            <w:tcW w:w="791" w:type="dxa"/>
            <w:vAlign w:val="center"/>
          </w:tcPr>
          <w:p w14:paraId="2604F19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32</w:t>
            </w:r>
          </w:p>
        </w:tc>
        <w:tc>
          <w:tcPr>
            <w:tcW w:w="1418" w:type="dxa"/>
            <w:vMerge w:val="continue"/>
            <w:vAlign w:val="center"/>
          </w:tcPr>
          <w:p w14:paraId="4829FAA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17DE8EA4">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紧急切断装置未定期调试，功能失效</w:t>
            </w:r>
          </w:p>
        </w:tc>
        <w:tc>
          <w:tcPr>
            <w:tcW w:w="4649" w:type="dxa"/>
            <w:vAlign w:val="center"/>
          </w:tcPr>
          <w:p w14:paraId="00FA40A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1.定期对紧急切断装置调试，确保功能有效；</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2.必要时对远控联锁功能进行测试</w:t>
            </w:r>
          </w:p>
        </w:tc>
        <w:tc>
          <w:tcPr>
            <w:tcW w:w="1425" w:type="dxa"/>
            <w:vAlign w:val="center"/>
          </w:tcPr>
          <w:p w14:paraId="6869F8F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90" w:type="dxa"/>
            <w:vAlign w:val="center"/>
          </w:tcPr>
          <w:p w14:paraId="0FB2DE9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34" w:type="dxa"/>
            <w:vAlign w:val="center"/>
          </w:tcPr>
          <w:p w14:paraId="04587CF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10D7F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791" w:type="dxa"/>
            <w:vAlign w:val="center"/>
          </w:tcPr>
          <w:p w14:paraId="1D6B0DB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33</w:t>
            </w:r>
          </w:p>
        </w:tc>
        <w:tc>
          <w:tcPr>
            <w:tcW w:w="1418" w:type="dxa"/>
            <w:vMerge w:val="continue"/>
            <w:tcBorders>
              <w:bottom w:val="single" w:color="auto" w:sz="4" w:space="0"/>
            </w:tcBorders>
            <w:vAlign w:val="center"/>
          </w:tcPr>
          <w:p w14:paraId="7123E42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661" w:type="dxa"/>
            <w:vAlign w:val="center"/>
          </w:tcPr>
          <w:p w14:paraId="155ABC26">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测温仪表未定期校验</w:t>
            </w:r>
          </w:p>
        </w:tc>
        <w:tc>
          <w:tcPr>
            <w:tcW w:w="4649" w:type="dxa"/>
            <w:vAlign w:val="center"/>
          </w:tcPr>
          <w:p w14:paraId="2973857D">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制定测温仪表定期校验计划并实施</w:t>
            </w:r>
          </w:p>
        </w:tc>
        <w:tc>
          <w:tcPr>
            <w:tcW w:w="1425" w:type="dxa"/>
            <w:tcBorders>
              <w:bottom w:val="single" w:color="auto" w:sz="4" w:space="0"/>
            </w:tcBorders>
            <w:vAlign w:val="center"/>
          </w:tcPr>
          <w:p w14:paraId="4B55672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90" w:type="dxa"/>
            <w:tcBorders>
              <w:bottom w:val="single" w:color="auto" w:sz="4" w:space="0"/>
            </w:tcBorders>
            <w:vAlign w:val="center"/>
          </w:tcPr>
          <w:p w14:paraId="2309C3F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34" w:type="dxa"/>
            <w:vAlign w:val="center"/>
          </w:tcPr>
          <w:p w14:paraId="3001277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15A42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jc w:val="center"/>
        </w:trPr>
        <w:tc>
          <w:tcPr>
            <w:tcW w:w="791" w:type="dxa"/>
            <w:vAlign w:val="center"/>
          </w:tcPr>
          <w:p w14:paraId="110F11A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34</w:t>
            </w:r>
          </w:p>
        </w:tc>
        <w:tc>
          <w:tcPr>
            <w:tcW w:w="1418" w:type="dxa"/>
            <w:vMerge w:val="restart"/>
            <w:vAlign w:val="center"/>
          </w:tcPr>
          <w:p w14:paraId="7C15804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环境</w:t>
            </w:r>
          </w:p>
        </w:tc>
        <w:tc>
          <w:tcPr>
            <w:tcW w:w="3661" w:type="dxa"/>
            <w:vAlign w:val="center"/>
          </w:tcPr>
          <w:p w14:paraId="7A5601A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排放口设置不符合要求</w:t>
            </w:r>
          </w:p>
        </w:tc>
        <w:tc>
          <w:tcPr>
            <w:tcW w:w="4649" w:type="dxa"/>
            <w:vAlign w:val="center"/>
          </w:tcPr>
          <w:p w14:paraId="7C053D2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排放口设置应符合相应规定</w:t>
            </w:r>
          </w:p>
        </w:tc>
        <w:tc>
          <w:tcPr>
            <w:tcW w:w="1425" w:type="dxa"/>
            <w:vAlign w:val="center"/>
          </w:tcPr>
          <w:p w14:paraId="08131C2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90" w:type="dxa"/>
            <w:vAlign w:val="center"/>
          </w:tcPr>
          <w:p w14:paraId="62CF1F3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34" w:type="dxa"/>
            <w:vAlign w:val="center"/>
          </w:tcPr>
          <w:p w14:paraId="7E21F4A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632E2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exact"/>
          <w:jc w:val="center"/>
        </w:trPr>
        <w:tc>
          <w:tcPr>
            <w:tcW w:w="791" w:type="dxa"/>
            <w:vAlign w:val="center"/>
          </w:tcPr>
          <w:p w14:paraId="3EE70B0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35</w:t>
            </w:r>
          </w:p>
        </w:tc>
        <w:tc>
          <w:tcPr>
            <w:tcW w:w="1418" w:type="dxa"/>
            <w:vMerge w:val="continue"/>
            <w:vAlign w:val="center"/>
          </w:tcPr>
          <w:p w14:paraId="5E579A84">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5043EC8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压力容器的安全距离、安全防护措施不符合要求</w:t>
            </w:r>
          </w:p>
        </w:tc>
        <w:tc>
          <w:tcPr>
            <w:tcW w:w="4649" w:type="dxa"/>
            <w:vAlign w:val="center"/>
          </w:tcPr>
          <w:p w14:paraId="756C51E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与特种设备安全相关的建筑物、附属设施，应当符合有关法律、行政法规和标准的要求</w:t>
            </w:r>
          </w:p>
        </w:tc>
        <w:tc>
          <w:tcPr>
            <w:tcW w:w="1425" w:type="dxa"/>
            <w:vAlign w:val="center"/>
          </w:tcPr>
          <w:p w14:paraId="2163922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90" w:type="dxa"/>
            <w:vAlign w:val="center"/>
          </w:tcPr>
          <w:p w14:paraId="46CC208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34" w:type="dxa"/>
            <w:vAlign w:val="center"/>
          </w:tcPr>
          <w:p w14:paraId="39FB267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yellow"/>
              </w:rPr>
            </w:pPr>
          </w:p>
        </w:tc>
      </w:tr>
      <w:tr w14:paraId="17B03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791" w:type="dxa"/>
            <w:vAlign w:val="center"/>
          </w:tcPr>
          <w:p w14:paraId="2224539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36</w:t>
            </w:r>
          </w:p>
        </w:tc>
        <w:tc>
          <w:tcPr>
            <w:tcW w:w="1418" w:type="dxa"/>
            <w:vAlign w:val="center"/>
          </w:tcPr>
          <w:p w14:paraId="4E55953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政府监督、通报、预警</w:t>
            </w:r>
          </w:p>
        </w:tc>
        <w:tc>
          <w:tcPr>
            <w:tcW w:w="3661" w:type="dxa"/>
            <w:vAlign w:val="center"/>
          </w:tcPr>
          <w:p w14:paraId="2973A7D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4649" w:type="dxa"/>
            <w:vAlign w:val="center"/>
          </w:tcPr>
          <w:p w14:paraId="408F346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w:t>
            </w:r>
          </w:p>
        </w:tc>
        <w:tc>
          <w:tcPr>
            <w:tcW w:w="1425" w:type="dxa"/>
            <w:vAlign w:val="center"/>
          </w:tcPr>
          <w:p w14:paraId="57C5690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周排查</w:t>
            </w:r>
          </w:p>
        </w:tc>
        <w:tc>
          <w:tcPr>
            <w:tcW w:w="1290" w:type="dxa"/>
            <w:vAlign w:val="center"/>
          </w:tcPr>
          <w:p w14:paraId="6B3ADF8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安全总监</w:t>
            </w:r>
          </w:p>
        </w:tc>
        <w:tc>
          <w:tcPr>
            <w:tcW w:w="934" w:type="dxa"/>
            <w:vAlign w:val="center"/>
          </w:tcPr>
          <w:p w14:paraId="5EDC872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34172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791" w:type="dxa"/>
            <w:vAlign w:val="center"/>
          </w:tcPr>
          <w:p w14:paraId="26A38E8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37</w:t>
            </w:r>
          </w:p>
        </w:tc>
        <w:tc>
          <w:tcPr>
            <w:tcW w:w="1418" w:type="dxa"/>
            <w:vAlign w:val="center"/>
          </w:tcPr>
          <w:p w14:paraId="224445C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投诉举报</w:t>
            </w:r>
          </w:p>
        </w:tc>
        <w:tc>
          <w:tcPr>
            <w:tcW w:w="3661" w:type="dxa"/>
            <w:vAlign w:val="center"/>
          </w:tcPr>
          <w:p w14:paraId="58985B0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4649" w:type="dxa"/>
            <w:vAlign w:val="center"/>
          </w:tcPr>
          <w:p w14:paraId="5145F54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记录，整改，消除安全隐患</w:t>
            </w:r>
          </w:p>
        </w:tc>
        <w:tc>
          <w:tcPr>
            <w:tcW w:w="1425" w:type="dxa"/>
            <w:vAlign w:val="center"/>
          </w:tcPr>
          <w:p w14:paraId="627C949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290" w:type="dxa"/>
            <w:vAlign w:val="center"/>
          </w:tcPr>
          <w:p w14:paraId="3BA55F5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934" w:type="dxa"/>
            <w:vAlign w:val="center"/>
          </w:tcPr>
          <w:p w14:paraId="6795EB0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227A2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791" w:type="dxa"/>
            <w:vAlign w:val="center"/>
          </w:tcPr>
          <w:p w14:paraId="4B85696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38</w:t>
            </w:r>
          </w:p>
        </w:tc>
        <w:tc>
          <w:tcPr>
            <w:tcW w:w="1418" w:type="dxa"/>
            <w:vAlign w:val="center"/>
          </w:tcPr>
          <w:p w14:paraId="3030605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舆情信息</w:t>
            </w:r>
          </w:p>
        </w:tc>
        <w:tc>
          <w:tcPr>
            <w:tcW w:w="3661" w:type="dxa"/>
            <w:vAlign w:val="center"/>
          </w:tcPr>
          <w:p w14:paraId="2C8C67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4649" w:type="dxa"/>
            <w:vAlign w:val="center"/>
          </w:tcPr>
          <w:p w14:paraId="0F295AA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w:t>
            </w:r>
          </w:p>
        </w:tc>
        <w:tc>
          <w:tcPr>
            <w:tcW w:w="1425" w:type="dxa"/>
            <w:vAlign w:val="center"/>
          </w:tcPr>
          <w:p w14:paraId="5E72B4D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290" w:type="dxa"/>
            <w:vAlign w:val="center"/>
          </w:tcPr>
          <w:p w14:paraId="0180D01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934" w:type="dxa"/>
            <w:vAlign w:val="center"/>
          </w:tcPr>
          <w:p w14:paraId="33E073E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21E94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220A9AB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39</w:t>
            </w:r>
          </w:p>
        </w:tc>
        <w:tc>
          <w:tcPr>
            <w:tcW w:w="1418" w:type="dxa"/>
            <w:vAlign w:val="center"/>
          </w:tcPr>
          <w:p w14:paraId="4163707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快开门式压力容器专项</w:t>
            </w:r>
          </w:p>
        </w:tc>
        <w:tc>
          <w:tcPr>
            <w:tcW w:w="3661" w:type="dxa"/>
            <w:vAlign w:val="center"/>
          </w:tcPr>
          <w:p w14:paraId="3833B39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快开门式压力容器安全联锁装置不符合要求</w:t>
            </w:r>
          </w:p>
        </w:tc>
        <w:tc>
          <w:tcPr>
            <w:tcW w:w="4649" w:type="dxa"/>
            <w:vAlign w:val="center"/>
          </w:tcPr>
          <w:p w14:paraId="7EDE874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1.确保装置完好；</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2.调试确认联锁功能正常；</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3.发现异常情况及时处理</w:t>
            </w:r>
          </w:p>
        </w:tc>
        <w:tc>
          <w:tcPr>
            <w:tcW w:w="1425" w:type="dxa"/>
            <w:vMerge w:val="restart"/>
            <w:vAlign w:val="center"/>
          </w:tcPr>
          <w:p w14:paraId="2D4EBE8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vMerge w:val="restart"/>
            <w:vAlign w:val="center"/>
          </w:tcPr>
          <w:p w14:paraId="4693137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3F957CE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30B20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4" w:hRule="exact"/>
          <w:jc w:val="center"/>
        </w:trPr>
        <w:tc>
          <w:tcPr>
            <w:tcW w:w="791" w:type="dxa"/>
            <w:vAlign w:val="center"/>
          </w:tcPr>
          <w:p w14:paraId="3D90EFA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40</w:t>
            </w:r>
          </w:p>
        </w:tc>
        <w:tc>
          <w:tcPr>
            <w:tcW w:w="1418" w:type="dxa"/>
            <w:vMerge w:val="restart"/>
            <w:vAlign w:val="center"/>
          </w:tcPr>
          <w:p w14:paraId="1C6AEFC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医用氧舱专项</w:t>
            </w:r>
          </w:p>
        </w:tc>
        <w:tc>
          <w:tcPr>
            <w:tcW w:w="3661" w:type="dxa"/>
            <w:vAlign w:val="center"/>
          </w:tcPr>
          <w:p w14:paraId="285F900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医用氧气加压氧舱舱内导静电装置的连接失效</w:t>
            </w:r>
          </w:p>
        </w:tc>
        <w:tc>
          <w:tcPr>
            <w:tcW w:w="4649" w:type="dxa"/>
            <w:vAlign w:val="center"/>
          </w:tcPr>
          <w:p w14:paraId="63A1F82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及时修复或更换</w:t>
            </w:r>
          </w:p>
        </w:tc>
        <w:tc>
          <w:tcPr>
            <w:tcW w:w="1425" w:type="dxa"/>
            <w:vMerge w:val="continue"/>
            <w:vAlign w:val="center"/>
          </w:tcPr>
          <w:p w14:paraId="3685167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5A38980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68F2E63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39578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exact"/>
          <w:jc w:val="center"/>
        </w:trPr>
        <w:tc>
          <w:tcPr>
            <w:tcW w:w="791" w:type="dxa"/>
            <w:vAlign w:val="center"/>
          </w:tcPr>
          <w:p w14:paraId="5E88A89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41</w:t>
            </w:r>
          </w:p>
        </w:tc>
        <w:tc>
          <w:tcPr>
            <w:tcW w:w="1418" w:type="dxa"/>
            <w:vMerge w:val="continue"/>
            <w:vAlign w:val="center"/>
          </w:tcPr>
          <w:p w14:paraId="578024F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4D79380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有机玻璃材料的划伤、劣化、银纹等缺陷以及泄漏</w:t>
            </w:r>
          </w:p>
        </w:tc>
        <w:tc>
          <w:tcPr>
            <w:tcW w:w="4649" w:type="dxa"/>
            <w:vAlign w:val="center"/>
          </w:tcPr>
          <w:p w14:paraId="1101496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及时修复或更换</w:t>
            </w:r>
          </w:p>
        </w:tc>
        <w:tc>
          <w:tcPr>
            <w:tcW w:w="1425" w:type="dxa"/>
            <w:vMerge w:val="continue"/>
            <w:vAlign w:val="center"/>
          </w:tcPr>
          <w:p w14:paraId="45B724F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14CE5DE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0304C2D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1EFA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2DFF2B3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42</w:t>
            </w:r>
          </w:p>
        </w:tc>
        <w:tc>
          <w:tcPr>
            <w:tcW w:w="1418" w:type="dxa"/>
            <w:vAlign w:val="center"/>
          </w:tcPr>
          <w:p w14:paraId="3E2A3F6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医用氧舱专项</w:t>
            </w:r>
          </w:p>
        </w:tc>
        <w:tc>
          <w:tcPr>
            <w:tcW w:w="3661" w:type="dxa"/>
            <w:vAlign w:val="center"/>
          </w:tcPr>
          <w:p w14:paraId="1DC00A1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照明装置（含应急照明装置）、视频监控装置、通讯对讲装置、应急呼叫装置、测氧仪、温度调节和加湿装置失效</w:t>
            </w:r>
          </w:p>
        </w:tc>
        <w:tc>
          <w:tcPr>
            <w:tcW w:w="4649" w:type="dxa"/>
            <w:vAlign w:val="center"/>
          </w:tcPr>
          <w:p w14:paraId="4619BEE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及时修复或更换</w:t>
            </w:r>
          </w:p>
        </w:tc>
        <w:tc>
          <w:tcPr>
            <w:tcW w:w="1425" w:type="dxa"/>
            <w:vAlign w:val="center"/>
          </w:tcPr>
          <w:p w14:paraId="1857718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vAlign w:val="center"/>
          </w:tcPr>
          <w:p w14:paraId="07AAF46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336DB26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57E36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exact"/>
          <w:jc w:val="center"/>
        </w:trPr>
        <w:tc>
          <w:tcPr>
            <w:tcW w:w="791" w:type="dxa"/>
            <w:vAlign w:val="center"/>
          </w:tcPr>
          <w:p w14:paraId="515A6D1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43</w:t>
            </w:r>
          </w:p>
        </w:tc>
        <w:tc>
          <w:tcPr>
            <w:tcW w:w="1418" w:type="dxa"/>
            <w:vMerge w:val="restart"/>
            <w:vAlign w:val="center"/>
          </w:tcPr>
          <w:p w14:paraId="570701F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移动式压力容器专项</w:t>
            </w:r>
          </w:p>
        </w:tc>
        <w:tc>
          <w:tcPr>
            <w:tcW w:w="3661" w:type="dxa"/>
            <w:vAlign w:val="center"/>
          </w:tcPr>
          <w:p w14:paraId="75070D6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z w:val="24"/>
                <w:szCs w:val="24"/>
              </w:rPr>
              <w:t>每班配备充装人员及检查人员不符合要求</w:t>
            </w:r>
          </w:p>
        </w:tc>
        <w:tc>
          <w:tcPr>
            <w:tcW w:w="4649" w:type="dxa"/>
            <w:vAlign w:val="center"/>
          </w:tcPr>
          <w:p w14:paraId="31FD22A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每班配备充装人员及检查人员符合相关规定</w:t>
            </w:r>
          </w:p>
        </w:tc>
        <w:tc>
          <w:tcPr>
            <w:tcW w:w="1425" w:type="dxa"/>
            <w:vMerge w:val="restart"/>
            <w:vAlign w:val="center"/>
          </w:tcPr>
          <w:p w14:paraId="59691B9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vMerge w:val="restart"/>
            <w:vAlign w:val="center"/>
          </w:tcPr>
          <w:p w14:paraId="34D4D86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0015480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微软雅黑" w:cs="Times New Roman"/>
                <w:b w:val="0"/>
                <w:bCs w:val="0"/>
                <w:sz w:val="18"/>
                <w:szCs w:val="18"/>
              </w:rPr>
            </w:pPr>
          </w:p>
        </w:tc>
      </w:tr>
      <w:tr w14:paraId="0C01C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6A983E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44</w:t>
            </w:r>
          </w:p>
        </w:tc>
        <w:tc>
          <w:tcPr>
            <w:tcW w:w="1418" w:type="dxa"/>
            <w:vMerge w:val="continue"/>
            <w:vAlign w:val="center"/>
          </w:tcPr>
          <w:p w14:paraId="08BD50F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7AA5306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移动式压力容器卸载人员无特种设备作业人员资格</w:t>
            </w:r>
          </w:p>
        </w:tc>
        <w:tc>
          <w:tcPr>
            <w:tcW w:w="4649" w:type="dxa"/>
            <w:vAlign w:val="center"/>
          </w:tcPr>
          <w:p w14:paraId="45D6759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按要求配备相应持证作业人员</w:t>
            </w:r>
          </w:p>
        </w:tc>
        <w:tc>
          <w:tcPr>
            <w:tcW w:w="1425" w:type="dxa"/>
            <w:vMerge w:val="continue"/>
            <w:vAlign w:val="center"/>
          </w:tcPr>
          <w:p w14:paraId="1D4B419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5F93411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7A88D4A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70F7E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B6397D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45</w:t>
            </w:r>
          </w:p>
        </w:tc>
        <w:tc>
          <w:tcPr>
            <w:tcW w:w="1418" w:type="dxa"/>
            <w:vMerge w:val="continue"/>
            <w:vAlign w:val="center"/>
          </w:tcPr>
          <w:p w14:paraId="3FD6D88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7ACF8C6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使用移动式压力容器充装非使用登记介质</w:t>
            </w:r>
          </w:p>
        </w:tc>
        <w:tc>
          <w:tcPr>
            <w:tcW w:w="4649" w:type="dxa"/>
            <w:vAlign w:val="center"/>
          </w:tcPr>
          <w:p w14:paraId="605980F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加强人员教育，规范使用移动式压力容器</w:t>
            </w:r>
          </w:p>
        </w:tc>
        <w:tc>
          <w:tcPr>
            <w:tcW w:w="1425" w:type="dxa"/>
            <w:vMerge w:val="continue"/>
            <w:vAlign w:val="center"/>
          </w:tcPr>
          <w:p w14:paraId="0C85C1B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7B750D4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7B62648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25E61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638B122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46</w:t>
            </w:r>
          </w:p>
        </w:tc>
        <w:tc>
          <w:tcPr>
            <w:tcW w:w="1418" w:type="dxa"/>
            <w:vMerge w:val="continue"/>
            <w:vAlign w:val="center"/>
          </w:tcPr>
          <w:p w14:paraId="15D3421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53B9A80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移动式压力容器罐体的关闭装置在运输过程中未处于闭止状态</w:t>
            </w:r>
          </w:p>
        </w:tc>
        <w:tc>
          <w:tcPr>
            <w:tcW w:w="4649" w:type="dxa"/>
            <w:vAlign w:val="center"/>
          </w:tcPr>
          <w:p w14:paraId="204DA07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加强充装后出车前罐体检查，必要时做检查结果记录</w:t>
            </w:r>
          </w:p>
        </w:tc>
        <w:tc>
          <w:tcPr>
            <w:tcW w:w="1425" w:type="dxa"/>
            <w:vMerge w:val="continue"/>
            <w:vAlign w:val="center"/>
          </w:tcPr>
          <w:p w14:paraId="68167C4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34F1306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0CAAAC5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7A6DF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791" w:type="dxa"/>
            <w:vAlign w:val="center"/>
          </w:tcPr>
          <w:p w14:paraId="1B1A83C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47</w:t>
            </w:r>
          </w:p>
        </w:tc>
        <w:tc>
          <w:tcPr>
            <w:tcW w:w="1418" w:type="dxa"/>
            <w:vMerge w:val="continue"/>
            <w:vAlign w:val="center"/>
          </w:tcPr>
          <w:p w14:paraId="1E12B87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6645CAF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使用移动式压力容器超速行驶、运输剧毒化学品未按审批路线、时段行驶</w:t>
            </w:r>
          </w:p>
        </w:tc>
        <w:tc>
          <w:tcPr>
            <w:tcW w:w="4649" w:type="dxa"/>
            <w:vAlign w:val="center"/>
          </w:tcPr>
          <w:p w14:paraId="2569D9B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加强人员教育，规范运行</w:t>
            </w:r>
          </w:p>
        </w:tc>
        <w:tc>
          <w:tcPr>
            <w:tcW w:w="1425" w:type="dxa"/>
            <w:vMerge w:val="continue"/>
            <w:vAlign w:val="center"/>
          </w:tcPr>
          <w:p w14:paraId="256BD4F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168264B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73F089C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0C779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tcBorders>
              <w:bottom w:val="single" w:color="auto" w:sz="4" w:space="0"/>
            </w:tcBorders>
            <w:vAlign w:val="center"/>
          </w:tcPr>
          <w:p w14:paraId="5C95DD8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48</w:t>
            </w:r>
          </w:p>
        </w:tc>
        <w:tc>
          <w:tcPr>
            <w:tcW w:w="1418" w:type="dxa"/>
            <w:vMerge w:val="continue"/>
            <w:tcBorders>
              <w:bottom w:val="single" w:color="auto" w:sz="4" w:space="0"/>
            </w:tcBorders>
            <w:vAlign w:val="center"/>
          </w:tcPr>
          <w:p w14:paraId="29B6967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15C1656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非应急救援情况，移动式压力容器之间相互装卸作业，移动式压力容器直接向气瓶进行充装</w:t>
            </w:r>
          </w:p>
        </w:tc>
        <w:tc>
          <w:tcPr>
            <w:tcW w:w="4649" w:type="dxa"/>
            <w:vAlign w:val="center"/>
          </w:tcPr>
          <w:p w14:paraId="03E2016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加强人员教育，规范使用移动式压力容器</w:t>
            </w:r>
          </w:p>
        </w:tc>
        <w:tc>
          <w:tcPr>
            <w:tcW w:w="1425" w:type="dxa"/>
            <w:vMerge w:val="continue"/>
            <w:vAlign w:val="center"/>
          </w:tcPr>
          <w:p w14:paraId="5623610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3050D12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7E65FA2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A2CC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tcBorders>
              <w:top w:val="single" w:color="auto" w:sz="4" w:space="0"/>
            </w:tcBorders>
            <w:vAlign w:val="center"/>
          </w:tcPr>
          <w:p w14:paraId="64CF482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49</w:t>
            </w:r>
          </w:p>
        </w:tc>
        <w:tc>
          <w:tcPr>
            <w:tcW w:w="1418" w:type="dxa"/>
            <w:vMerge w:val="restart"/>
            <w:tcBorders>
              <w:top w:val="single" w:color="auto" w:sz="4" w:space="0"/>
            </w:tcBorders>
            <w:vAlign w:val="center"/>
          </w:tcPr>
          <w:p w14:paraId="472832A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移动式压力容器专项</w:t>
            </w:r>
          </w:p>
        </w:tc>
        <w:tc>
          <w:tcPr>
            <w:tcW w:w="3661" w:type="dxa"/>
            <w:vAlign w:val="center"/>
          </w:tcPr>
          <w:p w14:paraId="35841D0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未经许可、超许可证有效期、超许可范围、不再具备许可条件进行充装</w:t>
            </w:r>
          </w:p>
        </w:tc>
        <w:tc>
          <w:tcPr>
            <w:tcW w:w="4649" w:type="dxa"/>
            <w:vAlign w:val="center"/>
          </w:tcPr>
          <w:p w14:paraId="5B6C848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1.立即停止充装，并严格按照规定取得许可；</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2.加强许可人员、场地、设备等条件的持续保持</w:t>
            </w:r>
          </w:p>
        </w:tc>
        <w:tc>
          <w:tcPr>
            <w:tcW w:w="1425" w:type="dxa"/>
            <w:vMerge w:val="continue"/>
            <w:vAlign w:val="center"/>
          </w:tcPr>
          <w:p w14:paraId="285AE5D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120F18A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198778B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6200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5F18C6A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50</w:t>
            </w:r>
          </w:p>
        </w:tc>
        <w:tc>
          <w:tcPr>
            <w:tcW w:w="1418" w:type="dxa"/>
            <w:vMerge w:val="continue"/>
            <w:vAlign w:val="center"/>
          </w:tcPr>
          <w:p w14:paraId="1933D96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4EF202F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未严格执行装卸前后检查、装卸过程控制，装卸记录不规范</w:t>
            </w:r>
          </w:p>
        </w:tc>
        <w:tc>
          <w:tcPr>
            <w:tcW w:w="4649" w:type="dxa"/>
            <w:vAlign w:val="center"/>
          </w:tcPr>
          <w:p w14:paraId="415D3F3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1.根据安全技术规范与企业实际情况编制装卸检查记录表并实施；</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2.编制装卸作业规程并严格实施</w:t>
            </w:r>
          </w:p>
        </w:tc>
        <w:tc>
          <w:tcPr>
            <w:tcW w:w="1425" w:type="dxa"/>
            <w:vMerge w:val="continue"/>
            <w:vAlign w:val="center"/>
          </w:tcPr>
          <w:p w14:paraId="3B3EB4D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3B62165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26E68F4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12C1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6516CF4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51</w:t>
            </w:r>
          </w:p>
        </w:tc>
        <w:tc>
          <w:tcPr>
            <w:tcW w:w="1418" w:type="dxa"/>
            <w:vMerge w:val="continue"/>
            <w:vAlign w:val="center"/>
          </w:tcPr>
          <w:p w14:paraId="5DE60A1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38898C7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pacing w:val="6"/>
                <w:sz w:val="24"/>
                <w:szCs w:val="24"/>
              </w:rPr>
              <w:t>未按安全技术规范要求建立并使用移动式压力容器充装质量追溯信息系统</w:t>
            </w:r>
          </w:p>
        </w:tc>
        <w:tc>
          <w:tcPr>
            <w:tcW w:w="4649" w:type="dxa"/>
            <w:vAlign w:val="center"/>
          </w:tcPr>
          <w:p w14:paraId="4C40CE0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建立并实施移动式压力容器充装质量追溯系统</w:t>
            </w:r>
          </w:p>
        </w:tc>
        <w:tc>
          <w:tcPr>
            <w:tcW w:w="1425" w:type="dxa"/>
            <w:vMerge w:val="continue"/>
            <w:vAlign w:val="center"/>
          </w:tcPr>
          <w:p w14:paraId="4713C51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28E1EE8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1CE971D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70E9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73598ED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52</w:t>
            </w:r>
          </w:p>
        </w:tc>
        <w:tc>
          <w:tcPr>
            <w:tcW w:w="1418" w:type="dxa"/>
            <w:vMerge w:val="continue"/>
            <w:vAlign w:val="center"/>
          </w:tcPr>
          <w:p w14:paraId="005D367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3661" w:type="dxa"/>
            <w:vAlign w:val="center"/>
          </w:tcPr>
          <w:p w14:paraId="7E50C3B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装卸用管不符合有关要求</w:t>
            </w:r>
          </w:p>
        </w:tc>
        <w:tc>
          <w:tcPr>
            <w:tcW w:w="4649" w:type="dxa"/>
            <w:vAlign w:val="center"/>
          </w:tcPr>
          <w:p w14:paraId="08E9E71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1.装卸用管定期进行耐压试验；</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2.装卸用管材质与介质相容；</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3.加强连接部位的检查</w:t>
            </w:r>
          </w:p>
        </w:tc>
        <w:tc>
          <w:tcPr>
            <w:tcW w:w="1425" w:type="dxa"/>
            <w:vMerge w:val="continue"/>
            <w:vAlign w:val="center"/>
          </w:tcPr>
          <w:p w14:paraId="77FD088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7E7CF31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478B504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rPr>
            </w:pPr>
          </w:p>
        </w:tc>
      </w:tr>
      <w:tr w14:paraId="693F8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jc w:val="center"/>
        </w:trPr>
        <w:tc>
          <w:tcPr>
            <w:tcW w:w="791" w:type="dxa"/>
            <w:vAlign w:val="center"/>
          </w:tcPr>
          <w:p w14:paraId="3A2F97D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53</w:t>
            </w:r>
          </w:p>
        </w:tc>
        <w:tc>
          <w:tcPr>
            <w:tcW w:w="1418" w:type="dxa"/>
            <w:vMerge w:val="continue"/>
            <w:vAlign w:val="center"/>
          </w:tcPr>
          <w:p w14:paraId="1F0C29B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661" w:type="dxa"/>
            <w:vAlign w:val="center"/>
          </w:tcPr>
          <w:p w14:paraId="18DEA70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pacing w:val="6"/>
                <w:sz w:val="24"/>
                <w:szCs w:val="24"/>
              </w:rPr>
              <w:t>在禁止装卸作业情境下（如恶劣天气、异常工况等）继续作业</w:t>
            </w:r>
          </w:p>
        </w:tc>
        <w:tc>
          <w:tcPr>
            <w:tcW w:w="4649" w:type="dxa"/>
            <w:vAlign w:val="center"/>
          </w:tcPr>
          <w:p w14:paraId="2AE8EEB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1.建立完善操作规程；</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2.加强人员培训并组织实施</w:t>
            </w:r>
          </w:p>
        </w:tc>
        <w:tc>
          <w:tcPr>
            <w:tcW w:w="1425" w:type="dxa"/>
            <w:vAlign w:val="center"/>
          </w:tcPr>
          <w:p w14:paraId="7FD4594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90" w:type="dxa"/>
            <w:vAlign w:val="center"/>
          </w:tcPr>
          <w:p w14:paraId="44B08FA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34" w:type="dxa"/>
            <w:vAlign w:val="center"/>
          </w:tcPr>
          <w:p w14:paraId="07CD6A4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4"/>
              </w:rPr>
            </w:pPr>
          </w:p>
        </w:tc>
      </w:tr>
      <w:tr w14:paraId="765B6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exact"/>
          <w:jc w:val="center"/>
        </w:trPr>
        <w:tc>
          <w:tcPr>
            <w:tcW w:w="791" w:type="dxa"/>
            <w:vAlign w:val="center"/>
          </w:tcPr>
          <w:p w14:paraId="33FB88D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54</w:t>
            </w:r>
          </w:p>
        </w:tc>
        <w:tc>
          <w:tcPr>
            <w:tcW w:w="1418" w:type="dxa"/>
            <w:vMerge w:val="continue"/>
            <w:vAlign w:val="center"/>
          </w:tcPr>
          <w:p w14:paraId="005C257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3661" w:type="dxa"/>
            <w:vAlign w:val="center"/>
          </w:tcPr>
          <w:p w14:paraId="725BAEF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未设置安全出口，周围未设置安全标识</w:t>
            </w:r>
          </w:p>
        </w:tc>
        <w:tc>
          <w:tcPr>
            <w:tcW w:w="4649" w:type="dxa"/>
            <w:vAlign w:val="center"/>
          </w:tcPr>
          <w:p w14:paraId="546C5D8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1.按要求设置安全出口；</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2.按要求设置安全标识</w:t>
            </w:r>
          </w:p>
        </w:tc>
        <w:tc>
          <w:tcPr>
            <w:tcW w:w="1425" w:type="dxa"/>
            <w:vMerge w:val="restart"/>
            <w:vAlign w:val="center"/>
          </w:tcPr>
          <w:p w14:paraId="493AC5E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90" w:type="dxa"/>
            <w:vMerge w:val="restart"/>
            <w:vAlign w:val="center"/>
          </w:tcPr>
          <w:p w14:paraId="64C8DB8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34" w:type="dxa"/>
            <w:vAlign w:val="center"/>
          </w:tcPr>
          <w:p w14:paraId="70585A8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red"/>
              </w:rPr>
            </w:pPr>
          </w:p>
        </w:tc>
      </w:tr>
      <w:tr w14:paraId="39661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791" w:type="dxa"/>
            <w:vAlign w:val="center"/>
          </w:tcPr>
          <w:p w14:paraId="672152D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55</w:t>
            </w:r>
          </w:p>
        </w:tc>
        <w:tc>
          <w:tcPr>
            <w:tcW w:w="1418" w:type="dxa"/>
            <w:vMerge w:val="continue"/>
            <w:vAlign w:val="center"/>
          </w:tcPr>
          <w:p w14:paraId="603A096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3661" w:type="dxa"/>
            <w:vAlign w:val="center"/>
          </w:tcPr>
          <w:p w14:paraId="2545781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充装场地未具有良好的通风条件或未设有足够能力的换风通风装置；缺少如充装场地环境温度、气体浓度控制等安全措施</w:t>
            </w:r>
          </w:p>
        </w:tc>
        <w:tc>
          <w:tcPr>
            <w:tcW w:w="4649" w:type="dxa"/>
            <w:vAlign w:val="center"/>
          </w:tcPr>
          <w:p w14:paraId="09268D1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1.按规范要求设置换风通风装置；</w:t>
            </w:r>
          </w:p>
          <w:p w14:paraId="036E913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2.根据充装气体的危险特性，增加如充装场地环境温度控制等安全措施；</w:t>
            </w:r>
          </w:p>
          <w:p w14:paraId="21FB51A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3.易燃、易爆、有毒介质的充装单位，严格按规定装设气体浓度监测报警装置</w:t>
            </w:r>
          </w:p>
        </w:tc>
        <w:tc>
          <w:tcPr>
            <w:tcW w:w="1425" w:type="dxa"/>
            <w:vMerge w:val="continue"/>
            <w:vAlign w:val="center"/>
          </w:tcPr>
          <w:p w14:paraId="174B75A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1290" w:type="dxa"/>
            <w:vMerge w:val="continue"/>
            <w:vAlign w:val="center"/>
          </w:tcPr>
          <w:p w14:paraId="7000997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c>
          <w:tcPr>
            <w:tcW w:w="934" w:type="dxa"/>
            <w:vAlign w:val="center"/>
          </w:tcPr>
          <w:p w14:paraId="2AAEFBA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微软雅黑" w:cs="Times New Roman"/>
                <w:b w:val="0"/>
                <w:bCs w:val="0"/>
                <w:sz w:val="18"/>
                <w:szCs w:val="18"/>
                <w:highlight w:val="red"/>
              </w:rPr>
            </w:pPr>
          </w:p>
        </w:tc>
      </w:tr>
    </w:tbl>
    <w:p w14:paraId="280BABF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备注：本清单为推荐性格式，仅规定了应当进行日管控、周排查、月调度的基本项目，压力容器使用单位应当结合本单位实际，细化风险管控清单，合理调整管控形式。</w:t>
      </w:r>
    </w:p>
    <w:p w14:paraId="74E2EBE8">
      <w:pPr>
        <w:keepNext w:val="0"/>
        <w:keepLines w:val="0"/>
        <w:pageBreakBefore w:val="0"/>
        <w:kinsoku/>
        <w:overflowPunct/>
        <w:bidi w:val="0"/>
        <w:adjustRightInd/>
        <w:spacing w:line="280" w:lineRule="exact"/>
        <w:rPr>
          <w:rFonts w:hint="default" w:ascii="Times New Roman" w:hAnsi="Times New Roman" w:eastAsia="宋体" w:cs="Times New Roman"/>
          <w:b w:val="0"/>
          <w:bCs w:val="0"/>
          <w:kern w:val="0"/>
          <w:sz w:val="36"/>
          <w:szCs w:val="36"/>
        </w:rPr>
      </w:pPr>
      <w:r>
        <w:rPr>
          <w:rFonts w:hint="default" w:ascii="Times New Roman" w:hAnsi="Times New Roman" w:eastAsia="宋体" w:cs="Times New Roman"/>
          <w:b w:val="0"/>
          <w:bCs w:val="0"/>
          <w:kern w:val="0"/>
          <w:sz w:val="36"/>
          <w:szCs w:val="36"/>
        </w:rPr>
        <w:br w:type="page"/>
      </w:r>
    </w:p>
    <w:p w14:paraId="5C1371A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eastAsiaTheme="minorEastAsia"/>
          <w:b w:val="0"/>
          <w:bCs w:val="0"/>
          <w:sz w:val="36"/>
          <w:szCs w:val="36"/>
        </w:rPr>
      </w:pPr>
      <w:r>
        <w:rPr>
          <w:rFonts w:hint="default" w:ascii="Times New Roman" w:hAnsi="Times New Roman" w:cs="Times New Roman" w:eastAsiaTheme="minorEastAsia"/>
          <w:b w:val="0"/>
          <w:bCs w:val="0"/>
          <w:sz w:val="36"/>
          <w:szCs w:val="36"/>
        </w:rPr>
        <w:t>气瓶充装风险管控清单</w:t>
      </w:r>
      <w:r>
        <w:rPr>
          <w:rFonts w:hint="default" w:ascii="Times New Roman" w:hAnsi="Times New Roman" w:cs="Times New Roman" w:eastAsiaTheme="minorEastAsia"/>
          <w:b w:val="0"/>
          <w:bCs w:val="0"/>
          <w:sz w:val="36"/>
          <w:szCs w:val="36"/>
          <w:lang w:eastAsia="zh-CN"/>
        </w:rPr>
        <w:t>（供参考）</w:t>
      </w:r>
    </w:p>
    <w:tbl>
      <w:tblPr>
        <w:tblStyle w:val="16"/>
        <w:tblW w:w="147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8"/>
        <w:gridCol w:w="3749"/>
        <w:gridCol w:w="5146"/>
        <w:gridCol w:w="1530"/>
        <w:gridCol w:w="1245"/>
        <w:gridCol w:w="890"/>
      </w:tblGrid>
      <w:tr w14:paraId="76C6B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29" w:hRule="exact"/>
          <w:tblHeader/>
        </w:trPr>
        <w:tc>
          <w:tcPr>
            <w:tcW w:w="824" w:type="dxa"/>
            <w:shd w:val="clear" w:color="auto" w:fill="BEBEBE"/>
            <w:vAlign w:val="center"/>
          </w:tcPr>
          <w:p w14:paraId="64B2BCC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序号</w:t>
            </w:r>
          </w:p>
        </w:tc>
        <w:tc>
          <w:tcPr>
            <w:tcW w:w="1358" w:type="dxa"/>
            <w:shd w:val="clear" w:color="auto" w:fill="BEBEBE"/>
            <w:vAlign w:val="center"/>
          </w:tcPr>
          <w:p w14:paraId="7FB791E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风险类别</w:t>
            </w:r>
          </w:p>
        </w:tc>
        <w:tc>
          <w:tcPr>
            <w:tcW w:w="3749" w:type="dxa"/>
            <w:shd w:val="clear" w:color="auto" w:fill="BEBEBE"/>
            <w:vAlign w:val="center"/>
          </w:tcPr>
          <w:p w14:paraId="445F5DE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风险指标</w:t>
            </w:r>
          </w:p>
        </w:tc>
        <w:tc>
          <w:tcPr>
            <w:tcW w:w="5146" w:type="dxa"/>
            <w:shd w:val="clear" w:color="auto" w:fill="BEBEBE"/>
            <w:vAlign w:val="center"/>
          </w:tcPr>
          <w:p w14:paraId="15F0B49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风险管控措施</w:t>
            </w:r>
          </w:p>
        </w:tc>
        <w:tc>
          <w:tcPr>
            <w:tcW w:w="1530" w:type="dxa"/>
            <w:shd w:val="clear" w:color="auto" w:fill="BEBEBE"/>
            <w:vAlign w:val="center"/>
          </w:tcPr>
          <w:p w14:paraId="737FBBD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管控形式</w:t>
            </w:r>
          </w:p>
        </w:tc>
        <w:tc>
          <w:tcPr>
            <w:tcW w:w="1245" w:type="dxa"/>
            <w:shd w:val="clear" w:color="auto" w:fill="BEBEBE"/>
            <w:vAlign w:val="center"/>
          </w:tcPr>
          <w:p w14:paraId="2ACA87E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责任人</w:t>
            </w:r>
          </w:p>
        </w:tc>
        <w:tc>
          <w:tcPr>
            <w:tcW w:w="890" w:type="dxa"/>
            <w:shd w:val="clear" w:color="auto" w:fill="BEBEBE"/>
            <w:vAlign w:val="center"/>
          </w:tcPr>
          <w:p w14:paraId="49A3E7C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备注</w:t>
            </w:r>
          </w:p>
        </w:tc>
      </w:tr>
      <w:tr w14:paraId="1B7FD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824" w:type="dxa"/>
            <w:vAlign w:val="center"/>
          </w:tcPr>
          <w:p w14:paraId="5E02B42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w:t>
            </w:r>
          </w:p>
        </w:tc>
        <w:tc>
          <w:tcPr>
            <w:tcW w:w="1358" w:type="dxa"/>
            <w:vMerge w:val="restart"/>
            <w:vAlign w:val="center"/>
          </w:tcPr>
          <w:p w14:paraId="502ED52D">
            <w:pPr>
              <w:keepNext w:val="0"/>
              <w:keepLines w:val="0"/>
              <w:pageBreakBefore w:val="0"/>
              <w:kinsoku/>
              <w:overflowPunct/>
              <w:autoSpaceDE w:val="0"/>
              <w:autoSpaceDN w:val="0"/>
              <w:bidi w:val="0"/>
              <w:adjustRightInd/>
              <w:spacing w:before="113" w:line="280" w:lineRule="exact"/>
              <w:ind w:left="76"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人员</w:t>
            </w:r>
          </w:p>
        </w:tc>
        <w:tc>
          <w:tcPr>
            <w:tcW w:w="3749" w:type="dxa"/>
            <w:vAlign w:val="center"/>
          </w:tcPr>
          <w:p w14:paraId="79074C0B">
            <w:pPr>
              <w:keepNext w:val="0"/>
              <w:keepLines w:val="0"/>
              <w:pageBreakBefore w:val="0"/>
              <w:kinsoku/>
              <w:overflowPunct/>
              <w:autoSpaceDE w:val="0"/>
              <w:autoSpaceDN w:val="0"/>
              <w:bidi w:val="0"/>
              <w:adjustRightInd/>
              <w:spacing w:before="113"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每班充装人员及持证检查人员不符合要求</w:t>
            </w:r>
          </w:p>
        </w:tc>
        <w:tc>
          <w:tcPr>
            <w:tcW w:w="5146" w:type="dxa"/>
            <w:vAlign w:val="center"/>
          </w:tcPr>
          <w:p w14:paraId="34F23A63">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w:t>
            </w:r>
            <w:r>
              <w:rPr>
                <w:rFonts w:hint="default" w:ascii="Times New Roman" w:hAnsi="Times New Roman" w:eastAsia="宋体" w:cs="Times New Roman"/>
                <w:b w:val="0"/>
                <w:bCs w:val="0"/>
                <w:kern w:val="0"/>
                <w:sz w:val="24"/>
                <w:szCs w:val="24"/>
              </w:rPr>
              <w:t>每个充装地址持证充装人员每个班次不少于2人，在气瓶充装作业时，不得同时兼任检查人员；</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sz w:val="24"/>
                <w:szCs w:val="24"/>
              </w:rPr>
              <w:t>2.</w:t>
            </w:r>
            <w:r>
              <w:rPr>
                <w:rFonts w:hint="default" w:ascii="Times New Roman" w:hAnsi="Times New Roman" w:eastAsia="宋体" w:cs="Times New Roman"/>
                <w:b w:val="0"/>
                <w:bCs w:val="0"/>
                <w:kern w:val="0"/>
                <w:sz w:val="24"/>
                <w:szCs w:val="24"/>
              </w:rPr>
              <w:t>每个充装地址持证检查人员每个班次不少于1人</w:t>
            </w:r>
          </w:p>
        </w:tc>
        <w:tc>
          <w:tcPr>
            <w:tcW w:w="1530" w:type="dxa"/>
            <w:vAlign w:val="center"/>
          </w:tcPr>
          <w:p w14:paraId="6B93A91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vAlign w:val="center"/>
          </w:tcPr>
          <w:p w14:paraId="212EC2C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2A81ABD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4B7C3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trPr>
        <w:tc>
          <w:tcPr>
            <w:tcW w:w="824" w:type="dxa"/>
            <w:vAlign w:val="center"/>
          </w:tcPr>
          <w:p w14:paraId="5499D11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w:t>
            </w:r>
          </w:p>
        </w:tc>
        <w:tc>
          <w:tcPr>
            <w:tcW w:w="1358" w:type="dxa"/>
            <w:vMerge w:val="continue"/>
            <w:vAlign w:val="center"/>
          </w:tcPr>
          <w:p w14:paraId="215FFE51">
            <w:pPr>
              <w:keepNext w:val="0"/>
              <w:keepLines w:val="0"/>
              <w:pageBreakBefore w:val="0"/>
              <w:kinsoku/>
              <w:overflowPunct/>
              <w:autoSpaceDE w:val="0"/>
              <w:autoSpaceDN w:val="0"/>
              <w:bidi w:val="0"/>
              <w:adjustRightInd/>
              <w:spacing w:before="113" w:line="280" w:lineRule="exact"/>
              <w:ind w:left="76" w:leftChars="0" w:firstLine="0" w:firstLineChars="0"/>
              <w:jc w:val="left"/>
              <w:rPr>
                <w:rFonts w:hint="default" w:ascii="Times New Roman" w:hAnsi="Times New Roman" w:eastAsia="宋体" w:cs="Times New Roman"/>
                <w:b w:val="0"/>
                <w:bCs w:val="0"/>
                <w:sz w:val="24"/>
                <w:szCs w:val="24"/>
              </w:rPr>
            </w:pPr>
          </w:p>
        </w:tc>
        <w:tc>
          <w:tcPr>
            <w:tcW w:w="3749" w:type="dxa"/>
            <w:vAlign w:val="center"/>
          </w:tcPr>
          <w:p w14:paraId="55A68B5E">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未按规定配置技术负责人、安全总监、相应数量的安全员、特种设备安全管理人员、气瓶作业人员</w:t>
            </w:r>
          </w:p>
        </w:tc>
        <w:tc>
          <w:tcPr>
            <w:tcW w:w="5146" w:type="dxa"/>
            <w:tcBorders>
              <w:bottom w:val="single" w:color="auto" w:sz="4" w:space="0"/>
            </w:tcBorders>
            <w:vAlign w:val="center"/>
          </w:tcPr>
          <w:p w14:paraId="2F0B9889">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1.建立特种设备安全管理人员与作业人员管理制度；</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2.按规定配备相关人员，建立台账</w:t>
            </w:r>
          </w:p>
        </w:tc>
        <w:tc>
          <w:tcPr>
            <w:tcW w:w="1530" w:type="dxa"/>
            <w:tcBorders>
              <w:bottom w:val="single" w:color="auto" w:sz="4" w:space="0"/>
            </w:tcBorders>
            <w:vAlign w:val="center"/>
          </w:tcPr>
          <w:p w14:paraId="163A058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bottom w:val="single" w:color="auto" w:sz="4" w:space="0"/>
            </w:tcBorders>
            <w:vAlign w:val="center"/>
          </w:tcPr>
          <w:p w14:paraId="1E9E165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203632B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67413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exact"/>
        </w:trPr>
        <w:tc>
          <w:tcPr>
            <w:tcW w:w="824" w:type="dxa"/>
            <w:vAlign w:val="center"/>
          </w:tcPr>
          <w:p w14:paraId="0D9CF0E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w:t>
            </w:r>
          </w:p>
        </w:tc>
        <w:tc>
          <w:tcPr>
            <w:tcW w:w="1358" w:type="dxa"/>
            <w:vMerge w:val="continue"/>
            <w:vAlign w:val="center"/>
          </w:tcPr>
          <w:p w14:paraId="39606036">
            <w:pPr>
              <w:keepNext w:val="0"/>
              <w:keepLines w:val="0"/>
              <w:pageBreakBefore w:val="0"/>
              <w:kinsoku/>
              <w:overflowPunct/>
              <w:autoSpaceDE w:val="0"/>
              <w:autoSpaceDN w:val="0"/>
              <w:bidi w:val="0"/>
              <w:adjustRightInd/>
              <w:spacing w:before="113" w:line="280" w:lineRule="exact"/>
              <w:ind w:left="76" w:leftChars="0" w:firstLine="0" w:firstLineChars="0"/>
              <w:jc w:val="left"/>
              <w:rPr>
                <w:rFonts w:hint="default" w:ascii="Times New Roman" w:hAnsi="Times New Roman" w:eastAsia="宋体" w:cs="Times New Roman"/>
                <w:b w:val="0"/>
                <w:bCs w:val="0"/>
                <w:sz w:val="24"/>
                <w:szCs w:val="24"/>
              </w:rPr>
            </w:pPr>
          </w:p>
        </w:tc>
        <w:tc>
          <w:tcPr>
            <w:tcW w:w="3749" w:type="dxa"/>
            <w:vAlign w:val="center"/>
          </w:tcPr>
          <w:p w14:paraId="4CC045C2">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作业人员无相应的资格证书或证书超期的</w:t>
            </w:r>
          </w:p>
        </w:tc>
        <w:tc>
          <w:tcPr>
            <w:tcW w:w="5146" w:type="dxa"/>
            <w:tcBorders>
              <w:top w:val="single" w:color="auto" w:sz="4" w:space="0"/>
            </w:tcBorders>
            <w:vAlign w:val="center"/>
          </w:tcPr>
          <w:p w14:paraId="5201654E">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定期检查作业人员证件</w:t>
            </w:r>
          </w:p>
        </w:tc>
        <w:tc>
          <w:tcPr>
            <w:tcW w:w="1530" w:type="dxa"/>
            <w:tcBorders>
              <w:top w:val="single" w:color="auto" w:sz="4" w:space="0"/>
              <w:bottom w:val="single" w:color="auto" w:sz="4" w:space="0"/>
            </w:tcBorders>
            <w:vAlign w:val="center"/>
          </w:tcPr>
          <w:p w14:paraId="001BFBC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18DAC21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1C2B16C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44BE2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exact"/>
        </w:trPr>
        <w:tc>
          <w:tcPr>
            <w:tcW w:w="824" w:type="dxa"/>
            <w:vAlign w:val="center"/>
          </w:tcPr>
          <w:p w14:paraId="3F5CD70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w:t>
            </w:r>
          </w:p>
        </w:tc>
        <w:tc>
          <w:tcPr>
            <w:tcW w:w="1358" w:type="dxa"/>
            <w:vMerge w:val="continue"/>
            <w:vAlign w:val="center"/>
          </w:tcPr>
          <w:p w14:paraId="10722134">
            <w:pPr>
              <w:keepNext w:val="0"/>
              <w:keepLines w:val="0"/>
              <w:pageBreakBefore w:val="0"/>
              <w:kinsoku/>
              <w:overflowPunct/>
              <w:autoSpaceDE w:val="0"/>
              <w:autoSpaceDN w:val="0"/>
              <w:bidi w:val="0"/>
              <w:adjustRightInd/>
              <w:spacing w:before="113" w:line="280" w:lineRule="exact"/>
              <w:ind w:left="76" w:leftChars="0" w:firstLine="0" w:firstLineChars="0"/>
              <w:jc w:val="left"/>
              <w:rPr>
                <w:rFonts w:hint="default" w:ascii="Times New Roman" w:hAnsi="Times New Roman" w:eastAsia="宋体" w:cs="Times New Roman"/>
                <w:b w:val="0"/>
                <w:bCs w:val="0"/>
                <w:sz w:val="24"/>
                <w:szCs w:val="24"/>
              </w:rPr>
            </w:pPr>
          </w:p>
        </w:tc>
        <w:tc>
          <w:tcPr>
            <w:tcW w:w="3749" w:type="dxa"/>
            <w:vAlign w:val="center"/>
          </w:tcPr>
          <w:p w14:paraId="416576F8">
            <w:pPr>
              <w:keepNext w:val="0"/>
              <w:keepLines w:val="0"/>
              <w:pageBreakBefore w:val="0"/>
              <w:kinsoku/>
              <w:overflowPunct/>
              <w:autoSpaceDE w:val="0"/>
              <w:autoSpaceDN w:val="0"/>
              <w:bidi w:val="0"/>
              <w:adjustRightInd/>
              <w:spacing w:before="113"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未对从业人员进行相关能力知识的培训和考核</w:t>
            </w:r>
          </w:p>
        </w:tc>
        <w:tc>
          <w:tcPr>
            <w:tcW w:w="5146" w:type="dxa"/>
            <w:vAlign w:val="center"/>
          </w:tcPr>
          <w:p w14:paraId="5F083016">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对从业人员进行相关能力知识的培训和考核，并且考核合格</w:t>
            </w:r>
          </w:p>
        </w:tc>
        <w:tc>
          <w:tcPr>
            <w:tcW w:w="1530" w:type="dxa"/>
            <w:tcBorders>
              <w:top w:val="single" w:color="auto" w:sz="4" w:space="0"/>
            </w:tcBorders>
            <w:vAlign w:val="center"/>
          </w:tcPr>
          <w:p w14:paraId="5DBD912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tcBorders>
            <w:vAlign w:val="center"/>
          </w:tcPr>
          <w:p w14:paraId="450406E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47EB04D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7AFA8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trPr>
        <w:tc>
          <w:tcPr>
            <w:tcW w:w="824" w:type="dxa"/>
            <w:vAlign w:val="center"/>
          </w:tcPr>
          <w:p w14:paraId="4BE3904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w:t>
            </w:r>
          </w:p>
        </w:tc>
        <w:tc>
          <w:tcPr>
            <w:tcW w:w="1358" w:type="dxa"/>
            <w:vMerge w:val="restart"/>
            <w:vAlign w:val="center"/>
          </w:tcPr>
          <w:p w14:paraId="5C915125">
            <w:pPr>
              <w:keepNext w:val="0"/>
              <w:keepLines w:val="0"/>
              <w:pageBreakBefore w:val="0"/>
              <w:kinsoku/>
              <w:overflowPunct/>
              <w:autoSpaceDE w:val="0"/>
              <w:autoSpaceDN w:val="0"/>
              <w:bidi w:val="0"/>
              <w:adjustRightInd/>
              <w:spacing w:line="280" w:lineRule="exact"/>
              <w:ind w:left="0" w:leftChars="0" w:firstLine="480" w:firstLineChars="200"/>
              <w:jc w:val="both"/>
              <w:rPr>
                <w:rFonts w:hint="default" w:ascii="Times New Roman" w:hAnsi="Times New Roman" w:eastAsia="宋体" w:cs="Times New Roman"/>
                <w:b w:val="0"/>
                <w:bCs w:val="0"/>
                <w:kern w:val="0"/>
                <w:sz w:val="24"/>
                <w:szCs w:val="24"/>
                <w:lang w:eastAsia="en-US"/>
              </w:rPr>
            </w:pPr>
            <w:r>
              <w:rPr>
                <w:rFonts w:hint="default" w:ascii="Times New Roman" w:hAnsi="Times New Roman" w:eastAsia="宋体" w:cs="Times New Roman"/>
                <w:b w:val="0"/>
                <w:bCs w:val="0"/>
                <w:color w:val="000000"/>
                <w:kern w:val="0"/>
                <w:sz w:val="24"/>
                <w:szCs w:val="24"/>
              </w:rPr>
              <w:t>管理</w:t>
            </w:r>
          </w:p>
        </w:tc>
        <w:tc>
          <w:tcPr>
            <w:tcW w:w="3749" w:type="dxa"/>
            <w:vAlign w:val="center"/>
          </w:tcPr>
          <w:p w14:paraId="7399A55D">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超许可范围充装的</w:t>
            </w:r>
          </w:p>
        </w:tc>
        <w:tc>
          <w:tcPr>
            <w:tcW w:w="5146" w:type="dxa"/>
            <w:vAlign w:val="center"/>
          </w:tcPr>
          <w:p w14:paraId="126CD014">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加强许可管理，严禁超范围充装</w:t>
            </w:r>
          </w:p>
        </w:tc>
        <w:tc>
          <w:tcPr>
            <w:tcW w:w="1530" w:type="dxa"/>
            <w:vMerge w:val="restart"/>
            <w:vAlign w:val="center"/>
          </w:tcPr>
          <w:p w14:paraId="0E8280C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245" w:type="dxa"/>
            <w:vMerge w:val="restart"/>
            <w:vAlign w:val="center"/>
          </w:tcPr>
          <w:p w14:paraId="6964C16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vAlign w:val="center"/>
          </w:tcPr>
          <w:p w14:paraId="0FAD7C0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7F8D0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trPr>
        <w:tc>
          <w:tcPr>
            <w:tcW w:w="824" w:type="dxa"/>
            <w:vAlign w:val="center"/>
          </w:tcPr>
          <w:p w14:paraId="0EC3AFF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6</w:t>
            </w:r>
          </w:p>
        </w:tc>
        <w:tc>
          <w:tcPr>
            <w:tcW w:w="1358" w:type="dxa"/>
            <w:vMerge w:val="continue"/>
            <w:vAlign w:val="center"/>
          </w:tcPr>
          <w:p w14:paraId="1BED816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p>
        </w:tc>
        <w:tc>
          <w:tcPr>
            <w:tcW w:w="3749" w:type="dxa"/>
            <w:vAlign w:val="center"/>
          </w:tcPr>
          <w:p w14:paraId="5C67D029">
            <w:pPr>
              <w:keepNext w:val="0"/>
              <w:keepLines w:val="0"/>
              <w:pageBreakBefore w:val="0"/>
              <w:kinsoku/>
              <w:overflowPunct/>
              <w:autoSpaceDE w:val="0"/>
              <w:autoSpaceDN w:val="0"/>
              <w:bidi w:val="0"/>
              <w:adjustRightInd/>
              <w:spacing w:before="113"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未对气瓶进行检查和维护保养</w:t>
            </w:r>
          </w:p>
        </w:tc>
        <w:tc>
          <w:tcPr>
            <w:tcW w:w="5146" w:type="dxa"/>
            <w:vAlign w:val="center"/>
          </w:tcPr>
          <w:p w14:paraId="25E0ECF6">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对气瓶进行检查和维护保养</w:t>
            </w:r>
          </w:p>
        </w:tc>
        <w:tc>
          <w:tcPr>
            <w:tcW w:w="1530" w:type="dxa"/>
            <w:vMerge w:val="continue"/>
            <w:vAlign w:val="center"/>
          </w:tcPr>
          <w:p w14:paraId="18586D0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p>
        </w:tc>
        <w:tc>
          <w:tcPr>
            <w:tcW w:w="1245" w:type="dxa"/>
            <w:vMerge w:val="continue"/>
            <w:vAlign w:val="center"/>
          </w:tcPr>
          <w:p w14:paraId="44630CB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p>
        </w:tc>
        <w:tc>
          <w:tcPr>
            <w:tcW w:w="890" w:type="dxa"/>
            <w:vAlign w:val="center"/>
          </w:tcPr>
          <w:p w14:paraId="730EA9A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72E32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exact"/>
        </w:trPr>
        <w:tc>
          <w:tcPr>
            <w:tcW w:w="824" w:type="dxa"/>
            <w:vAlign w:val="center"/>
          </w:tcPr>
          <w:p w14:paraId="2CFC423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7</w:t>
            </w:r>
          </w:p>
        </w:tc>
        <w:tc>
          <w:tcPr>
            <w:tcW w:w="1358" w:type="dxa"/>
            <w:vMerge w:val="continue"/>
            <w:vAlign w:val="center"/>
          </w:tcPr>
          <w:p w14:paraId="783BC0C6">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4"/>
                <w:lang w:eastAsia="en-US"/>
              </w:rPr>
            </w:pPr>
          </w:p>
        </w:tc>
        <w:tc>
          <w:tcPr>
            <w:tcW w:w="3749" w:type="dxa"/>
            <w:vAlign w:val="center"/>
          </w:tcPr>
          <w:p w14:paraId="28880A29">
            <w:pPr>
              <w:keepNext w:val="0"/>
              <w:keepLines w:val="0"/>
              <w:pageBreakBefore w:val="0"/>
              <w:kinsoku/>
              <w:overflowPunct/>
              <w:autoSpaceDE w:val="0"/>
              <w:autoSpaceDN w:val="0"/>
              <w:bidi w:val="0"/>
              <w:adjustRightInd/>
              <w:spacing w:before="113"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kern w:val="0"/>
                <w:sz w:val="24"/>
                <w:szCs w:val="24"/>
              </w:rPr>
              <w:t>未对不合格的气瓶进行处理</w:t>
            </w:r>
          </w:p>
        </w:tc>
        <w:tc>
          <w:tcPr>
            <w:tcW w:w="5146" w:type="dxa"/>
            <w:tcBorders>
              <w:bottom w:val="single" w:color="auto" w:sz="4" w:space="0"/>
            </w:tcBorders>
            <w:vAlign w:val="center"/>
          </w:tcPr>
          <w:p w14:paraId="00E753E2">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对存在严重事故隐患、经检验不合格或者应当予以报废的不合格气瓶进行消除使用功能的报废处理</w:t>
            </w:r>
          </w:p>
        </w:tc>
        <w:tc>
          <w:tcPr>
            <w:tcW w:w="1530" w:type="dxa"/>
            <w:tcBorders>
              <w:bottom w:val="single" w:color="auto" w:sz="4" w:space="0"/>
            </w:tcBorders>
            <w:vAlign w:val="center"/>
          </w:tcPr>
          <w:p w14:paraId="4148B78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245" w:type="dxa"/>
            <w:tcBorders>
              <w:bottom w:val="single" w:color="auto" w:sz="4" w:space="0"/>
            </w:tcBorders>
            <w:vAlign w:val="center"/>
          </w:tcPr>
          <w:p w14:paraId="690CAEE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vAlign w:val="center"/>
          </w:tcPr>
          <w:p w14:paraId="4868BC5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4861C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824" w:type="dxa"/>
            <w:vAlign w:val="center"/>
          </w:tcPr>
          <w:p w14:paraId="32729AF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8</w:t>
            </w:r>
          </w:p>
        </w:tc>
        <w:tc>
          <w:tcPr>
            <w:tcW w:w="1358" w:type="dxa"/>
            <w:vMerge w:val="continue"/>
            <w:vAlign w:val="center"/>
          </w:tcPr>
          <w:p w14:paraId="0A40B25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p>
        </w:tc>
        <w:tc>
          <w:tcPr>
            <w:tcW w:w="3749" w:type="dxa"/>
            <w:vAlign w:val="center"/>
          </w:tcPr>
          <w:p w14:paraId="5DAB36F9">
            <w:pPr>
              <w:keepNext w:val="0"/>
              <w:keepLines w:val="0"/>
              <w:pageBreakBefore w:val="0"/>
              <w:kinsoku/>
              <w:overflowPunct/>
              <w:autoSpaceDE w:val="0"/>
              <w:autoSpaceDN w:val="0"/>
              <w:bidi w:val="0"/>
              <w:adjustRightInd/>
              <w:spacing w:before="113" w:line="280" w:lineRule="exact"/>
              <w:ind w:left="0" w:leftChars="0" w:firstLine="0" w:firstLineChars="0"/>
              <w:jc w:val="left"/>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超量、超压充装</w:t>
            </w:r>
          </w:p>
        </w:tc>
        <w:tc>
          <w:tcPr>
            <w:tcW w:w="5146" w:type="dxa"/>
            <w:tcBorders>
              <w:top w:val="single" w:color="auto" w:sz="4" w:space="0"/>
            </w:tcBorders>
            <w:vAlign w:val="center"/>
          </w:tcPr>
          <w:p w14:paraId="7F89F917">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严格按规定要求充装</w:t>
            </w:r>
          </w:p>
        </w:tc>
        <w:tc>
          <w:tcPr>
            <w:tcW w:w="1530" w:type="dxa"/>
            <w:tcBorders>
              <w:top w:val="single" w:color="auto" w:sz="4" w:space="0"/>
              <w:bottom w:val="single" w:color="auto" w:sz="4" w:space="0"/>
            </w:tcBorders>
            <w:vAlign w:val="center"/>
          </w:tcPr>
          <w:p w14:paraId="2286A54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245" w:type="dxa"/>
            <w:tcBorders>
              <w:top w:val="single" w:color="auto" w:sz="4" w:space="0"/>
              <w:bottom w:val="single" w:color="auto" w:sz="4" w:space="0"/>
            </w:tcBorders>
            <w:vAlign w:val="center"/>
          </w:tcPr>
          <w:p w14:paraId="4266BBF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vAlign w:val="center"/>
          </w:tcPr>
          <w:p w14:paraId="297F3EA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09BE9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2901481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9</w:t>
            </w:r>
          </w:p>
        </w:tc>
        <w:tc>
          <w:tcPr>
            <w:tcW w:w="1358" w:type="dxa"/>
            <w:vMerge w:val="continue"/>
            <w:vAlign w:val="center"/>
          </w:tcPr>
          <w:p w14:paraId="6EFFE56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4"/>
              </w:rPr>
            </w:pPr>
          </w:p>
        </w:tc>
        <w:tc>
          <w:tcPr>
            <w:tcW w:w="3749" w:type="dxa"/>
            <w:vAlign w:val="center"/>
          </w:tcPr>
          <w:p w14:paraId="307ADDD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pacing w:val="6"/>
                <w:sz w:val="24"/>
                <w:szCs w:val="24"/>
              </w:rPr>
            </w:pPr>
            <w:r>
              <w:rPr>
                <w:rFonts w:hint="default" w:ascii="Times New Roman" w:hAnsi="Times New Roman" w:eastAsia="宋体" w:cs="Times New Roman"/>
                <w:b w:val="0"/>
                <w:bCs w:val="0"/>
                <w:color w:val="000000"/>
                <w:spacing w:val="6"/>
                <w:sz w:val="24"/>
                <w:szCs w:val="24"/>
              </w:rPr>
              <w:t>移动式压力容器未严格执行卸载前后检查、卸载过程控制，装卸记录不规范</w:t>
            </w:r>
          </w:p>
        </w:tc>
        <w:tc>
          <w:tcPr>
            <w:tcW w:w="5146" w:type="dxa"/>
            <w:vAlign w:val="center"/>
          </w:tcPr>
          <w:p w14:paraId="0AF2D39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1.根据安全技术规范与企业实际情况编制卸载检查记录表并实施；</w:t>
            </w:r>
            <w:r>
              <w:rPr>
                <w:rFonts w:hint="default" w:ascii="Times New Roman" w:hAnsi="Times New Roman" w:eastAsia="宋体" w:cs="Times New Roman"/>
                <w:b w:val="0"/>
                <w:bCs w:val="0"/>
                <w:color w:val="000000"/>
                <w:sz w:val="24"/>
                <w:szCs w:val="24"/>
              </w:rPr>
              <w:br w:type="textWrapping"/>
            </w:r>
            <w:r>
              <w:rPr>
                <w:rFonts w:hint="default" w:ascii="Times New Roman" w:hAnsi="Times New Roman" w:eastAsia="宋体" w:cs="Times New Roman"/>
                <w:b w:val="0"/>
                <w:bCs w:val="0"/>
                <w:color w:val="000000"/>
                <w:sz w:val="24"/>
                <w:szCs w:val="24"/>
              </w:rPr>
              <w:t>2.编制卸载作业规程并严格实施</w:t>
            </w:r>
          </w:p>
        </w:tc>
        <w:tc>
          <w:tcPr>
            <w:tcW w:w="1530" w:type="dxa"/>
            <w:tcBorders>
              <w:top w:val="single" w:color="auto" w:sz="4" w:space="0"/>
              <w:bottom w:val="single" w:color="auto" w:sz="4" w:space="0"/>
            </w:tcBorders>
            <w:vAlign w:val="center"/>
          </w:tcPr>
          <w:p w14:paraId="28F2880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245" w:type="dxa"/>
            <w:tcBorders>
              <w:top w:val="single" w:color="auto" w:sz="4" w:space="0"/>
              <w:bottom w:val="single" w:color="auto" w:sz="4" w:space="0"/>
            </w:tcBorders>
            <w:vAlign w:val="center"/>
          </w:tcPr>
          <w:p w14:paraId="5648457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vAlign w:val="center"/>
          </w:tcPr>
          <w:p w14:paraId="4EAB462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5EB0D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8" w:hRule="atLeast"/>
        </w:trPr>
        <w:tc>
          <w:tcPr>
            <w:tcW w:w="824" w:type="dxa"/>
            <w:vAlign w:val="center"/>
          </w:tcPr>
          <w:p w14:paraId="2842E97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10</w:t>
            </w:r>
          </w:p>
        </w:tc>
        <w:tc>
          <w:tcPr>
            <w:tcW w:w="1358" w:type="dxa"/>
            <w:vMerge w:val="continue"/>
            <w:vAlign w:val="center"/>
          </w:tcPr>
          <w:p w14:paraId="414AE4C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p>
        </w:tc>
        <w:tc>
          <w:tcPr>
            <w:tcW w:w="3749" w:type="dxa"/>
            <w:vAlign w:val="center"/>
          </w:tcPr>
          <w:p w14:paraId="51997FCC">
            <w:pPr>
              <w:keepNext w:val="0"/>
              <w:keepLines w:val="0"/>
              <w:pageBreakBefore w:val="0"/>
              <w:tabs>
                <w:tab w:val="left" w:pos="1011"/>
              </w:tabs>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未建立气瓶充装质量追溯信息系统</w:t>
            </w:r>
          </w:p>
        </w:tc>
        <w:tc>
          <w:tcPr>
            <w:tcW w:w="5146" w:type="dxa"/>
            <w:vAlign w:val="center"/>
          </w:tcPr>
          <w:p w14:paraId="6FEE15C2">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1.按安全技术规范要求建立并使用气瓶充装质量追溯信息系统及气瓶充装电子档案；</w:t>
            </w:r>
            <w:r>
              <w:rPr>
                <w:rFonts w:hint="default" w:ascii="Times New Roman" w:hAnsi="Times New Roman" w:eastAsia="宋体" w:cs="Times New Roman"/>
                <w:b w:val="0"/>
                <w:bCs w:val="0"/>
                <w:color w:val="000000"/>
                <w:kern w:val="0"/>
                <w:sz w:val="24"/>
                <w:szCs w:val="24"/>
              </w:rPr>
              <w:br w:type="textWrapping"/>
            </w:r>
            <w:r>
              <w:rPr>
                <w:rFonts w:hint="default" w:ascii="Times New Roman" w:hAnsi="Times New Roman" w:eastAsia="宋体" w:cs="Times New Roman"/>
                <w:b w:val="0"/>
                <w:bCs w:val="0"/>
                <w:color w:val="000000"/>
                <w:kern w:val="0"/>
                <w:sz w:val="24"/>
                <w:szCs w:val="24"/>
              </w:rPr>
              <w:t>2.气瓶充装及检查的相关信息应上传到气瓶信息平台上保存</w:t>
            </w:r>
          </w:p>
        </w:tc>
        <w:tc>
          <w:tcPr>
            <w:tcW w:w="1530" w:type="dxa"/>
            <w:tcBorders>
              <w:top w:val="single" w:color="auto" w:sz="4" w:space="0"/>
            </w:tcBorders>
            <w:vAlign w:val="center"/>
          </w:tcPr>
          <w:p w14:paraId="633F58C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245" w:type="dxa"/>
            <w:tcBorders>
              <w:top w:val="single" w:color="auto" w:sz="4" w:space="0"/>
            </w:tcBorders>
            <w:vAlign w:val="center"/>
          </w:tcPr>
          <w:p w14:paraId="0058C8A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vAlign w:val="center"/>
          </w:tcPr>
          <w:p w14:paraId="2049735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6F44E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824" w:type="dxa"/>
            <w:tcBorders>
              <w:bottom w:val="single" w:color="auto" w:sz="4" w:space="0"/>
            </w:tcBorders>
            <w:vAlign w:val="center"/>
          </w:tcPr>
          <w:p w14:paraId="23EAEB2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11</w:t>
            </w:r>
          </w:p>
        </w:tc>
        <w:tc>
          <w:tcPr>
            <w:tcW w:w="1358" w:type="dxa"/>
            <w:vMerge w:val="continue"/>
            <w:vAlign w:val="center"/>
          </w:tcPr>
          <w:p w14:paraId="3E6CA64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p>
        </w:tc>
        <w:tc>
          <w:tcPr>
            <w:tcW w:w="3749" w:type="dxa"/>
            <w:vAlign w:val="center"/>
          </w:tcPr>
          <w:p w14:paraId="70CF03B0">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未建立、健全安全技术档案</w:t>
            </w:r>
          </w:p>
        </w:tc>
        <w:tc>
          <w:tcPr>
            <w:tcW w:w="5146" w:type="dxa"/>
            <w:vAlign w:val="center"/>
          </w:tcPr>
          <w:p w14:paraId="34DF9D18">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建立健全安全技术档案</w:t>
            </w:r>
          </w:p>
        </w:tc>
        <w:tc>
          <w:tcPr>
            <w:tcW w:w="1530" w:type="dxa"/>
            <w:tcBorders>
              <w:bottom w:val="single" w:color="auto" w:sz="4" w:space="0"/>
            </w:tcBorders>
            <w:vAlign w:val="center"/>
          </w:tcPr>
          <w:p w14:paraId="7C23EDC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245" w:type="dxa"/>
            <w:tcBorders>
              <w:bottom w:val="single" w:color="auto" w:sz="4" w:space="0"/>
            </w:tcBorders>
            <w:vAlign w:val="center"/>
          </w:tcPr>
          <w:p w14:paraId="3BE43BA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vAlign w:val="center"/>
          </w:tcPr>
          <w:p w14:paraId="3665B20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5232E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3" w:hRule="exact"/>
        </w:trPr>
        <w:tc>
          <w:tcPr>
            <w:tcW w:w="824" w:type="dxa"/>
            <w:tcBorders>
              <w:top w:val="single" w:color="auto" w:sz="4" w:space="0"/>
              <w:bottom w:val="single" w:color="auto" w:sz="4" w:space="0"/>
            </w:tcBorders>
            <w:vAlign w:val="center"/>
          </w:tcPr>
          <w:p w14:paraId="7B96CD1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12</w:t>
            </w:r>
          </w:p>
        </w:tc>
        <w:tc>
          <w:tcPr>
            <w:tcW w:w="1358" w:type="dxa"/>
            <w:vMerge w:val="continue"/>
            <w:vAlign w:val="center"/>
          </w:tcPr>
          <w:p w14:paraId="4469FFF9">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lang w:eastAsia="en-US"/>
              </w:rPr>
            </w:pPr>
          </w:p>
        </w:tc>
        <w:tc>
          <w:tcPr>
            <w:tcW w:w="3749" w:type="dxa"/>
            <w:vAlign w:val="center"/>
          </w:tcPr>
          <w:p w14:paraId="5E82D74B">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未设置气瓶待检区、不合格瓶区、待充装区和充装合格区，无明显隔离措施，且不符合安全技术要求</w:t>
            </w:r>
          </w:p>
        </w:tc>
        <w:tc>
          <w:tcPr>
            <w:tcW w:w="5146" w:type="dxa"/>
            <w:tcBorders>
              <w:bottom w:val="single" w:color="auto" w:sz="4" w:space="0"/>
            </w:tcBorders>
            <w:vAlign w:val="center"/>
          </w:tcPr>
          <w:p w14:paraId="062AE6D7">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按安全技术要求合理设置气瓶待检区、不合格瓶区、待充装区和充装合格区等明显隔离措施</w:t>
            </w:r>
          </w:p>
        </w:tc>
        <w:tc>
          <w:tcPr>
            <w:tcW w:w="1530" w:type="dxa"/>
            <w:tcBorders>
              <w:top w:val="single" w:color="auto" w:sz="4" w:space="0"/>
              <w:bottom w:val="single" w:color="auto" w:sz="4" w:space="0"/>
            </w:tcBorders>
            <w:vAlign w:val="center"/>
          </w:tcPr>
          <w:p w14:paraId="4DB1BE4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245" w:type="dxa"/>
            <w:tcBorders>
              <w:top w:val="single" w:color="auto" w:sz="4" w:space="0"/>
              <w:bottom w:val="single" w:color="auto" w:sz="4" w:space="0"/>
            </w:tcBorders>
            <w:vAlign w:val="center"/>
          </w:tcPr>
          <w:p w14:paraId="09B32DD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vAlign w:val="center"/>
          </w:tcPr>
          <w:p w14:paraId="2A833C4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25D09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top w:val="single" w:color="auto" w:sz="4" w:space="0"/>
            </w:tcBorders>
            <w:vAlign w:val="center"/>
          </w:tcPr>
          <w:p w14:paraId="2677B77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13</w:t>
            </w:r>
          </w:p>
        </w:tc>
        <w:tc>
          <w:tcPr>
            <w:tcW w:w="1358" w:type="dxa"/>
            <w:vMerge w:val="continue"/>
            <w:vAlign w:val="center"/>
          </w:tcPr>
          <w:p w14:paraId="4492641F">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4"/>
                <w:lang w:eastAsia="en-US"/>
              </w:rPr>
            </w:pPr>
          </w:p>
        </w:tc>
        <w:tc>
          <w:tcPr>
            <w:tcW w:w="3749" w:type="dxa"/>
            <w:tcBorders>
              <w:bottom w:val="single" w:color="auto" w:sz="4" w:space="0"/>
            </w:tcBorders>
            <w:vAlign w:val="center"/>
          </w:tcPr>
          <w:p w14:paraId="185D846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pacing w:val="6"/>
                <w:sz w:val="24"/>
                <w:szCs w:val="24"/>
              </w:rPr>
            </w:pPr>
            <w:r>
              <w:rPr>
                <w:rFonts w:hint="default" w:ascii="Times New Roman" w:hAnsi="Times New Roman" w:eastAsia="宋体" w:cs="Times New Roman"/>
                <w:b w:val="0"/>
                <w:bCs w:val="0"/>
                <w:color w:val="000000"/>
                <w:spacing w:val="6"/>
                <w:sz w:val="24"/>
                <w:szCs w:val="24"/>
              </w:rPr>
              <w:t>发现异常情况未按规定采取应急措施，隐患未及时整改</w:t>
            </w:r>
          </w:p>
        </w:tc>
        <w:tc>
          <w:tcPr>
            <w:tcW w:w="5146" w:type="dxa"/>
            <w:tcBorders>
              <w:top w:val="single" w:color="auto" w:sz="4" w:space="0"/>
            </w:tcBorders>
            <w:vAlign w:val="center"/>
          </w:tcPr>
          <w:p w14:paraId="0A22FE6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sz w:val="24"/>
                <w:szCs w:val="24"/>
              </w:rPr>
              <w:t>1.查明异常发生原因，及时采取应急措施和消除隐患；</w:t>
            </w:r>
            <w:r>
              <w:rPr>
                <w:rFonts w:hint="default" w:ascii="Times New Roman" w:hAnsi="Times New Roman" w:eastAsia="宋体" w:cs="Times New Roman"/>
                <w:b w:val="0"/>
                <w:bCs w:val="0"/>
                <w:color w:val="000000"/>
                <w:sz w:val="24"/>
                <w:szCs w:val="24"/>
              </w:rPr>
              <w:br w:type="textWrapping"/>
            </w:r>
            <w:r>
              <w:rPr>
                <w:rFonts w:hint="default" w:ascii="Times New Roman" w:hAnsi="Times New Roman" w:eastAsia="宋体" w:cs="Times New Roman"/>
                <w:b w:val="0"/>
                <w:bCs w:val="0"/>
                <w:color w:val="000000"/>
                <w:sz w:val="24"/>
                <w:szCs w:val="24"/>
              </w:rPr>
              <w:t>2.制定整改计划，明确整改措施及责任人</w:t>
            </w:r>
          </w:p>
        </w:tc>
        <w:tc>
          <w:tcPr>
            <w:tcW w:w="1530" w:type="dxa"/>
            <w:tcBorders>
              <w:top w:val="single" w:color="auto" w:sz="4" w:space="0"/>
            </w:tcBorders>
            <w:vAlign w:val="center"/>
          </w:tcPr>
          <w:p w14:paraId="6FA95DD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245" w:type="dxa"/>
            <w:tcBorders>
              <w:top w:val="single" w:color="auto" w:sz="4" w:space="0"/>
            </w:tcBorders>
            <w:vAlign w:val="center"/>
          </w:tcPr>
          <w:p w14:paraId="1041AF1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vAlign w:val="center"/>
          </w:tcPr>
          <w:p w14:paraId="0A4F014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p>
        </w:tc>
      </w:tr>
      <w:tr w14:paraId="13388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824" w:type="dxa"/>
            <w:vAlign w:val="center"/>
          </w:tcPr>
          <w:p w14:paraId="3C9A29E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14</w:t>
            </w:r>
          </w:p>
        </w:tc>
        <w:tc>
          <w:tcPr>
            <w:tcW w:w="1358" w:type="dxa"/>
            <w:vMerge w:val="continue"/>
            <w:vAlign w:val="center"/>
          </w:tcPr>
          <w:p w14:paraId="3659C6F2">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lang w:eastAsia="en-US"/>
              </w:rPr>
            </w:pPr>
          </w:p>
        </w:tc>
        <w:tc>
          <w:tcPr>
            <w:tcW w:w="3749" w:type="dxa"/>
            <w:tcBorders>
              <w:top w:val="single" w:color="auto" w:sz="4" w:space="0"/>
            </w:tcBorders>
            <w:vAlign w:val="center"/>
          </w:tcPr>
          <w:p w14:paraId="403AE697">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无充装许可资质、许可证超期的，未及时办理变更手续。</w:t>
            </w:r>
          </w:p>
        </w:tc>
        <w:tc>
          <w:tcPr>
            <w:tcW w:w="5146" w:type="dxa"/>
            <w:vAlign w:val="center"/>
          </w:tcPr>
          <w:p w14:paraId="39664691">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1、立即停止充装，并严格按照规定取得许可；</w:t>
            </w:r>
          </w:p>
          <w:p w14:paraId="2E0FEA52">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2、加强许可管理，及时变更</w:t>
            </w:r>
          </w:p>
        </w:tc>
        <w:tc>
          <w:tcPr>
            <w:tcW w:w="1530" w:type="dxa"/>
            <w:tcBorders>
              <w:bottom w:val="single" w:color="auto" w:sz="4" w:space="0"/>
            </w:tcBorders>
            <w:vAlign w:val="center"/>
          </w:tcPr>
          <w:p w14:paraId="5CBC9E8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bottom w:val="single" w:color="auto" w:sz="4" w:space="0"/>
            </w:tcBorders>
            <w:vAlign w:val="center"/>
          </w:tcPr>
          <w:p w14:paraId="2F881F3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2F92A32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5BE3A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exact"/>
        </w:trPr>
        <w:tc>
          <w:tcPr>
            <w:tcW w:w="824" w:type="dxa"/>
            <w:vAlign w:val="center"/>
          </w:tcPr>
          <w:p w14:paraId="53AC1FA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15</w:t>
            </w:r>
          </w:p>
        </w:tc>
        <w:tc>
          <w:tcPr>
            <w:tcW w:w="1358" w:type="dxa"/>
            <w:vMerge w:val="continue"/>
            <w:vAlign w:val="center"/>
          </w:tcPr>
          <w:p w14:paraId="29AF9106">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lang w:eastAsia="en-US"/>
              </w:rPr>
            </w:pPr>
          </w:p>
        </w:tc>
        <w:tc>
          <w:tcPr>
            <w:tcW w:w="3749" w:type="dxa"/>
            <w:vAlign w:val="center"/>
          </w:tcPr>
          <w:p w14:paraId="177CF12F">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未建立、健全或有效实施相关安全管理制度，未及时修订质保手册、更新相关法律法规标准</w:t>
            </w:r>
          </w:p>
        </w:tc>
        <w:tc>
          <w:tcPr>
            <w:tcW w:w="5146" w:type="dxa"/>
            <w:vAlign w:val="center"/>
          </w:tcPr>
          <w:p w14:paraId="09096456">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1.建立健全并有效实施相关安全管理制度；</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2.根据资源条件变化及时修订质保手册、更新相关法律法规标准</w:t>
            </w:r>
          </w:p>
        </w:tc>
        <w:tc>
          <w:tcPr>
            <w:tcW w:w="1530" w:type="dxa"/>
            <w:tcBorders>
              <w:top w:val="single" w:color="auto" w:sz="4" w:space="0"/>
              <w:bottom w:val="single" w:color="auto" w:sz="4" w:space="0"/>
            </w:tcBorders>
            <w:vAlign w:val="center"/>
          </w:tcPr>
          <w:p w14:paraId="76E341B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79747A1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729431F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26C9D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exact"/>
        </w:trPr>
        <w:tc>
          <w:tcPr>
            <w:tcW w:w="824" w:type="dxa"/>
            <w:vAlign w:val="center"/>
          </w:tcPr>
          <w:p w14:paraId="10584A0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16</w:t>
            </w:r>
          </w:p>
        </w:tc>
        <w:tc>
          <w:tcPr>
            <w:tcW w:w="1358" w:type="dxa"/>
            <w:vMerge w:val="continue"/>
            <w:vAlign w:val="center"/>
          </w:tcPr>
          <w:p w14:paraId="3C337E75">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lang w:eastAsia="en-US"/>
              </w:rPr>
            </w:pPr>
          </w:p>
        </w:tc>
        <w:tc>
          <w:tcPr>
            <w:tcW w:w="3749" w:type="dxa"/>
            <w:vAlign w:val="center"/>
          </w:tcPr>
          <w:p w14:paraId="08DE3938">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未建立、健全操作规程</w:t>
            </w:r>
          </w:p>
        </w:tc>
        <w:tc>
          <w:tcPr>
            <w:tcW w:w="5146" w:type="dxa"/>
            <w:tcBorders>
              <w:bottom w:val="single" w:color="auto" w:sz="4" w:space="0"/>
            </w:tcBorders>
            <w:vAlign w:val="center"/>
          </w:tcPr>
          <w:p w14:paraId="49340587">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建立健全操作规程</w:t>
            </w:r>
          </w:p>
        </w:tc>
        <w:tc>
          <w:tcPr>
            <w:tcW w:w="1530" w:type="dxa"/>
            <w:tcBorders>
              <w:top w:val="single" w:color="auto" w:sz="4" w:space="0"/>
              <w:bottom w:val="single" w:color="auto" w:sz="4" w:space="0"/>
            </w:tcBorders>
            <w:vAlign w:val="center"/>
          </w:tcPr>
          <w:p w14:paraId="6697F77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7307072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tcBorders>
              <w:bottom w:val="single" w:color="auto" w:sz="4" w:space="0"/>
            </w:tcBorders>
            <w:vAlign w:val="center"/>
          </w:tcPr>
          <w:p w14:paraId="32F3341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078D7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824" w:type="dxa"/>
            <w:vAlign w:val="center"/>
          </w:tcPr>
          <w:p w14:paraId="3901A1C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17</w:t>
            </w:r>
          </w:p>
        </w:tc>
        <w:tc>
          <w:tcPr>
            <w:tcW w:w="1358" w:type="dxa"/>
            <w:vMerge w:val="continue"/>
            <w:vAlign w:val="center"/>
          </w:tcPr>
          <w:p w14:paraId="5071B6E7">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lang w:eastAsia="en-US"/>
              </w:rPr>
            </w:pPr>
          </w:p>
        </w:tc>
        <w:tc>
          <w:tcPr>
            <w:tcW w:w="3749" w:type="dxa"/>
            <w:vAlign w:val="center"/>
          </w:tcPr>
          <w:p w14:paraId="6703A6BC">
            <w:pPr>
              <w:keepNext w:val="0"/>
              <w:keepLines w:val="0"/>
              <w:pageBreakBefore w:val="0"/>
              <w:kinsoku/>
              <w:overflowPunct/>
              <w:autoSpaceDE w:val="0"/>
              <w:autoSpaceDN w:val="0"/>
              <w:bidi w:val="0"/>
              <w:adjustRightInd/>
              <w:spacing w:before="113"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未及时办理使用登记，每年未及时报送气瓶基本信息汇总表和年度安全状况</w:t>
            </w:r>
          </w:p>
        </w:tc>
        <w:tc>
          <w:tcPr>
            <w:tcW w:w="5146" w:type="dxa"/>
            <w:tcBorders>
              <w:top w:val="single" w:color="auto" w:sz="4" w:space="0"/>
            </w:tcBorders>
            <w:vAlign w:val="center"/>
          </w:tcPr>
          <w:p w14:paraId="7B18629F">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1.及时办理使用登记，对气瓶台账进行动态维护；</w:t>
            </w:r>
          </w:p>
          <w:p w14:paraId="6793E770">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2.每年及时报送气瓶基本信息汇总表和年度安全状况</w:t>
            </w:r>
          </w:p>
        </w:tc>
        <w:tc>
          <w:tcPr>
            <w:tcW w:w="1530" w:type="dxa"/>
            <w:tcBorders>
              <w:top w:val="single" w:color="auto" w:sz="4" w:space="0"/>
              <w:bottom w:val="single" w:color="auto" w:sz="4" w:space="0"/>
            </w:tcBorders>
            <w:vAlign w:val="center"/>
          </w:tcPr>
          <w:p w14:paraId="09FE3E5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35F11F4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tcBorders>
              <w:top w:val="single" w:color="auto" w:sz="4" w:space="0"/>
              <w:bottom w:val="single" w:color="auto" w:sz="4" w:space="0"/>
            </w:tcBorders>
            <w:vAlign w:val="center"/>
          </w:tcPr>
          <w:p w14:paraId="0083A4D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2B64E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824" w:type="dxa"/>
            <w:vAlign w:val="center"/>
          </w:tcPr>
          <w:p w14:paraId="7C74230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18</w:t>
            </w:r>
          </w:p>
        </w:tc>
        <w:tc>
          <w:tcPr>
            <w:tcW w:w="1358" w:type="dxa"/>
            <w:vMerge w:val="continue"/>
            <w:vAlign w:val="center"/>
          </w:tcPr>
          <w:p w14:paraId="0670B2A5">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lang w:eastAsia="en-US"/>
              </w:rPr>
            </w:pPr>
          </w:p>
        </w:tc>
        <w:tc>
          <w:tcPr>
            <w:tcW w:w="3749" w:type="dxa"/>
            <w:vAlign w:val="center"/>
          </w:tcPr>
          <w:p w14:paraId="5E97725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气瓶检验</w:t>
            </w:r>
            <w:r>
              <w:rPr>
                <w:rFonts w:hint="default" w:ascii="Times New Roman" w:hAnsi="Times New Roman" w:eastAsia="宋体" w:cs="Times New Roman"/>
                <w:b w:val="0"/>
                <w:bCs w:val="0"/>
                <w:color w:val="000000"/>
                <w:sz w:val="24"/>
                <w:szCs w:val="24"/>
                <w:lang w:val="zh-TW" w:eastAsia="zh-TW" w:bidi="zh-TW"/>
              </w:rPr>
              <w:t>有效期届满前一个月</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bidi="zh-TW"/>
              </w:rPr>
              <w:t>未</w:t>
            </w:r>
            <w:r>
              <w:rPr>
                <w:rFonts w:hint="default" w:ascii="Times New Roman" w:hAnsi="Times New Roman" w:eastAsia="宋体" w:cs="Times New Roman"/>
                <w:b w:val="0"/>
                <w:bCs w:val="0"/>
                <w:color w:val="000000"/>
                <w:sz w:val="24"/>
                <w:szCs w:val="24"/>
                <w:lang w:val="zh-TW" w:eastAsia="zh-TW" w:bidi="zh-TW"/>
              </w:rPr>
              <w:t>向气瓶定期检验机构提出定期检验申请，并且送检气瓶。</w:t>
            </w:r>
          </w:p>
        </w:tc>
        <w:tc>
          <w:tcPr>
            <w:tcW w:w="5146" w:type="dxa"/>
            <w:tcBorders>
              <w:bottom w:val="single" w:color="auto" w:sz="4" w:space="0"/>
            </w:tcBorders>
            <w:vAlign w:val="center"/>
          </w:tcPr>
          <w:p w14:paraId="00248A1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气瓶检验</w:t>
            </w:r>
            <w:r>
              <w:rPr>
                <w:rFonts w:hint="default" w:ascii="Times New Roman" w:hAnsi="Times New Roman" w:eastAsia="宋体" w:cs="Times New Roman"/>
                <w:b w:val="0"/>
                <w:bCs w:val="0"/>
                <w:color w:val="000000"/>
                <w:sz w:val="24"/>
                <w:szCs w:val="24"/>
                <w:lang w:val="zh-TW" w:eastAsia="zh-TW" w:bidi="zh-TW"/>
              </w:rPr>
              <w:t>有效期届满前一个月</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val="zh-TW" w:eastAsia="zh-TW" w:bidi="zh-TW"/>
              </w:rPr>
              <w:t>向气瓶定期检验机构提出定期检验申请，并且送检气瓶</w:t>
            </w:r>
          </w:p>
        </w:tc>
        <w:tc>
          <w:tcPr>
            <w:tcW w:w="1530" w:type="dxa"/>
            <w:tcBorders>
              <w:top w:val="single" w:color="auto" w:sz="4" w:space="0"/>
              <w:bottom w:val="single" w:color="auto" w:sz="4" w:space="0"/>
            </w:tcBorders>
            <w:vAlign w:val="center"/>
          </w:tcPr>
          <w:p w14:paraId="4BC871C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6FCE2A4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tcBorders>
              <w:top w:val="single" w:color="auto" w:sz="4" w:space="0"/>
            </w:tcBorders>
            <w:vAlign w:val="center"/>
          </w:tcPr>
          <w:p w14:paraId="734CC70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2952D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trPr>
        <w:tc>
          <w:tcPr>
            <w:tcW w:w="824" w:type="dxa"/>
            <w:vAlign w:val="center"/>
          </w:tcPr>
          <w:p w14:paraId="6D42866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19</w:t>
            </w:r>
          </w:p>
        </w:tc>
        <w:tc>
          <w:tcPr>
            <w:tcW w:w="1358" w:type="dxa"/>
            <w:vMerge w:val="continue"/>
            <w:vAlign w:val="center"/>
          </w:tcPr>
          <w:p w14:paraId="05E8534C">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lang w:eastAsia="en-US"/>
              </w:rPr>
            </w:pPr>
          </w:p>
        </w:tc>
        <w:tc>
          <w:tcPr>
            <w:tcW w:w="3749" w:type="dxa"/>
            <w:vAlign w:val="center"/>
          </w:tcPr>
          <w:p w14:paraId="3135EEC7">
            <w:pPr>
              <w:keepNext w:val="0"/>
              <w:keepLines w:val="0"/>
              <w:pageBreakBefore w:val="0"/>
              <w:kinsoku/>
              <w:overflowPunct/>
              <w:autoSpaceDE w:val="0"/>
              <w:autoSpaceDN w:val="0"/>
              <w:bidi w:val="0"/>
              <w:adjustRightInd/>
              <w:spacing w:before="165" w:line="280" w:lineRule="exact"/>
              <w:ind w:left="0" w:leftChars="0" w:right="193"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未制定应急预案或进行演练</w:t>
            </w:r>
          </w:p>
        </w:tc>
        <w:tc>
          <w:tcPr>
            <w:tcW w:w="5146" w:type="dxa"/>
            <w:tcBorders>
              <w:top w:val="single" w:color="auto" w:sz="4" w:space="0"/>
            </w:tcBorders>
            <w:vAlign w:val="center"/>
          </w:tcPr>
          <w:p w14:paraId="54539E1A">
            <w:pPr>
              <w:keepNext w:val="0"/>
              <w:keepLines w:val="0"/>
              <w:pageBreakBefore w:val="0"/>
              <w:kinsoku/>
              <w:overflowPunct/>
              <w:autoSpaceDE w:val="0"/>
              <w:autoSpaceDN w:val="0"/>
              <w:bidi w:val="0"/>
              <w:adjustRightInd/>
              <w:spacing w:before="59" w:line="280" w:lineRule="exact"/>
              <w:ind w:left="28"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应建立应急预案，按要求定期开展演练</w:t>
            </w:r>
          </w:p>
        </w:tc>
        <w:tc>
          <w:tcPr>
            <w:tcW w:w="1530" w:type="dxa"/>
            <w:tcBorders>
              <w:top w:val="single" w:color="auto" w:sz="4" w:space="0"/>
              <w:bottom w:val="single" w:color="auto" w:sz="4" w:space="0"/>
            </w:tcBorders>
            <w:vAlign w:val="center"/>
          </w:tcPr>
          <w:p w14:paraId="672D0DF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14EB582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6307FD1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1AF1E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824" w:type="dxa"/>
            <w:vAlign w:val="center"/>
          </w:tcPr>
          <w:p w14:paraId="4DF17F9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20</w:t>
            </w:r>
          </w:p>
        </w:tc>
        <w:tc>
          <w:tcPr>
            <w:tcW w:w="1358" w:type="dxa"/>
            <w:vMerge w:val="continue"/>
            <w:vAlign w:val="center"/>
          </w:tcPr>
          <w:p w14:paraId="303A4614">
            <w:pPr>
              <w:keepNext w:val="0"/>
              <w:keepLines w:val="0"/>
              <w:pageBreakBefore w:val="0"/>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lang w:eastAsia="en-US"/>
              </w:rPr>
            </w:pPr>
          </w:p>
        </w:tc>
        <w:tc>
          <w:tcPr>
            <w:tcW w:w="3749" w:type="dxa"/>
            <w:vAlign w:val="center"/>
          </w:tcPr>
          <w:p w14:paraId="528E025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未落实安全事故报告义务，未采取有效措施防止事故扩大</w:t>
            </w:r>
          </w:p>
        </w:tc>
        <w:tc>
          <w:tcPr>
            <w:tcW w:w="5146" w:type="dxa"/>
            <w:vAlign w:val="center"/>
          </w:tcPr>
          <w:p w14:paraId="21FCACB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1.落实气瓶安全事故报告制度；</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2.及时采取有效措施防止事故扩大</w:t>
            </w:r>
          </w:p>
        </w:tc>
        <w:tc>
          <w:tcPr>
            <w:tcW w:w="1530" w:type="dxa"/>
            <w:tcBorders>
              <w:top w:val="single" w:color="auto" w:sz="4" w:space="0"/>
            </w:tcBorders>
            <w:vAlign w:val="center"/>
          </w:tcPr>
          <w:p w14:paraId="5F51A08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tcBorders>
            <w:vAlign w:val="center"/>
          </w:tcPr>
          <w:p w14:paraId="3F35358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6CD92A5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52DD3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3" w:hRule="atLeast"/>
        </w:trPr>
        <w:tc>
          <w:tcPr>
            <w:tcW w:w="824" w:type="dxa"/>
            <w:vAlign w:val="center"/>
          </w:tcPr>
          <w:p w14:paraId="76B9B6A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21</w:t>
            </w:r>
          </w:p>
        </w:tc>
        <w:tc>
          <w:tcPr>
            <w:tcW w:w="1358" w:type="dxa"/>
            <w:vMerge w:val="restart"/>
            <w:vAlign w:val="center"/>
          </w:tcPr>
          <w:p w14:paraId="2EAFEC87">
            <w:pPr>
              <w:keepNext w:val="0"/>
              <w:keepLines w:val="0"/>
              <w:pageBreakBefore w:val="0"/>
              <w:tabs>
                <w:tab w:val="left" w:pos="1016"/>
              </w:tabs>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lang w:bidi="zh-TW"/>
              </w:rPr>
            </w:pPr>
            <w:r>
              <w:rPr>
                <w:rFonts w:hint="default" w:ascii="Times New Roman" w:hAnsi="Times New Roman" w:eastAsia="宋体" w:cs="Times New Roman"/>
                <w:b w:val="0"/>
                <w:bCs w:val="0"/>
                <w:color w:val="000000"/>
                <w:sz w:val="24"/>
                <w:szCs w:val="24"/>
                <w:lang w:bidi="zh-TW"/>
              </w:rPr>
              <w:t>设备</w:t>
            </w:r>
          </w:p>
        </w:tc>
        <w:tc>
          <w:tcPr>
            <w:tcW w:w="3749" w:type="dxa"/>
            <w:vAlign w:val="center"/>
          </w:tcPr>
          <w:p w14:paraId="22DEC869">
            <w:pPr>
              <w:keepNext w:val="0"/>
              <w:keepLines w:val="0"/>
              <w:pageBreakBefore w:val="0"/>
              <w:kinsoku/>
              <w:overflowPunct/>
              <w:autoSpaceDE w:val="0"/>
              <w:autoSpaceDN w:val="0"/>
              <w:bidi w:val="0"/>
              <w:adjustRightInd/>
              <w:spacing w:before="113" w:line="280" w:lineRule="exact"/>
              <w:ind w:left="76"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000000"/>
                <w:kern w:val="0"/>
                <w:sz w:val="24"/>
                <w:szCs w:val="24"/>
              </w:rPr>
              <w:t>信息标志、警示标签、</w:t>
            </w:r>
            <w:r>
              <w:rPr>
                <w:rFonts w:hint="default" w:ascii="Times New Roman" w:hAnsi="Times New Roman" w:eastAsia="宋体" w:cs="Times New Roman"/>
                <w:b w:val="0"/>
                <w:bCs w:val="0"/>
                <w:kern w:val="0"/>
                <w:sz w:val="24"/>
                <w:szCs w:val="24"/>
              </w:rPr>
              <w:t>漆色</w:t>
            </w:r>
            <w:r>
              <w:rPr>
                <w:rFonts w:hint="default" w:ascii="Times New Roman" w:hAnsi="Times New Roman" w:eastAsia="宋体" w:cs="Times New Roman"/>
                <w:b w:val="0"/>
                <w:bCs w:val="0"/>
                <w:color w:val="000000"/>
                <w:kern w:val="0"/>
                <w:sz w:val="24"/>
                <w:szCs w:val="24"/>
              </w:rPr>
              <w:t>不符合要求</w:t>
            </w:r>
          </w:p>
        </w:tc>
        <w:tc>
          <w:tcPr>
            <w:tcW w:w="5146" w:type="dxa"/>
            <w:vAlign w:val="center"/>
          </w:tcPr>
          <w:p w14:paraId="008E1DD3">
            <w:pPr>
              <w:keepNext w:val="0"/>
              <w:keepLines w:val="0"/>
              <w:pageBreakBefore w:val="0"/>
              <w:tabs>
                <w:tab w:val="left" w:pos="1011"/>
              </w:tabs>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lang w:val="zh-TW" w:bidi="zh-TW"/>
              </w:rPr>
            </w:pPr>
            <w:r>
              <w:rPr>
                <w:rFonts w:hint="default" w:ascii="Times New Roman" w:hAnsi="Times New Roman" w:eastAsia="宋体" w:cs="Times New Roman"/>
                <w:b w:val="0"/>
                <w:bCs w:val="0"/>
                <w:color w:val="000000"/>
                <w:sz w:val="24"/>
                <w:szCs w:val="24"/>
                <w:lang w:bidi="zh-TW"/>
              </w:rPr>
              <w:t>1、</w:t>
            </w:r>
            <w:r>
              <w:rPr>
                <w:rFonts w:hint="default" w:ascii="Times New Roman" w:hAnsi="Times New Roman" w:eastAsia="宋体" w:cs="Times New Roman"/>
                <w:b w:val="0"/>
                <w:bCs w:val="0"/>
                <w:color w:val="000000"/>
                <w:sz w:val="24"/>
                <w:szCs w:val="24"/>
                <w:lang w:val="zh-TW" w:eastAsia="zh-TW" w:bidi="zh-TW"/>
              </w:rPr>
              <w:t>在充装检查合格的气瓶上，牢固粘贴充装产品合格标签，标签上</w:t>
            </w:r>
            <w:r>
              <w:rPr>
                <w:rFonts w:hint="default" w:ascii="Times New Roman" w:hAnsi="Times New Roman" w:eastAsia="宋体" w:cs="Times New Roman"/>
                <w:b w:val="0"/>
                <w:bCs w:val="0"/>
                <w:color w:val="000000"/>
                <w:sz w:val="24"/>
                <w:szCs w:val="24"/>
                <w:lang w:bidi="zh-TW"/>
              </w:rPr>
              <w:t>的内容应符合相应规定；</w:t>
            </w:r>
          </w:p>
          <w:p w14:paraId="42DF3335">
            <w:pPr>
              <w:keepNext w:val="0"/>
              <w:keepLines w:val="0"/>
              <w:pageBreakBefore w:val="0"/>
              <w:tabs>
                <w:tab w:val="left" w:pos="1002"/>
              </w:tabs>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lang w:eastAsia="zh-TW"/>
              </w:rPr>
            </w:pPr>
            <w:bookmarkStart w:id="70" w:name="bookmark490"/>
            <w:bookmarkEnd w:id="70"/>
            <w:r>
              <w:rPr>
                <w:rFonts w:hint="default" w:ascii="Times New Roman" w:hAnsi="Times New Roman" w:eastAsia="宋体" w:cs="Times New Roman"/>
                <w:b w:val="0"/>
                <w:bCs w:val="0"/>
                <w:color w:val="000000"/>
                <w:sz w:val="24"/>
                <w:szCs w:val="24"/>
                <w:lang w:bidi="zh-TW"/>
              </w:rPr>
              <w:t>2、</w:t>
            </w:r>
            <w:r>
              <w:rPr>
                <w:rFonts w:hint="default" w:ascii="Times New Roman" w:hAnsi="Times New Roman" w:eastAsia="宋体" w:cs="Times New Roman"/>
                <w:b w:val="0"/>
                <w:bCs w:val="0"/>
                <w:color w:val="000000"/>
                <w:sz w:val="24"/>
                <w:szCs w:val="24"/>
                <w:lang w:val="zh-TW" w:eastAsia="zh-TW" w:bidi="zh-TW"/>
              </w:rPr>
              <w:t>在充装气瓶上标示警示标签，式样、制作方法和使用应当符合</w:t>
            </w:r>
            <w:r>
              <w:rPr>
                <w:rFonts w:hint="default" w:ascii="Times New Roman" w:hAnsi="Times New Roman" w:eastAsia="宋体" w:cs="Times New Roman"/>
                <w:b w:val="0"/>
                <w:bCs w:val="0"/>
                <w:color w:val="000000"/>
                <w:sz w:val="24"/>
                <w:szCs w:val="24"/>
                <w:lang w:bidi="zh-TW"/>
              </w:rPr>
              <w:t>相关</w:t>
            </w:r>
            <w:r>
              <w:rPr>
                <w:rFonts w:hint="default" w:ascii="Times New Roman" w:hAnsi="Times New Roman" w:eastAsia="宋体" w:cs="Times New Roman"/>
                <w:b w:val="0"/>
                <w:bCs w:val="0"/>
                <w:color w:val="000000"/>
                <w:sz w:val="24"/>
                <w:szCs w:val="24"/>
                <w:lang w:val="zh-TW" w:eastAsia="zh-TW" w:bidi="zh-TW"/>
              </w:rPr>
              <w:t>要求。燃气</w:t>
            </w:r>
            <w:r>
              <w:rPr>
                <w:rFonts w:hint="default" w:ascii="Times New Roman" w:hAnsi="Times New Roman" w:eastAsia="宋体" w:cs="Times New Roman"/>
                <w:b w:val="0"/>
                <w:bCs w:val="0"/>
                <w:color w:val="000000"/>
                <w:sz w:val="24"/>
                <w:szCs w:val="24"/>
                <w:lang w:bidi="zh-TW"/>
              </w:rPr>
              <w:t>气瓶</w:t>
            </w:r>
            <w:r>
              <w:rPr>
                <w:rFonts w:hint="default" w:ascii="Times New Roman" w:hAnsi="Times New Roman" w:eastAsia="宋体" w:cs="Times New Roman"/>
                <w:b w:val="0"/>
                <w:bCs w:val="0"/>
                <w:color w:val="000000"/>
                <w:sz w:val="24"/>
                <w:szCs w:val="24"/>
                <w:lang w:val="zh-TW" w:eastAsia="zh-TW" w:bidi="zh-TW"/>
              </w:rPr>
              <w:t>警示标签上应当注明</w:t>
            </w:r>
            <w:r>
              <w:rPr>
                <w:rFonts w:hint="default" w:ascii="Times New Roman" w:hAnsi="Times New Roman" w:eastAsia="宋体" w:cs="Times New Roman"/>
                <w:b w:val="0"/>
                <w:bCs w:val="0"/>
                <w:color w:val="000000"/>
                <w:sz w:val="24"/>
                <w:szCs w:val="24"/>
                <w:lang w:val="zh-CN" w:bidi="zh-CN"/>
              </w:rPr>
              <w:t>“人</w:t>
            </w:r>
            <w:r>
              <w:rPr>
                <w:rFonts w:hint="default" w:ascii="Times New Roman" w:hAnsi="Times New Roman" w:eastAsia="宋体" w:cs="Times New Roman"/>
                <w:b w:val="0"/>
                <w:bCs w:val="0"/>
                <w:color w:val="000000"/>
                <w:sz w:val="24"/>
                <w:szCs w:val="24"/>
                <w:lang w:val="zh-TW" w:eastAsia="zh-TW" w:bidi="zh-TW"/>
              </w:rPr>
              <w:t>员密集的室内禁用”字样</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val="zh-TW" w:eastAsia="zh-TW" w:bidi="zh-TW"/>
              </w:rPr>
              <w:br w:type="textWrapping"/>
            </w:r>
            <w:r>
              <w:rPr>
                <w:rFonts w:hint="default" w:ascii="Times New Roman" w:hAnsi="Times New Roman" w:eastAsia="宋体" w:cs="Times New Roman"/>
                <w:b w:val="0"/>
                <w:bCs w:val="0"/>
                <w:color w:val="000000"/>
                <w:sz w:val="24"/>
                <w:szCs w:val="24"/>
                <w:lang w:val="zh-TW" w:bidi="zh-TW"/>
              </w:rPr>
              <w:t>3</w:t>
            </w:r>
            <w:r>
              <w:rPr>
                <w:rFonts w:hint="default" w:ascii="Times New Roman" w:hAnsi="Times New Roman" w:eastAsia="宋体" w:cs="Times New Roman"/>
                <w:b w:val="0"/>
                <w:bCs w:val="0"/>
                <w:color w:val="000000"/>
                <w:sz w:val="24"/>
                <w:szCs w:val="24"/>
                <w:lang w:val="zh-TW" w:eastAsia="zh-TW" w:bidi="zh-TW"/>
              </w:rPr>
              <w:t>.</w:t>
            </w:r>
            <w:r>
              <w:rPr>
                <w:rFonts w:hint="default" w:ascii="Times New Roman" w:hAnsi="Times New Roman" w:eastAsia="宋体" w:cs="Times New Roman"/>
                <w:b w:val="0"/>
                <w:bCs w:val="0"/>
                <w:kern w:val="0"/>
                <w:sz w:val="24"/>
                <w:szCs w:val="24"/>
              </w:rPr>
              <w:t>充装气瓶的漆色应符合相关规定</w:t>
            </w:r>
          </w:p>
        </w:tc>
        <w:tc>
          <w:tcPr>
            <w:tcW w:w="1530" w:type="dxa"/>
            <w:tcBorders>
              <w:bottom w:val="single" w:color="auto" w:sz="4" w:space="0"/>
            </w:tcBorders>
            <w:vAlign w:val="center"/>
          </w:tcPr>
          <w:p w14:paraId="573EF7A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bottom w:val="single" w:color="auto" w:sz="4" w:space="0"/>
            </w:tcBorders>
            <w:vAlign w:val="center"/>
          </w:tcPr>
          <w:p w14:paraId="5CB22AB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23A1BBA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0FCEE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824" w:type="dxa"/>
            <w:tcBorders>
              <w:bottom w:val="single" w:color="auto" w:sz="4" w:space="0"/>
            </w:tcBorders>
            <w:vAlign w:val="center"/>
          </w:tcPr>
          <w:p w14:paraId="647CE7D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22</w:t>
            </w:r>
          </w:p>
        </w:tc>
        <w:tc>
          <w:tcPr>
            <w:tcW w:w="1358" w:type="dxa"/>
            <w:vMerge w:val="continue"/>
            <w:vAlign w:val="center"/>
          </w:tcPr>
          <w:p w14:paraId="51BB226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p>
        </w:tc>
        <w:tc>
          <w:tcPr>
            <w:tcW w:w="3749" w:type="dxa"/>
            <w:vAlign w:val="center"/>
          </w:tcPr>
          <w:p w14:paraId="3B39586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lang w:val="zh-TW" w:eastAsia="zh-TW" w:bidi="zh-TW"/>
              </w:rPr>
              <w:t>充装前</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bidi="zh-TW"/>
              </w:rPr>
              <w:t>后</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bidi="zh-TW"/>
              </w:rPr>
              <w:t>，未</w:t>
            </w:r>
            <w:r>
              <w:rPr>
                <w:rFonts w:hint="default" w:ascii="Times New Roman" w:hAnsi="Times New Roman" w:eastAsia="宋体" w:cs="Times New Roman"/>
                <w:b w:val="0"/>
                <w:bCs w:val="0"/>
                <w:color w:val="000000"/>
                <w:sz w:val="24"/>
                <w:szCs w:val="24"/>
                <w:lang w:val="zh-TW" w:eastAsia="zh-TW" w:bidi="zh-TW"/>
              </w:rPr>
              <w:t>逐只对气瓶进行</w:t>
            </w:r>
            <w:r>
              <w:rPr>
                <w:rFonts w:hint="default" w:ascii="Times New Roman" w:hAnsi="Times New Roman" w:eastAsia="宋体" w:cs="Times New Roman"/>
                <w:b w:val="0"/>
                <w:bCs w:val="0"/>
                <w:color w:val="000000"/>
                <w:sz w:val="24"/>
                <w:szCs w:val="24"/>
                <w:lang w:val="zh-CN" w:bidi="zh-CN"/>
              </w:rPr>
              <w:t>检</w:t>
            </w:r>
            <w:r>
              <w:rPr>
                <w:rFonts w:hint="default" w:ascii="Times New Roman" w:hAnsi="Times New Roman" w:eastAsia="宋体" w:cs="Times New Roman"/>
                <w:b w:val="0"/>
                <w:bCs w:val="0"/>
                <w:color w:val="000000"/>
                <w:sz w:val="24"/>
                <w:szCs w:val="24"/>
                <w:lang w:bidi="zh-CN"/>
              </w:rPr>
              <w:t>查</w:t>
            </w:r>
            <w:r>
              <w:rPr>
                <w:rFonts w:hint="default" w:ascii="Times New Roman" w:hAnsi="Times New Roman" w:eastAsia="宋体" w:cs="Times New Roman"/>
                <w:b w:val="0"/>
                <w:bCs w:val="0"/>
                <w:color w:val="000000"/>
                <w:sz w:val="24"/>
                <w:szCs w:val="24"/>
                <w:lang w:val="zh-CN" w:bidi="zh-CN"/>
              </w:rPr>
              <w:t>.</w:t>
            </w:r>
            <w:r>
              <w:rPr>
                <w:rFonts w:hint="default" w:ascii="Times New Roman" w:hAnsi="Times New Roman" w:eastAsia="宋体" w:cs="Times New Roman"/>
                <w:b w:val="0"/>
                <w:bCs w:val="0"/>
                <w:color w:val="000000"/>
                <w:sz w:val="24"/>
                <w:szCs w:val="24"/>
                <w:lang w:bidi="zh-TW"/>
              </w:rPr>
              <w:t>并</w:t>
            </w:r>
            <w:r>
              <w:rPr>
                <w:rFonts w:hint="default" w:ascii="Times New Roman" w:hAnsi="Times New Roman" w:eastAsia="宋体" w:cs="Times New Roman"/>
                <w:b w:val="0"/>
                <w:bCs w:val="0"/>
                <w:color w:val="000000"/>
                <w:sz w:val="24"/>
                <w:szCs w:val="24"/>
                <w:lang w:val="zh-TW" w:eastAsia="zh-TW" w:bidi="zh-TW"/>
              </w:rPr>
              <w:t>且填写检查记录</w:t>
            </w:r>
            <w:r>
              <w:rPr>
                <w:rFonts w:hint="default" w:ascii="Times New Roman" w:hAnsi="Times New Roman" w:eastAsia="宋体" w:cs="Times New Roman"/>
                <w:b w:val="0"/>
                <w:bCs w:val="0"/>
                <w:color w:val="000000"/>
                <w:sz w:val="24"/>
                <w:szCs w:val="24"/>
                <w:lang w:bidi="zh-TW"/>
              </w:rPr>
              <w:t>的。</w:t>
            </w:r>
          </w:p>
        </w:tc>
        <w:tc>
          <w:tcPr>
            <w:tcW w:w="5146" w:type="dxa"/>
            <w:vAlign w:val="center"/>
          </w:tcPr>
          <w:p w14:paraId="0CC86E8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lang w:bidi="zh-TW"/>
              </w:rPr>
            </w:pPr>
            <w:r>
              <w:rPr>
                <w:rFonts w:hint="default" w:ascii="Times New Roman" w:hAnsi="Times New Roman" w:eastAsia="宋体" w:cs="Times New Roman"/>
                <w:b w:val="0"/>
                <w:bCs w:val="0"/>
                <w:color w:val="000000"/>
                <w:sz w:val="24"/>
                <w:szCs w:val="24"/>
                <w:lang w:val="zh-TW" w:eastAsia="zh-TW" w:bidi="zh-TW"/>
              </w:rPr>
              <w:t>充装前</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bidi="zh-TW"/>
              </w:rPr>
              <w:t>后</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bidi="zh-TW"/>
              </w:rPr>
              <w:t>，</w:t>
            </w:r>
            <w:r>
              <w:rPr>
                <w:rFonts w:hint="default" w:ascii="Times New Roman" w:hAnsi="Times New Roman" w:eastAsia="宋体" w:cs="Times New Roman"/>
                <w:b w:val="0"/>
                <w:bCs w:val="0"/>
                <w:color w:val="000000"/>
                <w:sz w:val="24"/>
                <w:szCs w:val="24"/>
                <w:lang w:val="zh-TW" w:eastAsia="zh-TW" w:bidi="zh-TW"/>
              </w:rPr>
              <w:t>逐只对气瓶进行</w:t>
            </w:r>
            <w:r>
              <w:rPr>
                <w:rFonts w:hint="default" w:ascii="Times New Roman" w:hAnsi="Times New Roman" w:eastAsia="宋体" w:cs="Times New Roman"/>
                <w:b w:val="0"/>
                <w:bCs w:val="0"/>
                <w:color w:val="000000"/>
                <w:sz w:val="24"/>
                <w:szCs w:val="24"/>
                <w:lang w:val="zh-CN" w:bidi="zh-CN"/>
              </w:rPr>
              <w:t>检</w:t>
            </w:r>
            <w:r>
              <w:rPr>
                <w:rFonts w:hint="default" w:ascii="Times New Roman" w:hAnsi="Times New Roman" w:eastAsia="宋体" w:cs="Times New Roman"/>
                <w:b w:val="0"/>
                <w:bCs w:val="0"/>
                <w:color w:val="000000"/>
                <w:sz w:val="24"/>
                <w:szCs w:val="24"/>
                <w:lang w:bidi="zh-CN"/>
              </w:rPr>
              <w:t>查</w:t>
            </w:r>
            <w:r>
              <w:rPr>
                <w:rFonts w:hint="default" w:ascii="Times New Roman" w:hAnsi="Times New Roman" w:eastAsia="宋体" w:cs="Times New Roman"/>
                <w:b w:val="0"/>
                <w:bCs w:val="0"/>
                <w:color w:val="000000"/>
                <w:sz w:val="24"/>
                <w:szCs w:val="24"/>
                <w:lang w:val="zh-CN" w:bidi="zh-CN"/>
              </w:rPr>
              <w:t>.</w:t>
            </w:r>
            <w:r>
              <w:rPr>
                <w:rFonts w:hint="default" w:ascii="Times New Roman" w:hAnsi="Times New Roman" w:eastAsia="宋体" w:cs="Times New Roman"/>
                <w:b w:val="0"/>
                <w:bCs w:val="0"/>
                <w:color w:val="000000"/>
                <w:sz w:val="24"/>
                <w:szCs w:val="24"/>
                <w:lang w:bidi="zh-TW"/>
              </w:rPr>
              <w:t>并</w:t>
            </w:r>
            <w:r>
              <w:rPr>
                <w:rFonts w:hint="default" w:ascii="Times New Roman" w:hAnsi="Times New Roman" w:eastAsia="宋体" w:cs="Times New Roman"/>
                <w:b w:val="0"/>
                <w:bCs w:val="0"/>
                <w:color w:val="000000"/>
                <w:sz w:val="24"/>
                <w:szCs w:val="24"/>
                <w:lang w:val="zh-TW" w:eastAsia="zh-TW" w:bidi="zh-TW"/>
              </w:rPr>
              <w:t>且填写检查记录</w:t>
            </w:r>
            <w:r>
              <w:rPr>
                <w:rFonts w:hint="default" w:ascii="Times New Roman" w:hAnsi="Times New Roman" w:eastAsia="宋体" w:cs="Times New Roman"/>
                <w:b w:val="0"/>
                <w:bCs w:val="0"/>
                <w:color w:val="000000"/>
                <w:sz w:val="24"/>
                <w:szCs w:val="24"/>
                <w:lang w:bidi="zh-TW"/>
              </w:rPr>
              <w:t>。</w:t>
            </w:r>
          </w:p>
        </w:tc>
        <w:tc>
          <w:tcPr>
            <w:tcW w:w="1530" w:type="dxa"/>
            <w:tcBorders>
              <w:top w:val="single" w:color="auto" w:sz="4" w:space="0"/>
              <w:bottom w:val="single" w:color="auto" w:sz="4" w:space="0"/>
            </w:tcBorders>
            <w:vAlign w:val="center"/>
          </w:tcPr>
          <w:p w14:paraId="0860D2F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日管控</w:t>
            </w:r>
          </w:p>
        </w:tc>
        <w:tc>
          <w:tcPr>
            <w:tcW w:w="1245" w:type="dxa"/>
            <w:tcBorders>
              <w:top w:val="single" w:color="auto" w:sz="4" w:space="0"/>
              <w:bottom w:val="single" w:color="auto" w:sz="4" w:space="0"/>
            </w:tcBorders>
            <w:vAlign w:val="center"/>
          </w:tcPr>
          <w:p w14:paraId="00F06AF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3737CD7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74CCC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824" w:type="dxa"/>
            <w:tcBorders>
              <w:top w:val="single" w:color="auto" w:sz="4" w:space="0"/>
            </w:tcBorders>
            <w:vAlign w:val="center"/>
          </w:tcPr>
          <w:p w14:paraId="6C0C58A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4"/>
              </w:rPr>
            </w:pPr>
            <w:r>
              <w:rPr>
                <w:rFonts w:hint="default" w:ascii="Times New Roman" w:hAnsi="Times New Roman" w:eastAsia="宋体" w:cs="Times New Roman"/>
                <w:b w:val="0"/>
                <w:bCs w:val="0"/>
                <w:color w:val="000000"/>
                <w:kern w:val="0"/>
                <w:sz w:val="24"/>
                <w:szCs w:val="24"/>
              </w:rPr>
              <w:t>23</w:t>
            </w:r>
          </w:p>
        </w:tc>
        <w:tc>
          <w:tcPr>
            <w:tcW w:w="1358" w:type="dxa"/>
            <w:vMerge w:val="continue"/>
            <w:vAlign w:val="center"/>
          </w:tcPr>
          <w:p w14:paraId="0FEB4FB3">
            <w:pPr>
              <w:keepNext w:val="0"/>
              <w:keepLines w:val="0"/>
              <w:pageBreakBefore w:val="0"/>
              <w:tabs>
                <w:tab w:val="left" w:pos="1016"/>
              </w:tabs>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lang w:bidi="zh-TW"/>
              </w:rPr>
            </w:pPr>
          </w:p>
        </w:tc>
        <w:tc>
          <w:tcPr>
            <w:tcW w:w="3749" w:type="dxa"/>
            <w:vAlign w:val="center"/>
          </w:tcPr>
          <w:p w14:paraId="25B95A03">
            <w:pPr>
              <w:keepNext w:val="0"/>
              <w:keepLines w:val="0"/>
              <w:pageBreakBefore w:val="0"/>
              <w:kinsoku/>
              <w:overflowPunct/>
              <w:autoSpaceDE w:val="0"/>
              <w:autoSpaceDN w:val="0"/>
              <w:bidi w:val="0"/>
              <w:adjustRightInd/>
              <w:spacing w:before="113" w:line="280" w:lineRule="exact"/>
              <w:ind w:left="76" w:leftChars="0" w:firstLine="0" w:firstLineChars="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kern w:val="0"/>
                <w:sz w:val="24"/>
                <w:szCs w:val="24"/>
              </w:rPr>
              <w:t>充装过程中，未进行检查，并且填写充装记录的。</w:t>
            </w:r>
          </w:p>
        </w:tc>
        <w:tc>
          <w:tcPr>
            <w:tcW w:w="5146" w:type="dxa"/>
            <w:vAlign w:val="center"/>
          </w:tcPr>
          <w:p w14:paraId="3836F66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lang w:bidi="zh-TW"/>
              </w:rPr>
            </w:pPr>
            <w:r>
              <w:rPr>
                <w:rFonts w:hint="default" w:ascii="Times New Roman" w:hAnsi="Times New Roman" w:eastAsia="宋体" w:cs="Times New Roman"/>
                <w:b w:val="0"/>
                <w:bCs w:val="0"/>
                <w:color w:val="000000"/>
                <w:sz w:val="24"/>
                <w:szCs w:val="24"/>
                <w:lang w:bidi="zh-TW"/>
              </w:rPr>
              <w:t>充装过程中，进行检查，并且填写充装记录</w:t>
            </w:r>
          </w:p>
        </w:tc>
        <w:tc>
          <w:tcPr>
            <w:tcW w:w="1530" w:type="dxa"/>
            <w:tcBorders>
              <w:top w:val="single" w:color="auto" w:sz="4" w:space="0"/>
              <w:bottom w:val="single" w:color="auto" w:sz="4" w:space="0"/>
            </w:tcBorders>
            <w:vAlign w:val="center"/>
          </w:tcPr>
          <w:p w14:paraId="22B13BC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日管控</w:t>
            </w:r>
          </w:p>
        </w:tc>
        <w:tc>
          <w:tcPr>
            <w:tcW w:w="1245" w:type="dxa"/>
            <w:tcBorders>
              <w:top w:val="single" w:color="auto" w:sz="4" w:space="0"/>
              <w:bottom w:val="single" w:color="auto" w:sz="4" w:space="0"/>
            </w:tcBorders>
            <w:vAlign w:val="center"/>
          </w:tcPr>
          <w:p w14:paraId="3A5B648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5448410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3AAA5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824" w:type="dxa"/>
            <w:vAlign w:val="center"/>
          </w:tcPr>
          <w:p w14:paraId="23047C1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24</w:t>
            </w:r>
          </w:p>
        </w:tc>
        <w:tc>
          <w:tcPr>
            <w:tcW w:w="1358" w:type="dxa"/>
            <w:vMerge w:val="continue"/>
            <w:vAlign w:val="center"/>
          </w:tcPr>
          <w:p w14:paraId="344D60BC">
            <w:pPr>
              <w:keepNext w:val="0"/>
              <w:keepLines w:val="0"/>
              <w:pageBreakBefore w:val="0"/>
              <w:tabs>
                <w:tab w:val="left" w:pos="1016"/>
              </w:tabs>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lang w:bidi="zh-TW"/>
              </w:rPr>
            </w:pPr>
          </w:p>
        </w:tc>
        <w:tc>
          <w:tcPr>
            <w:tcW w:w="3749" w:type="dxa"/>
            <w:vAlign w:val="center"/>
          </w:tcPr>
          <w:p w14:paraId="0385D69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充装改装、翻新、报废、超期未检、超过使用年限的气瓶</w:t>
            </w:r>
          </w:p>
        </w:tc>
        <w:tc>
          <w:tcPr>
            <w:tcW w:w="5146" w:type="dxa"/>
            <w:tcBorders>
              <w:bottom w:val="single" w:color="auto" w:sz="4" w:space="0"/>
            </w:tcBorders>
            <w:vAlign w:val="center"/>
          </w:tcPr>
          <w:p w14:paraId="5C03C2DE">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1.加强管理，严格落实充装前检查制度；</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2.对介质进行回收处理，气瓶隔离送检、报废</w:t>
            </w:r>
          </w:p>
        </w:tc>
        <w:tc>
          <w:tcPr>
            <w:tcW w:w="1530" w:type="dxa"/>
            <w:tcBorders>
              <w:top w:val="single" w:color="auto" w:sz="4" w:space="0"/>
              <w:bottom w:val="single" w:color="auto" w:sz="4" w:space="0"/>
            </w:tcBorders>
            <w:vAlign w:val="center"/>
          </w:tcPr>
          <w:p w14:paraId="5A05757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highlight w:val="yellow"/>
              </w:rPr>
            </w:pPr>
            <w:r>
              <w:rPr>
                <w:rFonts w:hint="default" w:ascii="Times New Roman" w:hAnsi="Times New Roman" w:eastAsia="宋体" w:cs="Times New Roman"/>
                <w:b w:val="0"/>
                <w:bCs w:val="0"/>
                <w:sz w:val="24"/>
                <w:szCs w:val="24"/>
              </w:rPr>
              <w:t>日管控</w:t>
            </w:r>
          </w:p>
        </w:tc>
        <w:tc>
          <w:tcPr>
            <w:tcW w:w="1245" w:type="dxa"/>
            <w:tcBorders>
              <w:top w:val="single" w:color="auto" w:sz="4" w:space="0"/>
              <w:bottom w:val="single" w:color="auto" w:sz="4" w:space="0"/>
            </w:tcBorders>
            <w:vAlign w:val="center"/>
          </w:tcPr>
          <w:p w14:paraId="66ABE35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633BEF9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6CEE8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2" w:hRule="atLeast"/>
        </w:trPr>
        <w:tc>
          <w:tcPr>
            <w:tcW w:w="824" w:type="dxa"/>
            <w:vAlign w:val="center"/>
          </w:tcPr>
          <w:p w14:paraId="73108C1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25</w:t>
            </w:r>
          </w:p>
        </w:tc>
        <w:tc>
          <w:tcPr>
            <w:tcW w:w="1358" w:type="dxa"/>
            <w:vMerge w:val="continue"/>
            <w:vAlign w:val="center"/>
          </w:tcPr>
          <w:p w14:paraId="5FD2341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p>
        </w:tc>
        <w:tc>
          <w:tcPr>
            <w:tcW w:w="3749" w:type="dxa"/>
            <w:vAlign w:val="center"/>
          </w:tcPr>
          <w:p w14:paraId="429A356C">
            <w:pPr>
              <w:keepNext w:val="0"/>
              <w:keepLines w:val="0"/>
              <w:pageBreakBefore w:val="0"/>
              <w:kinsoku/>
              <w:overflowPunct/>
              <w:autoSpaceDE w:val="0"/>
              <w:autoSpaceDN w:val="0"/>
              <w:bidi w:val="0"/>
              <w:adjustRightInd/>
              <w:spacing w:before="113"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充装未在本单位办理使用登记的气瓶（车用气瓶、非重复充装气瓶、呼吸用气瓶除外）</w:t>
            </w:r>
          </w:p>
        </w:tc>
        <w:tc>
          <w:tcPr>
            <w:tcW w:w="5146" w:type="dxa"/>
            <w:tcBorders>
              <w:top w:val="single" w:color="auto" w:sz="4" w:space="0"/>
              <w:bottom w:val="single" w:color="auto" w:sz="4" w:space="0"/>
            </w:tcBorders>
            <w:vAlign w:val="center"/>
          </w:tcPr>
          <w:p w14:paraId="0ECE193F">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kern w:val="0"/>
                <w:sz w:val="24"/>
                <w:szCs w:val="24"/>
              </w:rPr>
              <w:t>1.加强管理，严格落实充装前检查制度；</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2.严格按要求充装本单位办理使用登记的气瓶以及登记机关同意充装的气瓶</w:t>
            </w:r>
          </w:p>
        </w:tc>
        <w:tc>
          <w:tcPr>
            <w:tcW w:w="1530" w:type="dxa"/>
            <w:tcBorders>
              <w:top w:val="single" w:color="auto" w:sz="4" w:space="0"/>
              <w:bottom w:val="single" w:color="auto" w:sz="4" w:space="0"/>
            </w:tcBorders>
            <w:vAlign w:val="center"/>
          </w:tcPr>
          <w:p w14:paraId="47C3921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highlight w:val="yellow"/>
              </w:rPr>
            </w:pPr>
            <w:r>
              <w:rPr>
                <w:rFonts w:hint="default" w:ascii="Times New Roman" w:hAnsi="Times New Roman" w:eastAsia="宋体" w:cs="Times New Roman"/>
                <w:b w:val="0"/>
                <w:bCs w:val="0"/>
                <w:sz w:val="24"/>
                <w:szCs w:val="24"/>
              </w:rPr>
              <w:t>日管控</w:t>
            </w:r>
          </w:p>
        </w:tc>
        <w:tc>
          <w:tcPr>
            <w:tcW w:w="1245" w:type="dxa"/>
            <w:tcBorders>
              <w:top w:val="single" w:color="auto" w:sz="4" w:space="0"/>
              <w:bottom w:val="single" w:color="auto" w:sz="4" w:space="0"/>
            </w:tcBorders>
            <w:vAlign w:val="center"/>
          </w:tcPr>
          <w:p w14:paraId="5496F84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0230AF8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42382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7" w:hRule="atLeast"/>
        </w:trPr>
        <w:tc>
          <w:tcPr>
            <w:tcW w:w="824" w:type="dxa"/>
            <w:tcBorders>
              <w:bottom w:val="single" w:color="auto" w:sz="4" w:space="0"/>
            </w:tcBorders>
            <w:vAlign w:val="center"/>
          </w:tcPr>
          <w:p w14:paraId="00788BA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26</w:t>
            </w:r>
          </w:p>
        </w:tc>
        <w:tc>
          <w:tcPr>
            <w:tcW w:w="1358" w:type="dxa"/>
            <w:vMerge w:val="continue"/>
            <w:vAlign w:val="center"/>
          </w:tcPr>
          <w:p w14:paraId="1B5BC6B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highlight w:val="yellow"/>
              </w:rPr>
            </w:pPr>
          </w:p>
        </w:tc>
        <w:tc>
          <w:tcPr>
            <w:tcW w:w="3749" w:type="dxa"/>
            <w:tcBorders>
              <w:bottom w:val="single" w:color="auto" w:sz="4" w:space="0"/>
            </w:tcBorders>
            <w:vAlign w:val="center"/>
          </w:tcPr>
          <w:p w14:paraId="4A47FA5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移动式压力容器直接向气瓶进行倒装或气瓶直接对其他气瓶倒装</w:t>
            </w:r>
          </w:p>
        </w:tc>
        <w:tc>
          <w:tcPr>
            <w:tcW w:w="5146" w:type="dxa"/>
            <w:tcBorders>
              <w:top w:val="single" w:color="auto" w:sz="4" w:space="0"/>
            </w:tcBorders>
            <w:vAlign w:val="center"/>
          </w:tcPr>
          <w:p w14:paraId="3F75B37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严格作业控制，除应急救援情况外，禁止移动式压力容器直接向气瓶进行倒装以及气瓶直接对其他气瓶倒装</w:t>
            </w:r>
          </w:p>
        </w:tc>
        <w:tc>
          <w:tcPr>
            <w:tcW w:w="1530" w:type="dxa"/>
            <w:tcBorders>
              <w:top w:val="single" w:color="auto" w:sz="4" w:space="0"/>
              <w:bottom w:val="single" w:color="auto" w:sz="4" w:space="0"/>
            </w:tcBorders>
            <w:vAlign w:val="center"/>
          </w:tcPr>
          <w:p w14:paraId="1EAA1D3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top w:val="single" w:color="auto" w:sz="4" w:space="0"/>
              <w:bottom w:val="single" w:color="auto" w:sz="4" w:space="0"/>
            </w:tcBorders>
            <w:vAlign w:val="center"/>
          </w:tcPr>
          <w:p w14:paraId="4858F27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34BF902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65605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824" w:type="dxa"/>
            <w:tcBorders>
              <w:bottom w:val="single" w:color="auto" w:sz="4" w:space="0"/>
            </w:tcBorders>
            <w:vAlign w:val="center"/>
          </w:tcPr>
          <w:p w14:paraId="5DBED59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27</w:t>
            </w:r>
          </w:p>
        </w:tc>
        <w:tc>
          <w:tcPr>
            <w:tcW w:w="1358" w:type="dxa"/>
            <w:vMerge w:val="continue"/>
            <w:vAlign w:val="center"/>
          </w:tcPr>
          <w:p w14:paraId="4F85867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highlight w:val="yellow"/>
              </w:rPr>
            </w:pPr>
          </w:p>
        </w:tc>
        <w:tc>
          <w:tcPr>
            <w:tcW w:w="3749" w:type="dxa"/>
            <w:tcBorders>
              <w:bottom w:val="single" w:color="auto" w:sz="4" w:space="0"/>
            </w:tcBorders>
            <w:vAlign w:val="center"/>
          </w:tcPr>
          <w:p w14:paraId="182641B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装卸用管不符合有关要求</w:t>
            </w:r>
          </w:p>
        </w:tc>
        <w:tc>
          <w:tcPr>
            <w:tcW w:w="5146" w:type="dxa"/>
            <w:vAlign w:val="center"/>
          </w:tcPr>
          <w:p w14:paraId="51B4E35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1.装卸用管定期进行耐压试验；</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2.装卸用管材质与介质相容；</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3.加强连接部位的检查</w:t>
            </w:r>
          </w:p>
        </w:tc>
        <w:tc>
          <w:tcPr>
            <w:tcW w:w="1530" w:type="dxa"/>
            <w:tcBorders>
              <w:top w:val="single" w:color="auto" w:sz="4" w:space="0"/>
              <w:bottom w:val="single" w:color="auto" w:sz="4" w:space="0"/>
            </w:tcBorders>
            <w:vAlign w:val="center"/>
          </w:tcPr>
          <w:p w14:paraId="27A2603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top w:val="single" w:color="auto" w:sz="4" w:space="0"/>
              <w:bottom w:val="single" w:color="auto" w:sz="4" w:space="0"/>
            </w:tcBorders>
            <w:vAlign w:val="center"/>
          </w:tcPr>
          <w:p w14:paraId="7C375BD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574EA31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6D862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bottom w:val="single" w:color="auto" w:sz="4" w:space="0"/>
            </w:tcBorders>
            <w:vAlign w:val="center"/>
          </w:tcPr>
          <w:p w14:paraId="42269E6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28</w:t>
            </w:r>
          </w:p>
        </w:tc>
        <w:tc>
          <w:tcPr>
            <w:tcW w:w="1358" w:type="dxa"/>
            <w:vMerge w:val="continue"/>
            <w:vAlign w:val="center"/>
          </w:tcPr>
          <w:p w14:paraId="50A719D7">
            <w:pPr>
              <w:keepNext w:val="0"/>
              <w:keepLines w:val="0"/>
              <w:pageBreakBefore w:val="0"/>
              <w:tabs>
                <w:tab w:val="left" w:pos="1016"/>
              </w:tabs>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lang w:bidi="zh-TW"/>
              </w:rPr>
            </w:pPr>
          </w:p>
        </w:tc>
        <w:tc>
          <w:tcPr>
            <w:tcW w:w="3749" w:type="dxa"/>
            <w:tcBorders>
              <w:bottom w:val="single" w:color="auto" w:sz="4" w:space="0"/>
            </w:tcBorders>
            <w:vAlign w:val="center"/>
          </w:tcPr>
          <w:p w14:paraId="0CE320A1">
            <w:pPr>
              <w:keepNext w:val="0"/>
              <w:keepLines w:val="0"/>
              <w:pageBreakBefore w:val="0"/>
              <w:tabs>
                <w:tab w:val="left" w:pos="1016"/>
              </w:tabs>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pacing w:val="6"/>
                <w:sz w:val="24"/>
                <w:szCs w:val="24"/>
              </w:rPr>
            </w:pPr>
            <w:r>
              <w:rPr>
                <w:rFonts w:hint="default" w:ascii="Times New Roman" w:hAnsi="Times New Roman" w:eastAsia="宋体" w:cs="Times New Roman"/>
                <w:b w:val="0"/>
                <w:bCs w:val="0"/>
                <w:color w:val="000000"/>
                <w:sz w:val="24"/>
                <w:szCs w:val="24"/>
                <w:lang w:bidi="zh-TW"/>
              </w:rPr>
              <w:t>未配备符合要求的气瓶</w:t>
            </w:r>
            <w:r>
              <w:rPr>
                <w:rFonts w:hint="default" w:ascii="Times New Roman" w:hAnsi="Times New Roman" w:eastAsia="宋体" w:cs="Times New Roman"/>
                <w:b w:val="0"/>
                <w:bCs w:val="0"/>
                <w:color w:val="000000"/>
                <w:sz w:val="24"/>
                <w:szCs w:val="24"/>
                <w:lang w:val="zh-TW" w:eastAsia="zh-TW" w:bidi="zh-TW"/>
              </w:rPr>
              <w:t>充装装置</w:t>
            </w:r>
          </w:p>
        </w:tc>
        <w:tc>
          <w:tcPr>
            <w:tcW w:w="5146" w:type="dxa"/>
            <w:vAlign w:val="center"/>
          </w:tcPr>
          <w:p w14:paraId="183F5C8F">
            <w:pPr>
              <w:keepNext w:val="0"/>
              <w:keepLines w:val="0"/>
              <w:pageBreakBefore w:val="0"/>
              <w:tabs>
                <w:tab w:val="left" w:pos="969"/>
              </w:tabs>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lang w:val="zh-TW" w:eastAsia="zh-TW" w:bidi="zh-TW"/>
              </w:rPr>
            </w:pPr>
            <w:r>
              <w:rPr>
                <w:rFonts w:hint="default" w:ascii="Times New Roman" w:hAnsi="Times New Roman" w:eastAsia="宋体" w:cs="Times New Roman"/>
                <w:b w:val="0"/>
                <w:bCs w:val="0"/>
                <w:color w:val="000000"/>
                <w:sz w:val="24"/>
                <w:szCs w:val="24"/>
                <w:lang w:bidi="zh-TW"/>
              </w:rPr>
              <w:t>1.</w:t>
            </w:r>
            <w:r>
              <w:rPr>
                <w:rFonts w:hint="default" w:ascii="Times New Roman" w:hAnsi="Times New Roman" w:eastAsia="宋体" w:cs="Times New Roman"/>
                <w:b w:val="0"/>
                <w:bCs w:val="0"/>
                <w:color w:val="000000"/>
                <w:sz w:val="24"/>
                <w:szCs w:val="24"/>
                <w:lang w:val="zh-TW" w:eastAsia="zh-TW" w:bidi="zh-TW"/>
              </w:rPr>
              <w:t>充装装置应当能够有效防止气体错装，必要时应当先抽真空再进行充装；</w:t>
            </w:r>
          </w:p>
          <w:p w14:paraId="156C2E81">
            <w:pPr>
              <w:keepNext w:val="0"/>
              <w:keepLines w:val="0"/>
              <w:pageBreakBefore w:val="0"/>
              <w:tabs>
                <w:tab w:val="left" w:pos="1016"/>
              </w:tabs>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00"/>
                <w:sz w:val="24"/>
                <w:szCs w:val="24"/>
                <w:lang w:val="zh-TW" w:bidi="zh-TW"/>
              </w:rPr>
            </w:pPr>
            <w:r>
              <w:rPr>
                <w:rFonts w:hint="default" w:ascii="Times New Roman" w:hAnsi="Times New Roman" w:eastAsia="宋体" w:cs="Times New Roman"/>
                <w:b w:val="0"/>
                <w:bCs w:val="0"/>
                <w:color w:val="000000"/>
                <w:sz w:val="24"/>
                <w:szCs w:val="24"/>
                <w:lang w:bidi="zh-TW"/>
              </w:rPr>
              <w:t>2.</w:t>
            </w:r>
            <w:r>
              <w:rPr>
                <w:rFonts w:hint="default" w:ascii="Times New Roman" w:hAnsi="Times New Roman" w:eastAsia="宋体" w:cs="Times New Roman"/>
                <w:b w:val="0"/>
                <w:bCs w:val="0"/>
                <w:color w:val="000000"/>
                <w:sz w:val="24"/>
                <w:szCs w:val="24"/>
                <w:lang w:val="zh-TW" w:eastAsia="zh-TW" w:bidi="zh-TW"/>
              </w:rPr>
              <w:t>充装高</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val="zh-TW" w:eastAsia="zh-TW" w:bidi="zh-TW"/>
              </w:rPr>
              <w:t>低</w:t>
            </w:r>
            <w:r>
              <w:rPr>
                <w:rFonts w:hint="default" w:ascii="Times New Roman" w:hAnsi="Times New Roman" w:eastAsia="宋体" w:cs="Times New Roman"/>
                <w:b w:val="0"/>
                <w:bCs w:val="0"/>
                <w:color w:val="000000"/>
                <w:sz w:val="24"/>
                <w:szCs w:val="24"/>
                <w:lang w:val="zh-TW" w:bidi="zh-TW"/>
              </w:rPr>
              <w:t>）</w:t>
            </w:r>
            <w:r>
              <w:rPr>
                <w:rFonts w:hint="default" w:ascii="Times New Roman" w:hAnsi="Times New Roman" w:eastAsia="宋体" w:cs="Times New Roman"/>
                <w:b w:val="0"/>
                <w:bCs w:val="0"/>
                <w:color w:val="000000"/>
                <w:sz w:val="24"/>
                <w:szCs w:val="24"/>
                <w:lang w:val="zh-TW" w:eastAsia="zh-TW" w:bidi="zh-TW"/>
              </w:rPr>
              <w:t>压液化气体、低温液化气体以及溶解</w:t>
            </w:r>
            <w:r>
              <w:rPr>
                <w:rFonts w:hint="default" w:ascii="Times New Roman" w:hAnsi="Times New Roman" w:eastAsia="宋体" w:cs="Times New Roman"/>
                <w:b w:val="0"/>
                <w:bCs w:val="0"/>
                <w:color w:val="000000"/>
                <w:sz w:val="24"/>
                <w:szCs w:val="24"/>
                <w:lang w:bidi="zh-TW"/>
              </w:rPr>
              <w:t>乙炔</w:t>
            </w:r>
            <w:r>
              <w:rPr>
                <w:rFonts w:hint="default" w:ascii="Times New Roman" w:hAnsi="Times New Roman" w:eastAsia="宋体" w:cs="Times New Roman"/>
                <w:b w:val="0"/>
                <w:bCs w:val="0"/>
                <w:color w:val="000000"/>
                <w:sz w:val="24"/>
                <w:szCs w:val="24"/>
                <w:lang w:val="zh-TW" w:eastAsia="zh-TW" w:bidi="zh-TW"/>
              </w:rPr>
              <w:t>气体时，所采用的称重衡器的最大称量值以及校验有效期应当符合相关计量规范或标准的要求</w:t>
            </w:r>
            <w:r>
              <w:rPr>
                <w:rFonts w:hint="default" w:ascii="Times New Roman" w:hAnsi="Times New Roman" w:eastAsia="宋体" w:cs="Times New Roman"/>
                <w:b w:val="0"/>
                <w:bCs w:val="0"/>
                <w:color w:val="000000"/>
                <w:sz w:val="24"/>
                <w:szCs w:val="24"/>
                <w:lang w:val="zh-TW" w:bidi="zh-TW"/>
              </w:rPr>
              <w:t>；</w:t>
            </w:r>
          </w:p>
          <w:p w14:paraId="25203864">
            <w:pPr>
              <w:keepNext w:val="0"/>
              <w:keepLines w:val="0"/>
              <w:pageBreakBefore w:val="0"/>
              <w:tabs>
                <w:tab w:val="left" w:pos="1016"/>
              </w:tabs>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000000"/>
                <w:sz w:val="24"/>
                <w:szCs w:val="24"/>
                <w:lang w:bidi="zh-TW"/>
              </w:rPr>
              <w:t>3.充装压缩气体、混合气体的压力计量仪表</w:t>
            </w:r>
            <w:r>
              <w:rPr>
                <w:rFonts w:hint="default" w:ascii="Times New Roman" w:hAnsi="Times New Roman" w:eastAsia="宋体" w:cs="Times New Roman"/>
                <w:b w:val="0"/>
                <w:bCs w:val="0"/>
                <w:color w:val="000000"/>
                <w:sz w:val="24"/>
                <w:szCs w:val="24"/>
                <w:lang w:val="zh-TW" w:eastAsia="zh-TW" w:bidi="zh-TW"/>
              </w:rPr>
              <w:t>校验有效期应当符合相关计量规范或标准的要求</w:t>
            </w:r>
          </w:p>
        </w:tc>
        <w:tc>
          <w:tcPr>
            <w:tcW w:w="1530" w:type="dxa"/>
            <w:tcBorders>
              <w:top w:val="single" w:color="auto" w:sz="4" w:space="0"/>
            </w:tcBorders>
            <w:vAlign w:val="center"/>
          </w:tcPr>
          <w:p w14:paraId="51C8DE9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周排查</w:t>
            </w:r>
          </w:p>
        </w:tc>
        <w:tc>
          <w:tcPr>
            <w:tcW w:w="1245" w:type="dxa"/>
            <w:tcBorders>
              <w:top w:val="single" w:color="auto" w:sz="4" w:space="0"/>
            </w:tcBorders>
            <w:vAlign w:val="center"/>
          </w:tcPr>
          <w:p w14:paraId="2AC4B02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000000"/>
                <w:sz w:val="24"/>
                <w:szCs w:val="24"/>
              </w:rPr>
              <w:t>安全总监</w:t>
            </w:r>
          </w:p>
        </w:tc>
        <w:tc>
          <w:tcPr>
            <w:tcW w:w="890" w:type="dxa"/>
            <w:vAlign w:val="center"/>
          </w:tcPr>
          <w:p w14:paraId="071125F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23503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824" w:type="dxa"/>
            <w:tcBorders>
              <w:bottom w:val="single" w:color="auto" w:sz="4" w:space="0"/>
            </w:tcBorders>
            <w:vAlign w:val="center"/>
          </w:tcPr>
          <w:p w14:paraId="0B38F17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29</w:t>
            </w:r>
          </w:p>
        </w:tc>
        <w:tc>
          <w:tcPr>
            <w:tcW w:w="1358" w:type="dxa"/>
            <w:vMerge w:val="continue"/>
            <w:vAlign w:val="center"/>
          </w:tcPr>
          <w:p w14:paraId="1F8EEC6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c>
          <w:tcPr>
            <w:tcW w:w="3749" w:type="dxa"/>
            <w:tcBorders>
              <w:bottom w:val="single" w:color="auto" w:sz="4" w:space="0"/>
            </w:tcBorders>
            <w:vAlign w:val="center"/>
          </w:tcPr>
          <w:p w14:paraId="3EA10CCF">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pacing w:val="6"/>
                <w:sz w:val="24"/>
                <w:szCs w:val="24"/>
              </w:rPr>
            </w:pPr>
            <w:r>
              <w:rPr>
                <w:rFonts w:hint="default" w:ascii="Times New Roman" w:hAnsi="Times New Roman" w:eastAsia="宋体" w:cs="Times New Roman"/>
                <w:b w:val="0"/>
                <w:bCs w:val="0"/>
                <w:kern w:val="0"/>
                <w:sz w:val="24"/>
                <w:szCs w:val="24"/>
              </w:rPr>
              <w:t>未按要求装设紧急切断系统</w:t>
            </w:r>
          </w:p>
        </w:tc>
        <w:tc>
          <w:tcPr>
            <w:tcW w:w="5146" w:type="dxa"/>
            <w:vAlign w:val="center"/>
          </w:tcPr>
          <w:p w14:paraId="5452A0F7">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kern w:val="0"/>
                <w:sz w:val="24"/>
                <w:szCs w:val="24"/>
              </w:rPr>
              <w:t>装设紧急切断系统并定期调试</w:t>
            </w:r>
          </w:p>
        </w:tc>
        <w:tc>
          <w:tcPr>
            <w:tcW w:w="1530" w:type="dxa"/>
            <w:vAlign w:val="center"/>
          </w:tcPr>
          <w:p w14:paraId="4D3D58A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sz w:val="24"/>
                <w:szCs w:val="24"/>
              </w:rPr>
              <w:t>周排查</w:t>
            </w:r>
          </w:p>
        </w:tc>
        <w:tc>
          <w:tcPr>
            <w:tcW w:w="1245" w:type="dxa"/>
            <w:vAlign w:val="center"/>
          </w:tcPr>
          <w:p w14:paraId="41B4207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FF0000"/>
                <w:sz w:val="24"/>
                <w:szCs w:val="24"/>
              </w:rPr>
            </w:pPr>
            <w:r>
              <w:rPr>
                <w:rFonts w:hint="default" w:ascii="Times New Roman" w:hAnsi="Times New Roman" w:eastAsia="宋体" w:cs="Times New Roman"/>
                <w:b w:val="0"/>
                <w:bCs w:val="0"/>
                <w:color w:val="000000"/>
                <w:sz w:val="24"/>
                <w:szCs w:val="24"/>
              </w:rPr>
              <w:t>安全总监</w:t>
            </w:r>
          </w:p>
        </w:tc>
        <w:tc>
          <w:tcPr>
            <w:tcW w:w="890" w:type="dxa"/>
            <w:vAlign w:val="center"/>
          </w:tcPr>
          <w:p w14:paraId="7086AF7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06A7E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bottom w:val="single" w:color="auto" w:sz="4" w:space="0"/>
            </w:tcBorders>
            <w:vAlign w:val="center"/>
          </w:tcPr>
          <w:p w14:paraId="75465A5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30</w:t>
            </w:r>
          </w:p>
        </w:tc>
        <w:tc>
          <w:tcPr>
            <w:tcW w:w="1358" w:type="dxa"/>
            <w:vMerge w:val="continue"/>
            <w:vAlign w:val="center"/>
          </w:tcPr>
          <w:p w14:paraId="24A4861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c>
          <w:tcPr>
            <w:tcW w:w="3749" w:type="dxa"/>
            <w:tcBorders>
              <w:bottom w:val="single" w:color="auto" w:sz="4" w:space="0"/>
            </w:tcBorders>
            <w:vAlign w:val="center"/>
          </w:tcPr>
          <w:p w14:paraId="6C79B98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所使用的压力容器、压力管道等特种设备未办理使用登记的，超过使用年限的，超过检验有效期的，安全附件超过校验有效期的</w:t>
            </w:r>
          </w:p>
        </w:tc>
        <w:tc>
          <w:tcPr>
            <w:tcW w:w="5146" w:type="dxa"/>
            <w:vAlign w:val="center"/>
          </w:tcPr>
          <w:p w14:paraId="6194F2D4">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对所使用的压力容器、压力管道等特种设备办理使用登记证和落实定期检验、校验</w:t>
            </w:r>
          </w:p>
          <w:p w14:paraId="73A21591">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kern w:val="0"/>
                <w:sz w:val="24"/>
                <w:szCs w:val="24"/>
              </w:rPr>
            </w:pPr>
          </w:p>
        </w:tc>
        <w:tc>
          <w:tcPr>
            <w:tcW w:w="1530" w:type="dxa"/>
            <w:vAlign w:val="center"/>
          </w:tcPr>
          <w:p w14:paraId="0B03ACE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vAlign w:val="center"/>
          </w:tcPr>
          <w:p w14:paraId="4304CCB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0D75097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1115A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9" w:hRule="atLeast"/>
        </w:trPr>
        <w:tc>
          <w:tcPr>
            <w:tcW w:w="824" w:type="dxa"/>
            <w:tcBorders>
              <w:bottom w:val="single" w:color="auto" w:sz="4" w:space="0"/>
            </w:tcBorders>
            <w:vAlign w:val="center"/>
          </w:tcPr>
          <w:p w14:paraId="01A1CB0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31</w:t>
            </w:r>
          </w:p>
        </w:tc>
        <w:tc>
          <w:tcPr>
            <w:tcW w:w="1358" w:type="dxa"/>
            <w:vMerge w:val="continue"/>
            <w:vAlign w:val="center"/>
          </w:tcPr>
          <w:p w14:paraId="3FD36E6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c>
          <w:tcPr>
            <w:tcW w:w="3749" w:type="dxa"/>
            <w:tcBorders>
              <w:bottom w:val="single" w:color="auto" w:sz="4" w:space="0"/>
            </w:tcBorders>
            <w:vAlign w:val="center"/>
          </w:tcPr>
          <w:p w14:paraId="543C8A87">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kern w:val="0"/>
                <w:sz w:val="24"/>
                <w:szCs w:val="24"/>
              </w:rPr>
              <w:t>易燃有毒气体充装未配备气瓶识读锁枪功能</w:t>
            </w:r>
          </w:p>
        </w:tc>
        <w:tc>
          <w:tcPr>
            <w:tcW w:w="5146" w:type="dxa"/>
            <w:vAlign w:val="center"/>
          </w:tcPr>
          <w:p w14:paraId="68F20077">
            <w:pPr>
              <w:keepNext w:val="0"/>
              <w:keepLines w:val="0"/>
              <w:pageBreakBefore w:val="0"/>
              <w:kinsoku/>
              <w:overflowPunct/>
              <w:autoSpaceDE w:val="0"/>
              <w:autoSpaceDN w:val="0"/>
              <w:bidi w:val="0"/>
              <w:adjustRightInd/>
              <w:spacing w:before="69" w:line="280" w:lineRule="exact"/>
              <w:ind w:left="28"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易燃有毒气体的充装设施应具备识读本单位经使用登记气瓶功能，非本单位气瓶应锁定充装枪</w:t>
            </w:r>
          </w:p>
        </w:tc>
        <w:tc>
          <w:tcPr>
            <w:tcW w:w="1530" w:type="dxa"/>
            <w:vAlign w:val="center"/>
          </w:tcPr>
          <w:p w14:paraId="7FD9DB9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vAlign w:val="center"/>
          </w:tcPr>
          <w:p w14:paraId="2F4831F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57DF47F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r>
      <w:tr w14:paraId="3FC53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bottom w:val="single" w:color="auto" w:sz="4" w:space="0"/>
            </w:tcBorders>
            <w:vAlign w:val="center"/>
          </w:tcPr>
          <w:p w14:paraId="7C4FF73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32</w:t>
            </w:r>
          </w:p>
        </w:tc>
        <w:tc>
          <w:tcPr>
            <w:tcW w:w="1358" w:type="dxa"/>
            <w:vMerge w:val="restart"/>
            <w:vAlign w:val="center"/>
          </w:tcPr>
          <w:p w14:paraId="1694A7B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安全泄压装置及安全附件</w:t>
            </w:r>
          </w:p>
        </w:tc>
        <w:tc>
          <w:tcPr>
            <w:tcW w:w="3749" w:type="dxa"/>
            <w:tcBorders>
              <w:bottom w:val="single" w:color="auto" w:sz="4" w:space="0"/>
            </w:tcBorders>
            <w:vAlign w:val="center"/>
          </w:tcPr>
          <w:p w14:paraId="4AB4FF7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气瓶安全泄压装置不符合有关要求</w:t>
            </w:r>
          </w:p>
        </w:tc>
        <w:tc>
          <w:tcPr>
            <w:tcW w:w="5146" w:type="dxa"/>
            <w:vAlign w:val="center"/>
          </w:tcPr>
          <w:p w14:paraId="319E9DD3">
            <w:pPr>
              <w:keepNext w:val="0"/>
              <w:keepLines w:val="0"/>
              <w:pageBreakBefore w:val="0"/>
              <w:numPr>
                <w:ilvl w:val="0"/>
                <w:numId w:val="31"/>
              </w:numPr>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及时更换安全泄压装置；</w:t>
            </w:r>
          </w:p>
          <w:p w14:paraId="1F5C0DC9">
            <w:pPr>
              <w:keepNext w:val="0"/>
              <w:keepLines w:val="0"/>
              <w:pageBreakBefore w:val="0"/>
              <w:numPr>
                <w:ilvl w:val="0"/>
                <w:numId w:val="31"/>
              </w:numPr>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安全阀定期校验</w:t>
            </w:r>
          </w:p>
        </w:tc>
        <w:tc>
          <w:tcPr>
            <w:tcW w:w="1530" w:type="dxa"/>
            <w:vMerge w:val="restart"/>
            <w:vAlign w:val="center"/>
          </w:tcPr>
          <w:p w14:paraId="4104A78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vMerge w:val="restart"/>
            <w:vAlign w:val="center"/>
          </w:tcPr>
          <w:p w14:paraId="28D363A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6BEFF04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3178D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tcBorders>
              <w:bottom w:val="single" w:color="auto" w:sz="4" w:space="0"/>
            </w:tcBorders>
            <w:vAlign w:val="center"/>
          </w:tcPr>
          <w:p w14:paraId="15BB63B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33</w:t>
            </w:r>
          </w:p>
        </w:tc>
        <w:tc>
          <w:tcPr>
            <w:tcW w:w="1358" w:type="dxa"/>
            <w:vMerge w:val="continue"/>
            <w:tcBorders>
              <w:bottom w:val="single" w:color="auto" w:sz="4" w:space="0"/>
            </w:tcBorders>
            <w:vAlign w:val="center"/>
          </w:tcPr>
          <w:p w14:paraId="55C6BFC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highlight w:val="yellow"/>
              </w:rPr>
            </w:pPr>
          </w:p>
        </w:tc>
        <w:tc>
          <w:tcPr>
            <w:tcW w:w="3749" w:type="dxa"/>
            <w:tcBorders>
              <w:bottom w:val="single" w:color="auto" w:sz="4" w:space="0"/>
            </w:tcBorders>
            <w:vAlign w:val="center"/>
          </w:tcPr>
          <w:p w14:paraId="3EC23F1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气瓶安全仪表及安全附件不符合有关要求</w:t>
            </w:r>
          </w:p>
        </w:tc>
        <w:tc>
          <w:tcPr>
            <w:tcW w:w="5146" w:type="dxa"/>
            <w:vAlign w:val="center"/>
          </w:tcPr>
          <w:p w14:paraId="7967916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及时更换</w:t>
            </w:r>
            <w:r>
              <w:rPr>
                <w:rFonts w:hint="default" w:ascii="Times New Roman" w:hAnsi="Times New Roman" w:eastAsia="宋体" w:cs="Times New Roman"/>
                <w:b w:val="0"/>
                <w:bCs w:val="0"/>
                <w:spacing w:val="6"/>
                <w:sz w:val="24"/>
                <w:szCs w:val="24"/>
              </w:rPr>
              <w:t>仪表及安全附件</w:t>
            </w:r>
          </w:p>
        </w:tc>
        <w:tc>
          <w:tcPr>
            <w:tcW w:w="1530" w:type="dxa"/>
            <w:vMerge w:val="continue"/>
            <w:vAlign w:val="center"/>
          </w:tcPr>
          <w:p w14:paraId="7CF7E37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p>
        </w:tc>
        <w:tc>
          <w:tcPr>
            <w:tcW w:w="1245" w:type="dxa"/>
            <w:vMerge w:val="continue"/>
            <w:vAlign w:val="center"/>
          </w:tcPr>
          <w:p w14:paraId="03CB540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p>
        </w:tc>
        <w:tc>
          <w:tcPr>
            <w:tcW w:w="890" w:type="dxa"/>
            <w:vAlign w:val="center"/>
          </w:tcPr>
          <w:p w14:paraId="1BD8BC4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09B31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7" w:hRule="atLeast"/>
        </w:trPr>
        <w:tc>
          <w:tcPr>
            <w:tcW w:w="824" w:type="dxa"/>
            <w:vAlign w:val="center"/>
          </w:tcPr>
          <w:p w14:paraId="7CD1668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34</w:t>
            </w:r>
          </w:p>
        </w:tc>
        <w:tc>
          <w:tcPr>
            <w:tcW w:w="1358" w:type="dxa"/>
            <w:vMerge w:val="restart"/>
            <w:tcBorders>
              <w:top w:val="single" w:color="auto" w:sz="4" w:space="0"/>
            </w:tcBorders>
            <w:vAlign w:val="center"/>
          </w:tcPr>
          <w:p w14:paraId="399F6577">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lang w:eastAsia="en-US"/>
              </w:rPr>
            </w:pPr>
            <w:r>
              <w:rPr>
                <w:rFonts w:hint="default" w:ascii="Times New Roman" w:hAnsi="Times New Roman" w:eastAsia="宋体" w:cs="Times New Roman"/>
                <w:b w:val="0"/>
                <w:bCs w:val="0"/>
                <w:kern w:val="0"/>
                <w:sz w:val="24"/>
                <w:szCs w:val="24"/>
              </w:rPr>
              <w:t>环境</w:t>
            </w:r>
            <w:r>
              <w:rPr>
                <w:rFonts w:hint="default" w:ascii="Times New Roman" w:hAnsi="Times New Roman" w:eastAsia="宋体" w:cs="Times New Roman"/>
                <w:b w:val="0"/>
                <w:bCs w:val="0"/>
                <w:kern w:val="0"/>
                <w:sz w:val="24"/>
                <w:szCs w:val="24"/>
                <w:lang w:eastAsia="en-US"/>
              </w:rPr>
              <w:t>因素</w:t>
            </w:r>
          </w:p>
        </w:tc>
        <w:tc>
          <w:tcPr>
            <w:tcW w:w="3749" w:type="dxa"/>
            <w:vAlign w:val="center"/>
          </w:tcPr>
          <w:p w14:paraId="5E8E13F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pacing w:val="6"/>
                <w:sz w:val="24"/>
                <w:szCs w:val="24"/>
              </w:rPr>
              <w:t>在禁止卸载作业情境下（如恶劣天气、异常工况等）继续作业</w:t>
            </w:r>
          </w:p>
        </w:tc>
        <w:tc>
          <w:tcPr>
            <w:tcW w:w="5146" w:type="dxa"/>
            <w:vAlign w:val="center"/>
          </w:tcPr>
          <w:p w14:paraId="1A0E779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1.建立完善操作规程；</w:t>
            </w:r>
            <w:r>
              <w:rPr>
                <w:rFonts w:hint="default" w:ascii="Times New Roman" w:hAnsi="Times New Roman" w:eastAsia="宋体" w:cs="Times New Roman"/>
                <w:b w:val="0"/>
                <w:bCs w:val="0"/>
                <w:sz w:val="24"/>
                <w:szCs w:val="24"/>
              </w:rPr>
              <w:br w:type="textWrapping"/>
            </w:r>
            <w:r>
              <w:rPr>
                <w:rFonts w:hint="default" w:ascii="Times New Roman" w:hAnsi="Times New Roman" w:eastAsia="宋体" w:cs="Times New Roman"/>
                <w:b w:val="0"/>
                <w:bCs w:val="0"/>
                <w:sz w:val="24"/>
                <w:szCs w:val="24"/>
              </w:rPr>
              <w:t>2.加强人员培训并组织实施</w:t>
            </w:r>
          </w:p>
        </w:tc>
        <w:tc>
          <w:tcPr>
            <w:tcW w:w="1530" w:type="dxa"/>
            <w:vAlign w:val="center"/>
          </w:tcPr>
          <w:p w14:paraId="687D95A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vAlign w:val="center"/>
          </w:tcPr>
          <w:p w14:paraId="49C8177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2B235B3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4944B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824" w:type="dxa"/>
            <w:tcBorders>
              <w:bottom w:val="single" w:color="auto" w:sz="4" w:space="0"/>
            </w:tcBorders>
            <w:vAlign w:val="center"/>
          </w:tcPr>
          <w:p w14:paraId="5BB4B4D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35</w:t>
            </w:r>
          </w:p>
        </w:tc>
        <w:tc>
          <w:tcPr>
            <w:tcW w:w="1358" w:type="dxa"/>
            <w:vMerge w:val="continue"/>
            <w:vAlign w:val="center"/>
          </w:tcPr>
          <w:p w14:paraId="3BF0D016">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p>
        </w:tc>
        <w:tc>
          <w:tcPr>
            <w:tcW w:w="3749" w:type="dxa"/>
            <w:vAlign w:val="center"/>
          </w:tcPr>
          <w:p w14:paraId="6F6C648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z w:val="24"/>
                <w:szCs w:val="24"/>
              </w:rPr>
              <w:t>气体浓度监测报警装置不符合相关要求；</w:t>
            </w:r>
          </w:p>
        </w:tc>
        <w:tc>
          <w:tcPr>
            <w:tcW w:w="5146" w:type="dxa"/>
            <w:vAlign w:val="center"/>
          </w:tcPr>
          <w:p w14:paraId="4EE2B16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配备符合相关要求的气体浓度监测报警装置并定期校验</w:t>
            </w:r>
          </w:p>
        </w:tc>
        <w:tc>
          <w:tcPr>
            <w:tcW w:w="1530" w:type="dxa"/>
            <w:vAlign w:val="center"/>
          </w:tcPr>
          <w:p w14:paraId="1880A69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45" w:type="dxa"/>
            <w:vAlign w:val="center"/>
          </w:tcPr>
          <w:p w14:paraId="40BCE8F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90" w:type="dxa"/>
            <w:vAlign w:val="center"/>
          </w:tcPr>
          <w:p w14:paraId="52F229C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72942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exact"/>
        </w:trPr>
        <w:tc>
          <w:tcPr>
            <w:tcW w:w="824" w:type="dxa"/>
            <w:tcBorders>
              <w:top w:val="single" w:color="auto" w:sz="4" w:space="0"/>
            </w:tcBorders>
            <w:vAlign w:val="center"/>
          </w:tcPr>
          <w:p w14:paraId="1A449DD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36</w:t>
            </w:r>
          </w:p>
        </w:tc>
        <w:tc>
          <w:tcPr>
            <w:tcW w:w="1358" w:type="dxa"/>
            <w:vMerge w:val="continue"/>
            <w:vAlign w:val="center"/>
          </w:tcPr>
          <w:p w14:paraId="4BEED5BE">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lang w:eastAsia="en-US"/>
              </w:rPr>
            </w:pPr>
          </w:p>
        </w:tc>
        <w:tc>
          <w:tcPr>
            <w:tcW w:w="3749" w:type="dxa"/>
            <w:vAlign w:val="center"/>
          </w:tcPr>
          <w:p w14:paraId="62F8224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充装区域通风不畅、未遮阳</w:t>
            </w:r>
          </w:p>
        </w:tc>
        <w:tc>
          <w:tcPr>
            <w:tcW w:w="5146" w:type="dxa"/>
            <w:vAlign w:val="center"/>
          </w:tcPr>
          <w:p w14:paraId="7D5D5FD3">
            <w:pPr>
              <w:keepNext w:val="0"/>
              <w:keepLines w:val="0"/>
              <w:pageBreakBefore w:val="0"/>
              <w:kinsoku/>
              <w:overflowPunct/>
              <w:autoSpaceDE w:val="0"/>
              <w:autoSpaceDN w:val="0"/>
              <w:bidi w:val="0"/>
              <w:adjustRightInd/>
              <w:spacing w:before="129" w:line="280" w:lineRule="exact"/>
              <w:ind w:left="28"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按安全技术要求确保充装区域通风、遮阳</w:t>
            </w:r>
          </w:p>
        </w:tc>
        <w:tc>
          <w:tcPr>
            <w:tcW w:w="1530" w:type="dxa"/>
            <w:tcBorders>
              <w:bottom w:val="single" w:color="auto" w:sz="4" w:space="0"/>
            </w:tcBorders>
            <w:vAlign w:val="center"/>
          </w:tcPr>
          <w:p w14:paraId="702B153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bottom w:val="single" w:color="auto" w:sz="4" w:space="0"/>
            </w:tcBorders>
            <w:vAlign w:val="center"/>
          </w:tcPr>
          <w:p w14:paraId="61090E9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714308B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0ED35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824" w:type="dxa"/>
            <w:vAlign w:val="center"/>
          </w:tcPr>
          <w:p w14:paraId="76640D6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37</w:t>
            </w:r>
          </w:p>
        </w:tc>
        <w:tc>
          <w:tcPr>
            <w:tcW w:w="1358" w:type="dxa"/>
            <w:vMerge w:val="continue"/>
            <w:vAlign w:val="center"/>
          </w:tcPr>
          <w:p w14:paraId="21123BDC">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sz w:val="24"/>
                <w:szCs w:val="24"/>
              </w:rPr>
            </w:pPr>
          </w:p>
        </w:tc>
        <w:tc>
          <w:tcPr>
            <w:tcW w:w="3749" w:type="dxa"/>
            <w:vAlign w:val="center"/>
          </w:tcPr>
          <w:p w14:paraId="5877F62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未配备消防设施，消防通道不明确、不通畅，安全间距不足</w:t>
            </w:r>
          </w:p>
        </w:tc>
        <w:tc>
          <w:tcPr>
            <w:tcW w:w="5146" w:type="dxa"/>
            <w:tcBorders>
              <w:bottom w:val="single" w:color="auto" w:sz="4" w:space="0"/>
            </w:tcBorders>
            <w:vAlign w:val="center"/>
          </w:tcPr>
          <w:p w14:paraId="42191197">
            <w:pPr>
              <w:keepNext w:val="0"/>
              <w:keepLines w:val="0"/>
              <w:pageBreakBefore w:val="0"/>
              <w:kinsoku/>
              <w:overflowPunct/>
              <w:autoSpaceDE w:val="0"/>
              <w:autoSpaceDN w:val="0"/>
              <w:bidi w:val="0"/>
              <w:adjustRightInd/>
              <w:spacing w:before="110" w:line="280" w:lineRule="exact"/>
              <w:ind w:left="28" w:leftChars="0" w:right="25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按安全技术要求配备消防设施，明确消防通道并通畅</w:t>
            </w:r>
          </w:p>
        </w:tc>
        <w:tc>
          <w:tcPr>
            <w:tcW w:w="1530" w:type="dxa"/>
            <w:tcBorders>
              <w:top w:val="single" w:color="auto" w:sz="4" w:space="0"/>
              <w:bottom w:val="single" w:color="auto" w:sz="4" w:space="0"/>
            </w:tcBorders>
            <w:vAlign w:val="center"/>
          </w:tcPr>
          <w:p w14:paraId="4AE6204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7D12E9D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5869510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27B83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4" w:hRule="exact"/>
        </w:trPr>
        <w:tc>
          <w:tcPr>
            <w:tcW w:w="824" w:type="dxa"/>
            <w:vAlign w:val="center"/>
          </w:tcPr>
          <w:p w14:paraId="64B7B87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38</w:t>
            </w:r>
          </w:p>
        </w:tc>
        <w:tc>
          <w:tcPr>
            <w:tcW w:w="1358" w:type="dxa"/>
            <w:vMerge w:val="continue"/>
            <w:vAlign w:val="center"/>
          </w:tcPr>
          <w:p w14:paraId="04ABE946">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sz w:val="24"/>
                <w:szCs w:val="24"/>
              </w:rPr>
            </w:pPr>
          </w:p>
        </w:tc>
        <w:tc>
          <w:tcPr>
            <w:tcW w:w="3749" w:type="dxa"/>
            <w:vAlign w:val="center"/>
          </w:tcPr>
          <w:p w14:paraId="1337B4E9">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易燃易爆气体充装场地、设施、电器设备未按要求配置防雷、防爆、防静电设施</w:t>
            </w:r>
          </w:p>
        </w:tc>
        <w:tc>
          <w:tcPr>
            <w:tcW w:w="5146" w:type="dxa"/>
            <w:tcBorders>
              <w:top w:val="single" w:color="auto" w:sz="4" w:space="0"/>
              <w:bottom w:val="single" w:color="auto" w:sz="4" w:space="0"/>
            </w:tcBorders>
            <w:vAlign w:val="center"/>
          </w:tcPr>
          <w:p w14:paraId="4FFDDB8A">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易燃易爆气体充装场地、设施、电器设备按要求配置防雷、防爆、防静电设施</w:t>
            </w:r>
          </w:p>
        </w:tc>
        <w:tc>
          <w:tcPr>
            <w:tcW w:w="1530" w:type="dxa"/>
            <w:tcBorders>
              <w:top w:val="single" w:color="auto" w:sz="4" w:space="0"/>
              <w:bottom w:val="single" w:color="auto" w:sz="4" w:space="0"/>
            </w:tcBorders>
            <w:vAlign w:val="center"/>
          </w:tcPr>
          <w:p w14:paraId="0168266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35109F7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56E7336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1EDB8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824" w:type="dxa"/>
            <w:vAlign w:val="center"/>
          </w:tcPr>
          <w:p w14:paraId="09F1070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39</w:t>
            </w:r>
          </w:p>
        </w:tc>
        <w:tc>
          <w:tcPr>
            <w:tcW w:w="1358" w:type="dxa"/>
            <w:vMerge w:val="continue"/>
            <w:vAlign w:val="center"/>
          </w:tcPr>
          <w:p w14:paraId="1C9994C1">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sz w:val="24"/>
                <w:szCs w:val="24"/>
              </w:rPr>
            </w:pPr>
          </w:p>
        </w:tc>
        <w:tc>
          <w:tcPr>
            <w:tcW w:w="3749" w:type="dxa"/>
            <w:vAlign w:val="center"/>
          </w:tcPr>
          <w:p w14:paraId="33CF31C8">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未按所充装介质特性配备相应的保护用具和用品</w:t>
            </w:r>
          </w:p>
        </w:tc>
        <w:tc>
          <w:tcPr>
            <w:tcW w:w="5146" w:type="dxa"/>
            <w:tcBorders>
              <w:top w:val="single" w:color="auto" w:sz="4" w:space="0"/>
              <w:bottom w:val="single" w:color="auto" w:sz="4" w:space="0"/>
            </w:tcBorders>
            <w:vAlign w:val="center"/>
          </w:tcPr>
          <w:p w14:paraId="71247A5D">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按所充装介质特性配备相应的保护用具和用品</w:t>
            </w:r>
          </w:p>
        </w:tc>
        <w:tc>
          <w:tcPr>
            <w:tcW w:w="1530" w:type="dxa"/>
            <w:tcBorders>
              <w:top w:val="single" w:color="auto" w:sz="4" w:space="0"/>
              <w:bottom w:val="single" w:color="auto" w:sz="4" w:space="0"/>
            </w:tcBorders>
            <w:vAlign w:val="center"/>
          </w:tcPr>
          <w:p w14:paraId="0F98F45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08CDD33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07CBA3E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5E276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exact"/>
        </w:trPr>
        <w:tc>
          <w:tcPr>
            <w:tcW w:w="824" w:type="dxa"/>
            <w:vAlign w:val="center"/>
          </w:tcPr>
          <w:p w14:paraId="1AC09C9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40</w:t>
            </w:r>
          </w:p>
        </w:tc>
        <w:tc>
          <w:tcPr>
            <w:tcW w:w="1358" w:type="dxa"/>
            <w:vMerge w:val="continue"/>
            <w:vAlign w:val="center"/>
          </w:tcPr>
          <w:p w14:paraId="1165F578">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sz w:val="24"/>
                <w:szCs w:val="24"/>
              </w:rPr>
            </w:pPr>
          </w:p>
        </w:tc>
        <w:tc>
          <w:tcPr>
            <w:tcW w:w="3749" w:type="dxa"/>
            <w:vAlign w:val="center"/>
          </w:tcPr>
          <w:p w14:paraId="2F778D3E">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未配备事故应急救援预案涉及的应急工、器具</w:t>
            </w:r>
          </w:p>
        </w:tc>
        <w:tc>
          <w:tcPr>
            <w:tcW w:w="5146" w:type="dxa"/>
            <w:tcBorders>
              <w:top w:val="single" w:color="auto" w:sz="4" w:space="0"/>
            </w:tcBorders>
            <w:vAlign w:val="center"/>
          </w:tcPr>
          <w:p w14:paraId="20BF7E01">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配备事故应急救援预案涉及的应急工器具</w:t>
            </w:r>
          </w:p>
        </w:tc>
        <w:tc>
          <w:tcPr>
            <w:tcW w:w="1530" w:type="dxa"/>
            <w:tcBorders>
              <w:top w:val="single" w:color="auto" w:sz="4" w:space="0"/>
              <w:bottom w:val="single" w:color="auto" w:sz="4" w:space="0"/>
            </w:tcBorders>
            <w:vAlign w:val="center"/>
          </w:tcPr>
          <w:p w14:paraId="13BB814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bottom w:val="single" w:color="auto" w:sz="4" w:space="0"/>
            </w:tcBorders>
            <w:vAlign w:val="center"/>
          </w:tcPr>
          <w:p w14:paraId="25FA483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2B4C6EE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4E7CE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exact"/>
        </w:trPr>
        <w:tc>
          <w:tcPr>
            <w:tcW w:w="824" w:type="dxa"/>
            <w:tcBorders>
              <w:bottom w:val="single" w:color="auto" w:sz="4" w:space="0"/>
            </w:tcBorders>
            <w:vAlign w:val="center"/>
          </w:tcPr>
          <w:p w14:paraId="4374A51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41</w:t>
            </w:r>
          </w:p>
        </w:tc>
        <w:tc>
          <w:tcPr>
            <w:tcW w:w="1358" w:type="dxa"/>
            <w:vMerge w:val="continue"/>
            <w:tcBorders>
              <w:bottom w:val="single" w:color="auto" w:sz="4" w:space="0"/>
            </w:tcBorders>
            <w:vAlign w:val="center"/>
          </w:tcPr>
          <w:p w14:paraId="317B700D">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p>
        </w:tc>
        <w:tc>
          <w:tcPr>
            <w:tcW w:w="3749" w:type="dxa"/>
            <w:vAlign w:val="center"/>
          </w:tcPr>
          <w:p w14:paraId="29D552B4">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未告知进站须知、安全警示标识不全的</w:t>
            </w:r>
          </w:p>
        </w:tc>
        <w:tc>
          <w:tcPr>
            <w:tcW w:w="5146" w:type="dxa"/>
            <w:vAlign w:val="center"/>
          </w:tcPr>
          <w:p w14:paraId="053DA8A6">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告知进站须知、安全警示标识应齐全</w:t>
            </w:r>
          </w:p>
        </w:tc>
        <w:tc>
          <w:tcPr>
            <w:tcW w:w="1530" w:type="dxa"/>
            <w:tcBorders>
              <w:top w:val="single" w:color="auto" w:sz="4" w:space="0"/>
            </w:tcBorders>
            <w:vAlign w:val="center"/>
          </w:tcPr>
          <w:p w14:paraId="4A9BB46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245" w:type="dxa"/>
            <w:tcBorders>
              <w:top w:val="single" w:color="auto" w:sz="4" w:space="0"/>
            </w:tcBorders>
            <w:vAlign w:val="center"/>
          </w:tcPr>
          <w:p w14:paraId="5A8DFC1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62BFA35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46B77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trPr>
        <w:tc>
          <w:tcPr>
            <w:tcW w:w="824" w:type="dxa"/>
            <w:tcBorders>
              <w:bottom w:val="single" w:color="auto" w:sz="4" w:space="0"/>
            </w:tcBorders>
            <w:vAlign w:val="center"/>
          </w:tcPr>
          <w:p w14:paraId="351E21A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42</w:t>
            </w:r>
          </w:p>
        </w:tc>
        <w:tc>
          <w:tcPr>
            <w:tcW w:w="1358" w:type="dxa"/>
            <w:tcBorders>
              <w:bottom w:val="single" w:color="auto" w:sz="4" w:space="0"/>
            </w:tcBorders>
            <w:vAlign w:val="center"/>
          </w:tcPr>
          <w:p w14:paraId="0D65E939">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政府监督、通报、预警</w:t>
            </w:r>
          </w:p>
        </w:tc>
        <w:tc>
          <w:tcPr>
            <w:tcW w:w="3749" w:type="dxa"/>
            <w:vAlign w:val="center"/>
          </w:tcPr>
          <w:p w14:paraId="35A97BC2">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5146" w:type="dxa"/>
            <w:vAlign w:val="center"/>
          </w:tcPr>
          <w:p w14:paraId="4472A9E2">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w:t>
            </w:r>
          </w:p>
        </w:tc>
        <w:tc>
          <w:tcPr>
            <w:tcW w:w="1530" w:type="dxa"/>
            <w:vAlign w:val="center"/>
          </w:tcPr>
          <w:p w14:paraId="590393BE">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周排查</w:t>
            </w:r>
          </w:p>
        </w:tc>
        <w:tc>
          <w:tcPr>
            <w:tcW w:w="1245" w:type="dxa"/>
            <w:vAlign w:val="center"/>
          </w:tcPr>
          <w:p w14:paraId="506B70B0">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安全总监</w:t>
            </w:r>
          </w:p>
        </w:tc>
        <w:tc>
          <w:tcPr>
            <w:tcW w:w="890" w:type="dxa"/>
            <w:vAlign w:val="center"/>
          </w:tcPr>
          <w:p w14:paraId="394878E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200F3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trPr>
        <w:tc>
          <w:tcPr>
            <w:tcW w:w="824" w:type="dxa"/>
            <w:tcBorders>
              <w:bottom w:val="single" w:color="auto" w:sz="4" w:space="0"/>
            </w:tcBorders>
            <w:vAlign w:val="center"/>
          </w:tcPr>
          <w:p w14:paraId="4B8823E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43</w:t>
            </w:r>
          </w:p>
        </w:tc>
        <w:tc>
          <w:tcPr>
            <w:tcW w:w="1358" w:type="dxa"/>
            <w:tcBorders>
              <w:bottom w:val="single" w:color="auto" w:sz="4" w:space="0"/>
            </w:tcBorders>
            <w:vAlign w:val="center"/>
          </w:tcPr>
          <w:p w14:paraId="1CAB5231">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投诉举报</w:t>
            </w:r>
          </w:p>
        </w:tc>
        <w:tc>
          <w:tcPr>
            <w:tcW w:w="3749" w:type="dxa"/>
            <w:vAlign w:val="center"/>
          </w:tcPr>
          <w:p w14:paraId="2C7A2E2C">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5146" w:type="dxa"/>
            <w:vAlign w:val="center"/>
          </w:tcPr>
          <w:p w14:paraId="0FDF926C">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记录，整改，消除安全隐患</w:t>
            </w:r>
          </w:p>
        </w:tc>
        <w:tc>
          <w:tcPr>
            <w:tcW w:w="1530" w:type="dxa"/>
            <w:vAlign w:val="center"/>
          </w:tcPr>
          <w:p w14:paraId="7BD534B3">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245" w:type="dxa"/>
            <w:vAlign w:val="center"/>
          </w:tcPr>
          <w:p w14:paraId="142DB842">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890" w:type="dxa"/>
            <w:vAlign w:val="center"/>
          </w:tcPr>
          <w:p w14:paraId="74F296E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6E0AA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exact"/>
        </w:trPr>
        <w:tc>
          <w:tcPr>
            <w:tcW w:w="824" w:type="dxa"/>
            <w:tcBorders>
              <w:bottom w:val="single" w:color="auto" w:sz="4" w:space="0"/>
            </w:tcBorders>
            <w:vAlign w:val="center"/>
          </w:tcPr>
          <w:p w14:paraId="34FB052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44</w:t>
            </w:r>
          </w:p>
        </w:tc>
        <w:tc>
          <w:tcPr>
            <w:tcW w:w="1358" w:type="dxa"/>
            <w:tcBorders>
              <w:bottom w:val="single" w:color="auto" w:sz="4" w:space="0"/>
            </w:tcBorders>
            <w:vAlign w:val="center"/>
          </w:tcPr>
          <w:p w14:paraId="44CA1E57">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舆情信息</w:t>
            </w:r>
          </w:p>
        </w:tc>
        <w:tc>
          <w:tcPr>
            <w:tcW w:w="3749" w:type="dxa"/>
            <w:vAlign w:val="center"/>
          </w:tcPr>
          <w:p w14:paraId="5B8B51ED">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5146" w:type="dxa"/>
            <w:vAlign w:val="center"/>
          </w:tcPr>
          <w:p w14:paraId="6C4A1CB8">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w:t>
            </w:r>
          </w:p>
        </w:tc>
        <w:tc>
          <w:tcPr>
            <w:tcW w:w="1530" w:type="dxa"/>
            <w:vAlign w:val="center"/>
          </w:tcPr>
          <w:p w14:paraId="7897358B">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245" w:type="dxa"/>
            <w:vAlign w:val="center"/>
          </w:tcPr>
          <w:p w14:paraId="500B6F2B">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890" w:type="dxa"/>
            <w:vAlign w:val="center"/>
          </w:tcPr>
          <w:p w14:paraId="7A8E846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p>
        </w:tc>
      </w:tr>
      <w:tr w14:paraId="283AA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824" w:type="dxa"/>
            <w:tcBorders>
              <w:top w:val="single" w:color="auto" w:sz="4" w:space="0"/>
            </w:tcBorders>
            <w:vAlign w:val="center"/>
          </w:tcPr>
          <w:p w14:paraId="21B1153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45</w:t>
            </w:r>
          </w:p>
        </w:tc>
        <w:tc>
          <w:tcPr>
            <w:tcW w:w="1358" w:type="dxa"/>
            <w:vMerge w:val="restart"/>
            <w:tcBorders>
              <w:top w:val="single" w:color="auto" w:sz="4" w:space="0"/>
            </w:tcBorders>
            <w:vAlign w:val="center"/>
          </w:tcPr>
          <w:p w14:paraId="2849800D">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color w:val="0000FF"/>
                <w:kern w:val="0"/>
                <w:sz w:val="24"/>
                <w:szCs w:val="24"/>
              </w:rPr>
            </w:pPr>
            <w:r>
              <w:rPr>
                <w:rFonts w:hint="default" w:ascii="Times New Roman" w:hAnsi="Times New Roman" w:eastAsia="宋体" w:cs="Times New Roman"/>
                <w:b w:val="0"/>
                <w:bCs w:val="0"/>
                <w:kern w:val="0"/>
                <w:sz w:val="24"/>
                <w:szCs w:val="24"/>
              </w:rPr>
              <w:t>压缩气体充装专项</w:t>
            </w:r>
          </w:p>
        </w:tc>
        <w:tc>
          <w:tcPr>
            <w:tcW w:w="3749" w:type="dxa"/>
            <w:vAlign w:val="center"/>
          </w:tcPr>
          <w:p w14:paraId="168DEB35">
            <w:pPr>
              <w:keepNext w:val="0"/>
              <w:keepLines w:val="0"/>
              <w:pageBreakBefore w:val="0"/>
              <w:kinsoku/>
              <w:overflowPunct/>
              <w:autoSpaceDE w:val="0"/>
              <w:autoSpaceDN w:val="0"/>
              <w:bidi w:val="0"/>
              <w:adjustRightInd/>
              <w:spacing w:before="113" w:line="280" w:lineRule="exact"/>
              <w:ind w:left="76"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未制定充装温度与最高充装压力对照表，未按要求控制</w:t>
            </w:r>
          </w:p>
        </w:tc>
        <w:tc>
          <w:tcPr>
            <w:tcW w:w="5146" w:type="dxa"/>
            <w:tcBorders>
              <w:bottom w:val="single" w:color="auto" w:sz="4" w:space="0"/>
            </w:tcBorders>
            <w:vAlign w:val="center"/>
          </w:tcPr>
          <w:p w14:paraId="6A8E3114">
            <w:pPr>
              <w:keepNext w:val="0"/>
              <w:keepLines w:val="0"/>
              <w:pageBreakBefore w:val="0"/>
              <w:kinsoku/>
              <w:overflowPunct/>
              <w:autoSpaceDE w:val="0"/>
              <w:autoSpaceDN w:val="0"/>
              <w:bidi w:val="0"/>
              <w:adjustRightInd/>
              <w:spacing w:before="69"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1.制定充装温度与最高充装压力对照表</w:t>
            </w:r>
          </w:p>
          <w:p w14:paraId="5343DA67">
            <w:pPr>
              <w:keepNext w:val="0"/>
              <w:keepLines w:val="0"/>
              <w:pageBreakBefore w:val="0"/>
              <w:kinsoku/>
              <w:overflowPunct/>
              <w:autoSpaceDE w:val="0"/>
              <w:autoSpaceDN w:val="0"/>
              <w:bidi w:val="0"/>
              <w:adjustRightInd/>
              <w:spacing w:before="69"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2.充装后的压力（换算成20℃）不得超过气瓶的公称工作压力</w:t>
            </w:r>
          </w:p>
        </w:tc>
        <w:tc>
          <w:tcPr>
            <w:tcW w:w="1530" w:type="dxa"/>
            <w:tcBorders>
              <w:bottom w:val="single" w:color="auto" w:sz="4" w:space="0"/>
            </w:tcBorders>
            <w:vAlign w:val="center"/>
          </w:tcPr>
          <w:p w14:paraId="082708B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bottom w:val="single" w:color="auto" w:sz="4" w:space="0"/>
            </w:tcBorders>
            <w:vAlign w:val="center"/>
          </w:tcPr>
          <w:p w14:paraId="1DB7E40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tcBorders>
              <w:bottom w:val="single" w:color="auto" w:sz="4" w:space="0"/>
            </w:tcBorders>
            <w:vAlign w:val="center"/>
          </w:tcPr>
          <w:p w14:paraId="5F59A1A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3046C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5" w:hRule="atLeast"/>
        </w:trPr>
        <w:tc>
          <w:tcPr>
            <w:tcW w:w="824" w:type="dxa"/>
            <w:vAlign w:val="center"/>
          </w:tcPr>
          <w:p w14:paraId="1D0352B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46</w:t>
            </w:r>
          </w:p>
        </w:tc>
        <w:tc>
          <w:tcPr>
            <w:tcW w:w="1358" w:type="dxa"/>
            <w:vMerge w:val="continue"/>
            <w:vAlign w:val="center"/>
          </w:tcPr>
          <w:p w14:paraId="1337CAED">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color w:val="0000FF"/>
                <w:kern w:val="0"/>
                <w:sz w:val="24"/>
                <w:szCs w:val="24"/>
              </w:rPr>
            </w:pPr>
          </w:p>
        </w:tc>
        <w:tc>
          <w:tcPr>
            <w:tcW w:w="3749" w:type="dxa"/>
            <w:vAlign w:val="center"/>
          </w:tcPr>
          <w:p w14:paraId="73FDA765">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氧化性压缩气体阀未采用余压保持装置（充装采用先抽后充工艺的阀除外）；充装氧气或其他强氧化性气体的气瓶，其瓶体、瓶阀沾染油脂或其他可燃物</w:t>
            </w:r>
          </w:p>
        </w:tc>
        <w:tc>
          <w:tcPr>
            <w:tcW w:w="5146" w:type="dxa"/>
            <w:tcBorders>
              <w:top w:val="single" w:color="auto" w:sz="4" w:space="0"/>
            </w:tcBorders>
            <w:vAlign w:val="center"/>
          </w:tcPr>
          <w:p w14:paraId="58133A97">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按照相应规定配备余压保持阀，氧化性气体充装瓶体、瓶阀禁油</w:t>
            </w:r>
          </w:p>
        </w:tc>
        <w:tc>
          <w:tcPr>
            <w:tcW w:w="1530" w:type="dxa"/>
            <w:tcBorders>
              <w:top w:val="single" w:color="auto" w:sz="4" w:space="0"/>
              <w:bottom w:val="single" w:color="auto" w:sz="4" w:space="0"/>
            </w:tcBorders>
            <w:vAlign w:val="center"/>
          </w:tcPr>
          <w:p w14:paraId="5558F2C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top w:val="single" w:color="auto" w:sz="4" w:space="0"/>
              <w:bottom w:val="single" w:color="auto" w:sz="4" w:space="0"/>
            </w:tcBorders>
            <w:vAlign w:val="center"/>
          </w:tcPr>
          <w:p w14:paraId="0F24D0F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tcBorders>
              <w:top w:val="single" w:color="auto" w:sz="4" w:space="0"/>
              <w:bottom w:val="single" w:color="auto" w:sz="4" w:space="0"/>
            </w:tcBorders>
            <w:vAlign w:val="center"/>
          </w:tcPr>
          <w:p w14:paraId="6382AF7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2C924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5327CF6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47</w:t>
            </w:r>
          </w:p>
        </w:tc>
        <w:tc>
          <w:tcPr>
            <w:tcW w:w="1358" w:type="dxa"/>
            <w:vMerge w:val="continue"/>
            <w:vAlign w:val="center"/>
          </w:tcPr>
          <w:p w14:paraId="67DFA5A3">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color w:val="0000FF"/>
                <w:kern w:val="0"/>
                <w:sz w:val="24"/>
                <w:szCs w:val="24"/>
              </w:rPr>
            </w:pPr>
          </w:p>
        </w:tc>
        <w:tc>
          <w:tcPr>
            <w:tcW w:w="3749" w:type="dxa"/>
            <w:vAlign w:val="center"/>
          </w:tcPr>
          <w:p w14:paraId="78B7CD44">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充装氟或者二氟化氧的气瓶，最大充装量大于5kg，充装压力大于3MPa（</w:t>
            </w:r>
            <w:r>
              <w:rPr>
                <w:rFonts w:hint="default" w:ascii="Times New Roman" w:hAnsi="Times New Roman" w:eastAsia="宋体" w:cs="Times New Roman"/>
                <w:b w:val="0"/>
                <w:bCs w:val="0"/>
                <w:kern w:val="0"/>
                <w:sz w:val="24"/>
                <w:szCs w:val="24"/>
              </w:rPr>
              <w:t>20℃时）</w:t>
            </w:r>
          </w:p>
        </w:tc>
        <w:tc>
          <w:tcPr>
            <w:tcW w:w="5146" w:type="dxa"/>
            <w:vAlign w:val="center"/>
          </w:tcPr>
          <w:p w14:paraId="7CBDF901">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充装氟或者二氟化氧的气瓶，最大充装量不得大于5kg，充装压力不得大于3MPa（</w:t>
            </w:r>
            <w:r>
              <w:rPr>
                <w:rFonts w:hint="default" w:ascii="Times New Roman" w:hAnsi="Times New Roman" w:eastAsia="宋体" w:cs="Times New Roman"/>
                <w:b w:val="0"/>
                <w:bCs w:val="0"/>
                <w:kern w:val="0"/>
                <w:sz w:val="24"/>
                <w:szCs w:val="24"/>
              </w:rPr>
              <w:t>20℃时 ）</w:t>
            </w:r>
          </w:p>
        </w:tc>
        <w:tc>
          <w:tcPr>
            <w:tcW w:w="1530" w:type="dxa"/>
            <w:tcBorders>
              <w:top w:val="single" w:color="auto" w:sz="4" w:space="0"/>
              <w:bottom w:val="single" w:color="auto" w:sz="4" w:space="0"/>
            </w:tcBorders>
            <w:vAlign w:val="center"/>
          </w:tcPr>
          <w:p w14:paraId="6BC1113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top w:val="single" w:color="auto" w:sz="4" w:space="0"/>
              <w:bottom w:val="single" w:color="auto" w:sz="4" w:space="0"/>
            </w:tcBorders>
            <w:vAlign w:val="center"/>
          </w:tcPr>
          <w:p w14:paraId="2AAD8AA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tcBorders>
              <w:top w:val="single" w:color="auto" w:sz="4" w:space="0"/>
              <w:bottom w:val="single" w:color="auto" w:sz="4" w:space="0"/>
            </w:tcBorders>
            <w:vAlign w:val="center"/>
          </w:tcPr>
          <w:p w14:paraId="246919C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0C766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rPr>
        <w:tc>
          <w:tcPr>
            <w:tcW w:w="824" w:type="dxa"/>
            <w:vAlign w:val="center"/>
          </w:tcPr>
          <w:p w14:paraId="6CF1025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48</w:t>
            </w:r>
          </w:p>
        </w:tc>
        <w:tc>
          <w:tcPr>
            <w:tcW w:w="1358" w:type="dxa"/>
            <w:vMerge w:val="continue"/>
            <w:vAlign w:val="center"/>
          </w:tcPr>
          <w:p w14:paraId="1A1F62D1">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p>
        </w:tc>
        <w:tc>
          <w:tcPr>
            <w:tcW w:w="3749" w:type="dxa"/>
            <w:vAlign w:val="center"/>
          </w:tcPr>
          <w:p w14:paraId="7301ED89">
            <w:pPr>
              <w:keepNext w:val="0"/>
              <w:keepLines w:val="0"/>
              <w:pageBreakBefore w:val="0"/>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采用电解法制取氢气、氧气的充装单位，未装设自动测定氢、氧纯度的化学分析仪器和超标报警装置</w:t>
            </w:r>
          </w:p>
        </w:tc>
        <w:tc>
          <w:tcPr>
            <w:tcW w:w="5146" w:type="dxa"/>
            <w:vAlign w:val="center"/>
          </w:tcPr>
          <w:p w14:paraId="5676E121">
            <w:pPr>
              <w:keepNext w:val="0"/>
              <w:keepLines w:val="0"/>
              <w:pageBreakBefore w:val="0"/>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1.必须装设自动测定氢、氧纯度的化学分析仪器和超标报警装置，并定期对氢、氧浓度进行人工检测；</w:t>
            </w:r>
          </w:p>
          <w:p w14:paraId="6D651A6C">
            <w:pPr>
              <w:keepNext w:val="0"/>
              <w:keepLines w:val="0"/>
              <w:pageBreakBefore w:val="0"/>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2.当氢气中含氧或者氧气中含氢量超过0.5%（体积比）时，须停止充装作业，并查明原因采取有效处理措施</w:t>
            </w:r>
          </w:p>
        </w:tc>
        <w:tc>
          <w:tcPr>
            <w:tcW w:w="1530" w:type="dxa"/>
            <w:tcBorders>
              <w:top w:val="single" w:color="auto" w:sz="4" w:space="0"/>
            </w:tcBorders>
            <w:vAlign w:val="center"/>
          </w:tcPr>
          <w:p w14:paraId="1AA8BB7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top w:val="single" w:color="auto" w:sz="4" w:space="0"/>
            </w:tcBorders>
            <w:vAlign w:val="center"/>
          </w:tcPr>
          <w:p w14:paraId="2718591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tcBorders>
              <w:top w:val="single" w:color="auto" w:sz="4" w:space="0"/>
            </w:tcBorders>
            <w:vAlign w:val="center"/>
          </w:tcPr>
          <w:p w14:paraId="37020D2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3B30E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186C1A1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49</w:t>
            </w:r>
          </w:p>
        </w:tc>
        <w:tc>
          <w:tcPr>
            <w:tcW w:w="1358" w:type="dxa"/>
            <w:vMerge w:val="continue"/>
            <w:vAlign w:val="center"/>
          </w:tcPr>
          <w:p w14:paraId="34578D79">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p>
        </w:tc>
        <w:tc>
          <w:tcPr>
            <w:tcW w:w="3749" w:type="dxa"/>
            <w:vAlign w:val="center"/>
          </w:tcPr>
          <w:p w14:paraId="2FD59179">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有抽真空工艺要求的，未设置抽真空装置或未进行抽真空</w:t>
            </w:r>
          </w:p>
        </w:tc>
        <w:tc>
          <w:tcPr>
            <w:tcW w:w="5146" w:type="dxa"/>
            <w:tcBorders>
              <w:bottom w:val="single" w:color="auto" w:sz="4" w:space="0"/>
            </w:tcBorders>
            <w:vAlign w:val="center"/>
          </w:tcPr>
          <w:p w14:paraId="0193D9D3">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有抽真空工艺要求的，应设置抽真空装置或进行抽真空（氧气充装所配置的抽真空设备应当使用氧专用油脂或无油脂润滑）</w:t>
            </w:r>
          </w:p>
        </w:tc>
        <w:tc>
          <w:tcPr>
            <w:tcW w:w="1530" w:type="dxa"/>
            <w:tcBorders>
              <w:bottom w:val="single" w:color="auto" w:sz="4" w:space="0"/>
            </w:tcBorders>
            <w:vAlign w:val="center"/>
          </w:tcPr>
          <w:p w14:paraId="419B67B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45" w:type="dxa"/>
            <w:tcBorders>
              <w:bottom w:val="single" w:color="auto" w:sz="4" w:space="0"/>
            </w:tcBorders>
            <w:vAlign w:val="center"/>
          </w:tcPr>
          <w:p w14:paraId="3382A19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90" w:type="dxa"/>
            <w:vAlign w:val="center"/>
          </w:tcPr>
          <w:p w14:paraId="617D523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568CC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exact"/>
        </w:trPr>
        <w:tc>
          <w:tcPr>
            <w:tcW w:w="824" w:type="dxa"/>
            <w:vAlign w:val="center"/>
          </w:tcPr>
          <w:p w14:paraId="47697E0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50</w:t>
            </w:r>
          </w:p>
        </w:tc>
        <w:tc>
          <w:tcPr>
            <w:tcW w:w="1358" w:type="dxa"/>
            <w:vMerge w:val="continue"/>
            <w:vAlign w:val="center"/>
          </w:tcPr>
          <w:p w14:paraId="381CAACD">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p>
        </w:tc>
        <w:tc>
          <w:tcPr>
            <w:tcW w:w="3749" w:type="dxa"/>
            <w:vAlign w:val="center"/>
          </w:tcPr>
          <w:p w14:paraId="5A862019">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未按照有关要求装设防错装接头</w:t>
            </w:r>
          </w:p>
        </w:tc>
        <w:tc>
          <w:tcPr>
            <w:tcW w:w="5146" w:type="dxa"/>
            <w:tcBorders>
              <w:top w:val="single" w:color="auto" w:sz="4" w:space="0"/>
            </w:tcBorders>
            <w:vAlign w:val="center"/>
          </w:tcPr>
          <w:p w14:paraId="119466DB">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按照有关要求装设防错装接头</w:t>
            </w:r>
          </w:p>
        </w:tc>
        <w:tc>
          <w:tcPr>
            <w:tcW w:w="1530" w:type="dxa"/>
            <w:tcBorders>
              <w:top w:val="single" w:color="auto" w:sz="4" w:space="0"/>
            </w:tcBorders>
            <w:vAlign w:val="center"/>
          </w:tcPr>
          <w:p w14:paraId="6B3D546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45" w:type="dxa"/>
            <w:tcBorders>
              <w:top w:val="single" w:color="auto" w:sz="4" w:space="0"/>
            </w:tcBorders>
            <w:vAlign w:val="center"/>
          </w:tcPr>
          <w:p w14:paraId="06458C6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90" w:type="dxa"/>
            <w:vAlign w:val="center"/>
          </w:tcPr>
          <w:p w14:paraId="327771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35B84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exact"/>
        </w:trPr>
        <w:tc>
          <w:tcPr>
            <w:tcW w:w="824" w:type="dxa"/>
            <w:vAlign w:val="center"/>
          </w:tcPr>
          <w:p w14:paraId="006B015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51</w:t>
            </w:r>
          </w:p>
        </w:tc>
        <w:tc>
          <w:tcPr>
            <w:tcW w:w="1358" w:type="dxa"/>
            <w:vMerge w:val="restart"/>
            <w:vAlign w:val="center"/>
          </w:tcPr>
          <w:p w14:paraId="37869E07">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高（低）压液化气体充装专项</w:t>
            </w:r>
          </w:p>
        </w:tc>
        <w:tc>
          <w:tcPr>
            <w:tcW w:w="3749" w:type="dxa"/>
            <w:vAlign w:val="center"/>
          </w:tcPr>
          <w:p w14:paraId="42BC7EE8">
            <w:pPr>
              <w:keepNext w:val="0"/>
              <w:keepLines w:val="0"/>
              <w:pageBreakBefore w:val="0"/>
              <w:kinsoku/>
              <w:overflowPunct/>
              <w:autoSpaceDE w:val="0"/>
              <w:autoSpaceDN w:val="0"/>
              <w:bidi w:val="0"/>
              <w:adjustRightInd/>
              <w:spacing w:before="4" w:line="280" w:lineRule="exact"/>
              <w:ind w:left="39" w:leftChars="0" w:right="-103" w:rightChars="-43"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充装前未逐瓶称重（车用气瓶除外）</w:t>
            </w:r>
          </w:p>
        </w:tc>
        <w:tc>
          <w:tcPr>
            <w:tcW w:w="5146" w:type="dxa"/>
            <w:vAlign w:val="center"/>
          </w:tcPr>
          <w:p w14:paraId="72AC4BF6">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充装前逐瓶称重（车用气瓶除外）</w:t>
            </w:r>
          </w:p>
        </w:tc>
        <w:tc>
          <w:tcPr>
            <w:tcW w:w="1530" w:type="dxa"/>
            <w:tcBorders>
              <w:bottom w:val="single" w:color="auto" w:sz="4" w:space="0"/>
            </w:tcBorders>
            <w:vAlign w:val="center"/>
          </w:tcPr>
          <w:p w14:paraId="44E4BAE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bottom w:val="single" w:color="auto" w:sz="4" w:space="0"/>
            </w:tcBorders>
            <w:vAlign w:val="center"/>
          </w:tcPr>
          <w:p w14:paraId="1B2C55E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6AA4AB99">
            <w:pPr>
              <w:keepNext w:val="0"/>
              <w:keepLines w:val="0"/>
              <w:pageBreakBefore w:val="0"/>
              <w:widowControl/>
              <w:kinsoku/>
              <w:overflowPunct/>
              <w:bidi w:val="0"/>
              <w:adjustRightInd/>
              <w:spacing w:before="100" w:beforeAutospacing="1" w:line="280" w:lineRule="exact"/>
              <w:ind w:left="0" w:leftChars="0" w:firstLine="240" w:firstLineChars="100"/>
              <w:jc w:val="left"/>
              <w:rPr>
                <w:rFonts w:hint="default" w:ascii="Times New Roman" w:hAnsi="Times New Roman" w:eastAsia="宋体" w:cs="Times New Roman"/>
                <w:b w:val="0"/>
                <w:bCs w:val="0"/>
                <w:kern w:val="0"/>
                <w:sz w:val="24"/>
                <w:szCs w:val="24"/>
              </w:rPr>
            </w:pPr>
          </w:p>
        </w:tc>
      </w:tr>
      <w:tr w14:paraId="78DB1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8" w:hRule="atLeast"/>
        </w:trPr>
        <w:tc>
          <w:tcPr>
            <w:tcW w:w="824" w:type="dxa"/>
            <w:tcBorders>
              <w:bottom w:val="single" w:color="auto" w:sz="4" w:space="0"/>
            </w:tcBorders>
            <w:vAlign w:val="center"/>
          </w:tcPr>
          <w:p w14:paraId="0001BE0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52</w:t>
            </w:r>
          </w:p>
        </w:tc>
        <w:tc>
          <w:tcPr>
            <w:tcW w:w="1358" w:type="dxa"/>
            <w:vMerge w:val="continue"/>
            <w:vAlign w:val="center"/>
          </w:tcPr>
          <w:p w14:paraId="5CE5E199">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p>
        </w:tc>
        <w:tc>
          <w:tcPr>
            <w:tcW w:w="3749" w:type="dxa"/>
            <w:vAlign w:val="center"/>
          </w:tcPr>
          <w:p w14:paraId="58066711">
            <w:pPr>
              <w:keepNext w:val="0"/>
              <w:keepLines w:val="0"/>
              <w:pageBreakBefore w:val="0"/>
              <w:kinsoku/>
              <w:overflowPunct/>
              <w:autoSpaceDE w:val="0"/>
              <w:autoSpaceDN w:val="0"/>
              <w:bidi w:val="0"/>
              <w:adjustRightInd/>
              <w:spacing w:before="4" w:line="280" w:lineRule="exact"/>
              <w:ind w:left="39" w:leftChars="0" w:right="-103" w:rightChars="-43"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未设置复检衡器，对充装量逐瓶复检；自动化充装对，未按照批量抽样有关规定进行复检；充装超量对气瓶未及时采取有效措施进行处置</w:t>
            </w:r>
          </w:p>
        </w:tc>
        <w:tc>
          <w:tcPr>
            <w:tcW w:w="5146" w:type="dxa"/>
            <w:vAlign w:val="center"/>
          </w:tcPr>
          <w:p w14:paraId="51E78B14">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1.设置复检衡器，对充装量逐瓶复检；</w:t>
            </w:r>
          </w:p>
          <w:p w14:paraId="37F4C854">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2.自动化充装对，按照批量抽样有关规定进行复检；</w:t>
            </w:r>
          </w:p>
          <w:p w14:paraId="18E9BF65">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3.充装超量对气瓶及时采取有效措施进行处置</w:t>
            </w:r>
          </w:p>
        </w:tc>
        <w:tc>
          <w:tcPr>
            <w:tcW w:w="1530" w:type="dxa"/>
            <w:tcBorders>
              <w:top w:val="single" w:color="auto" w:sz="4" w:space="0"/>
            </w:tcBorders>
            <w:vAlign w:val="center"/>
          </w:tcPr>
          <w:p w14:paraId="72FD1AF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tcBorders>
              <w:top w:val="single" w:color="auto" w:sz="4" w:space="0"/>
            </w:tcBorders>
            <w:vAlign w:val="center"/>
          </w:tcPr>
          <w:p w14:paraId="2877ADA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31286C4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64F8D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8" w:hRule="atLeast"/>
        </w:trPr>
        <w:tc>
          <w:tcPr>
            <w:tcW w:w="824" w:type="dxa"/>
            <w:tcBorders>
              <w:top w:val="single" w:color="auto" w:sz="4" w:space="0"/>
              <w:bottom w:val="single" w:color="auto" w:sz="4" w:space="0"/>
            </w:tcBorders>
            <w:vAlign w:val="center"/>
          </w:tcPr>
          <w:p w14:paraId="0C38DBC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53</w:t>
            </w:r>
          </w:p>
        </w:tc>
        <w:tc>
          <w:tcPr>
            <w:tcW w:w="1358" w:type="dxa"/>
            <w:vMerge w:val="continue"/>
            <w:vAlign w:val="center"/>
          </w:tcPr>
          <w:p w14:paraId="66885294">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p>
        </w:tc>
        <w:tc>
          <w:tcPr>
            <w:tcW w:w="3749" w:type="dxa"/>
            <w:vAlign w:val="center"/>
          </w:tcPr>
          <w:p w14:paraId="3525223A">
            <w:pPr>
              <w:keepNext w:val="0"/>
              <w:keepLines w:val="0"/>
              <w:pageBreakBefore w:val="0"/>
              <w:kinsoku/>
              <w:overflowPunct/>
              <w:autoSpaceDE w:val="0"/>
              <w:autoSpaceDN w:val="0"/>
              <w:bidi w:val="0"/>
              <w:adjustRightInd/>
              <w:spacing w:before="4" w:line="280" w:lineRule="exact"/>
              <w:ind w:left="39" w:leftChars="0" w:right="-103" w:rightChars="-43"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液氨、液氯等毒性气体充装，不具有回收或处理瓶内余气的装置，未安装在可防止充装时气体溢出的负压操作 系统上</w:t>
            </w:r>
          </w:p>
        </w:tc>
        <w:tc>
          <w:tcPr>
            <w:tcW w:w="5146" w:type="dxa"/>
            <w:vAlign w:val="center"/>
          </w:tcPr>
          <w:p w14:paraId="28158EA9">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1.液氨、液氯等毒性气体充装，应具有回收或处理瓶内余气的装置；</w:t>
            </w:r>
          </w:p>
          <w:p w14:paraId="5992C7C4">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2.安装在可防止充装时气体溢出的负压操作系统上</w:t>
            </w:r>
          </w:p>
        </w:tc>
        <w:tc>
          <w:tcPr>
            <w:tcW w:w="1530" w:type="dxa"/>
            <w:tcBorders>
              <w:bottom w:val="single" w:color="auto" w:sz="4" w:space="0"/>
            </w:tcBorders>
            <w:vAlign w:val="center"/>
          </w:tcPr>
          <w:p w14:paraId="67C983B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45" w:type="dxa"/>
            <w:tcBorders>
              <w:bottom w:val="single" w:color="auto" w:sz="4" w:space="0"/>
            </w:tcBorders>
            <w:vAlign w:val="center"/>
          </w:tcPr>
          <w:p w14:paraId="6F3A992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90" w:type="dxa"/>
            <w:vAlign w:val="center"/>
          </w:tcPr>
          <w:p w14:paraId="79A442D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3F08A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824" w:type="dxa"/>
            <w:tcBorders>
              <w:top w:val="single" w:color="auto" w:sz="4" w:space="0"/>
            </w:tcBorders>
            <w:vAlign w:val="center"/>
          </w:tcPr>
          <w:p w14:paraId="682CF15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54</w:t>
            </w:r>
          </w:p>
        </w:tc>
        <w:tc>
          <w:tcPr>
            <w:tcW w:w="1358" w:type="dxa"/>
            <w:vMerge w:val="continue"/>
            <w:vAlign w:val="center"/>
          </w:tcPr>
          <w:p w14:paraId="36938F98">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p>
        </w:tc>
        <w:tc>
          <w:tcPr>
            <w:tcW w:w="3749" w:type="dxa"/>
            <w:vAlign w:val="center"/>
          </w:tcPr>
          <w:p w14:paraId="43D14838">
            <w:pPr>
              <w:keepNext w:val="0"/>
              <w:keepLines w:val="0"/>
              <w:pageBreakBefore w:val="0"/>
              <w:kinsoku/>
              <w:overflowPunct/>
              <w:autoSpaceDE w:val="0"/>
              <w:autoSpaceDN w:val="0"/>
              <w:bidi w:val="0"/>
              <w:adjustRightInd/>
              <w:spacing w:before="4" w:line="280" w:lineRule="exact"/>
              <w:ind w:left="39" w:leftChars="0" w:right="-103" w:rightChars="-43"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衡器未装设超装报警或者自动切断气源的装置</w:t>
            </w:r>
          </w:p>
        </w:tc>
        <w:tc>
          <w:tcPr>
            <w:tcW w:w="5146" w:type="dxa"/>
            <w:vAlign w:val="center"/>
          </w:tcPr>
          <w:p w14:paraId="1F2DB1A2">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衡器应装设超装报警或者自动切断气源的装置</w:t>
            </w:r>
          </w:p>
        </w:tc>
        <w:tc>
          <w:tcPr>
            <w:tcW w:w="1530" w:type="dxa"/>
            <w:tcBorders>
              <w:top w:val="single" w:color="auto" w:sz="4" w:space="0"/>
            </w:tcBorders>
            <w:vAlign w:val="center"/>
          </w:tcPr>
          <w:p w14:paraId="57BAB5B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45" w:type="dxa"/>
            <w:tcBorders>
              <w:top w:val="single" w:color="auto" w:sz="4" w:space="0"/>
            </w:tcBorders>
            <w:vAlign w:val="center"/>
          </w:tcPr>
          <w:p w14:paraId="7120C04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90" w:type="dxa"/>
            <w:vAlign w:val="center"/>
          </w:tcPr>
          <w:p w14:paraId="5732952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32D5C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0EA9747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55</w:t>
            </w:r>
          </w:p>
        </w:tc>
        <w:tc>
          <w:tcPr>
            <w:tcW w:w="1358" w:type="dxa"/>
            <w:vMerge w:val="continue"/>
            <w:vAlign w:val="center"/>
          </w:tcPr>
          <w:p w14:paraId="68131A67">
            <w:pPr>
              <w:keepNext w:val="0"/>
              <w:keepLines w:val="0"/>
              <w:pageBreakBefore w:val="0"/>
              <w:kinsoku/>
              <w:overflowPunct/>
              <w:autoSpaceDE w:val="0"/>
              <w:autoSpaceDN w:val="0"/>
              <w:bidi w:val="0"/>
              <w:adjustRightInd/>
              <w:spacing w:line="280" w:lineRule="exact"/>
              <w:ind w:left="39" w:leftChars="0" w:firstLine="0" w:firstLineChars="0"/>
              <w:jc w:val="left"/>
              <w:rPr>
                <w:rFonts w:hint="default" w:ascii="Times New Roman" w:hAnsi="Times New Roman" w:eastAsia="宋体" w:cs="Times New Roman"/>
                <w:b w:val="0"/>
                <w:bCs w:val="0"/>
                <w:kern w:val="0"/>
                <w:sz w:val="24"/>
                <w:szCs w:val="24"/>
              </w:rPr>
            </w:pPr>
          </w:p>
        </w:tc>
        <w:tc>
          <w:tcPr>
            <w:tcW w:w="3749" w:type="dxa"/>
            <w:vAlign w:val="center"/>
          </w:tcPr>
          <w:p w14:paraId="2D5D02FE">
            <w:pPr>
              <w:keepNext w:val="0"/>
              <w:keepLines w:val="0"/>
              <w:pageBreakBefore w:val="0"/>
              <w:kinsoku/>
              <w:overflowPunct/>
              <w:autoSpaceDE w:val="0"/>
              <w:autoSpaceDN w:val="0"/>
              <w:bidi w:val="0"/>
              <w:adjustRightInd/>
              <w:spacing w:before="4" w:line="280" w:lineRule="exact"/>
              <w:ind w:left="39" w:leftChars="0" w:right="-103" w:rightChars="-43"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液化天然气充装，在用于移动式压力容器的卸液装置液相管道上未装设切断阀和止回阀，气相管道上装设切断阀</w:t>
            </w:r>
          </w:p>
        </w:tc>
        <w:tc>
          <w:tcPr>
            <w:tcW w:w="5146" w:type="dxa"/>
            <w:vAlign w:val="center"/>
          </w:tcPr>
          <w:p w14:paraId="099AA8B8">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在用于移动式压力容器的卸液装置液相管道上应装设切断阀和止回阀，气相管道上装设切断阀</w:t>
            </w:r>
          </w:p>
        </w:tc>
        <w:tc>
          <w:tcPr>
            <w:tcW w:w="1530" w:type="dxa"/>
            <w:tcBorders>
              <w:top w:val="single" w:color="auto" w:sz="4" w:space="0"/>
            </w:tcBorders>
            <w:vAlign w:val="center"/>
          </w:tcPr>
          <w:p w14:paraId="3BEEF4B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45" w:type="dxa"/>
            <w:tcBorders>
              <w:top w:val="single" w:color="auto" w:sz="4" w:space="0"/>
            </w:tcBorders>
            <w:vAlign w:val="center"/>
          </w:tcPr>
          <w:p w14:paraId="1B765E9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90" w:type="dxa"/>
            <w:vAlign w:val="center"/>
          </w:tcPr>
          <w:p w14:paraId="7B6265C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7CBAA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40C9B60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56</w:t>
            </w:r>
          </w:p>
        </w:tc>
        <w:tc>
          <w:tcPr>
            <w:tcW w:w="1358" w:type="dxa"/>
            <w:vAlign w:val="center"/>
          </w:tcPr>
          <w:p w14:paraId="198582FE">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低温液化气体充装</w:t>
            </w:r>
          </w:p>
        </w:tc>
        <w:tc>
          <w:tcPr>
            <w:tcW w:w="3749" w:type="dxa"/>
            <w:vAlign w:val="center"/>
          </w:tcPr>
          <w:p w14:paraId="64D2AACE">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汽化器出口未装设温度、压力控制报警系统和联锁停泵装置</w:t>
            </w:r>
          </w:p>
        </w:tc>
        <w:tc>
          <w:tcPr>
            <w:tcW w:w="5146" w:type="dxa"/>
            <w:vAlign w:val="center"/>
          </w:tcPr>
          <w:p w14:paraId="7D36E060">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1.安装规定要求对汽化器出口装设温度、压力控制报警系统和联锁停泵装置；</w:t>
            </w:r>
          </w:p>
          <w:p w14:paraId="35992305">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2.定期对汽化器出口的温度、压力控制报警系统和联锁停泵装置进行检查和调试</w:t>
            </w:r>
          </w:p>
        </w:tc>
        <w:tc>
          <w:tcPr>
            <w:tcW w:w="1530" w:type="dxa"/>
            <w:vAlign w:val="center"/>
          </w:tcPr>
          <w:p w14:paraId="03B793E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245" w:type="dxa"/>
            <w:vAlign w:val="center"/>
          </w:tcPr>
          <w:p w14:paraId="710AFF5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90" w:type="dxa"/>
            <w:vAlign w:val="center"/>
          </w:tcPr>
          <w:p w14:paraId="7B64602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02516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43B448F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57</w:t>
            </w:r>
          </w:p>
        </w:tc>
        <w:tc>
          <w:tcPr>
            <w:tcW w:w="1358" w:type="dxa"/>
            <w:vMerge w:val="restart"/>
            <w:vAlign w:val="center"/>
          </w:tcPr>
          <w:p w14:paraId="399550E7">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溶解气体充装专项</w:t>
            </w:r>
          </w:p>
        </w:tc>
        <w:tc>
          <w:tcPr>
            <w:tcW w:w="3749" w:type="dxa"/>
            <w:vAlign w:val="center"/>
          </w:tcPr>
          <w:p w14:paraId="54657D76">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超量、超温、超速充装</w:t>
            </w:r>
          </w:p>
        </w:tc>
        <w:tc>
          <w:tcPr>
            <w:tcW w:w="5146" w:type="dxa"/>
            <w:vAlign w:val="center"/>
          </w:tcPr>
          <w:p w14:paraId="504857B9">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1.充装前，应当测定溶剂和气体的补加量并按照测定量补加；</w:t>
            </w:r>
          </w:p>
          <w:p w14:paraId="653209B7">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2.充装时，气瓶瓶壁温度不得超过40℃，充装溶解气体的容积流速应当小于0.015m3/h.L</w:t>
            </w:r>
          </w:p>
        </w:tc>
        <w:tc>
          <w:tcPr>
            <w:tcW w:w="1530" w:type="dxa"/>
            <w:vAlign w:val="center"/>
          </w:tcPr>
          <w:p w14:paraId="7F38567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vAlign w:val="center"/>
          </w:tcPr>
          <w:p w14:paraId="6B257D0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0D1BD09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5D39B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1FDD48A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58</w:t>
            </w:r>
          </w:p>
        </w:tc>
        <w:tc>
          <w:tcPr>
            <w:tcW w:w="1358" w:type="dxa"/>
            <w:vMerge w:val="continue"/>
            <w:vAlign w:val="center"/>
          </w:tcPr>
          <w:p w14:paraId="32D409D6">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color w:val="0000FF"/>
                <w:kern w:val="0"/>
                <w:sz w:val="24"/>
                <w:szCs w:val="24"/>
              </w:rPr>
            </w:pPr>
          </w:p>
        </w:tc>
        <w:tc>
          <w:tcPr>
            <w:tcW w:w="3749" w:type="dxa"/>
            <w:vAlign w:val="center"/>
          </w:tcPr>
          <w:p w14:paraId="6265EE69">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未设置抽真空、测量瓶内余压、确定剩余溶剂和吸附气体介质量的装置</w:t>
            </w:r>
          </w:p>
        </w:tc>
        <w:tc>
          <w:tcPr>
            <w:tcW w:w="5146" w:type="dxa"/>
            <w:vAlign w:val="center"/>
          </w:tcPr>
          <w:p w14:paraId="4A522681">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1．按照技术规范要求设置抽真空、测量瓶内余压、确定剩余溶剂和吸附气体介质量、补加溶剂和吸附气体介质量的装置；</w:t>
            </w:r>
          </w:p>
          <w:p w14:paraId="47B6F3DD">
            <w:pPr>
              <w:keepNext w:val="0"/>
              <w:keepLines w:val="0"/>
              <w:pageBreakBefore w:val="0"/>
              <w:kinsoku/>
              <w:overflowPunct/>
              <w:autoSpaceDE w:val="0"/>
              <w:autoSpaceDN w:val="0"/>
              <w:bidi w:val="0"/>
              <w:adjustRightInd/>
              <w:spacing w:before="4" w:line="280" w:lineRule="exact"/>
              <w:ind w:left="0"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2．按照要求对计量器具进行定期检验或校准</w:t>
            </w:r>
          </w:p>
        </w:tc>
        <w:tc>
          <w:tcPr>
            <w:tcW w:w="1530" w:type="dxa"/>
            <w:vMerge w:val="restart"/>
            <w:vAlign w:val="center"/>
          </w:tcPr>
          <w:p w14:paraId="65220E23">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月调度</w:t>
            </w:r>
          </w:p>
        </w:tc>
        <w:tc>
          <w:tcPr>
            <w:tcW w:w="1245" w:type="dxa"/>
            <w:vMerge w:val="restart"/>
            <w:vAlign w:val="center"/>
          </w:tcPr>
          <w:p w14:paraId="5E3E903F">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主要负责人</w:t>
            </w:r>
          </w:p>
        </w:tc>
        <w:tc>
          <w:tcPr>
            <w:tcW w:w="890" w:type="dxa"/>
            <w:vAlign w:val="center"/>
          </w:tcPr>
          <w:p w14:paraId="643B25D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0E7FA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51E9104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59</w:t>
            </w:r>
          </w:p>
        </w:tc>
        <w:tc>
          <w:tcPr>
            <w:tcW w:w="1358" w:type="dxa"/>
            <w:vMerge w:val="continue"/>
            <w:vAlign w:val="center"/>
          </w:tcPr>
          <w:p w14:paraId="45391394">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color w:val="0000FF"/>
                <w:kern w:val="0"/>
                <w:sz w:val="24"/>
                <w:szCs w:val="24"/>
              </w:rPr>
            </w:pPr>
          </w:p>
        </w:tc>
        <w:tc>
          <w:tcPr>
            <w:tcW w:w="3749" w:type="dxa"/>
            <w:vAlign w:val="center"/>
          </w:tcPr>
          <w:p w14:paraId="53FEB5F9">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未设置冷却喷淋和紧急喷淋装置</w:t>
            </w:r>
          </w:p>
        </w:tc>
        <w:tc>
          <w:tcPr>
            <w:tcW w:w="5146" w:type="dxa"/>
            <w:vAlign w:val="center"/>
          </w:tcPr>
          <w:p w14:paraId="112A36DC">
            <w:pPr>
              <w:keepNext w:val="0"/>
              <w:keepLines w:val="0"/>
              <w:pageBreakBefore w:val="0"/>
              <w:kinsoku/>
              <w:overflowPunct/>
              <w:autoSpaceDE w:val="0"/>
              <w:autoSpaceDN w:val="0"/>
              <w:bidi w:val="0"/>
              <w:adjustRightInd/>
              <w:spacing w:before="4" w:line="280" w:lineRule="exact"/>
              <w:ind w:left="39" w:leftChars="0" w:right="142" w:firstLine="0" w:firstLine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按照技术规范要求设置冷却喷淋和紧急喷淋装置，并定期进行调试</w:t>
            </w:r>
          </w:p>
        </w:tc>
        <w:tc>
          <w:tcPr>
            <w:tcW w:w="1530" w:type="dxa"/>
            <w:vMerge w:val="continue"/>
            <w:vAlign w:val="center"/>
          </w:tcPr>
          <w:p w14:paraId="266384E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c>
          <w:tcPr>
            <w:tcW w:w="1245" w:type="dxa"/>
            <w:vMerge w:val="continue"/>
            <w:vAlign w:val="center"/>
          </w:tcPr>
          <w:p w14:paraId="2140957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c>
          <w:tcPr>
            <w:tcW w:w="890" w:type="dxa"/>
            <w:vAlign w:val="center"/>
          </w:tcPr>
          <w:p w14:paraId="7BB7F51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779F9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5F2FDCD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60</w:t>
            </w:r>
          </w:p>
        </w:tc>
        <w:tc>
          <w:tcPr>
            <w:tcW w:w="1358" w:type="dxa"/>
            <w:vMerge w:val="restart"/>
            <w:vAlign w:val="center"/>
          </w:tcPr>
          <w:p w14:paraId="73AEF2FA">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混合气体气瓶充装专项</w:t>
            </w:r>
          </w:p>
        </w:tc>
        <w:tc>
          <w:tcPr>
            <w:tcW w:w="3749" w:type="dxa"/>
            <w:vAlign w:val="center"/>
          </w:tcPr>
          <w:p w14:paraId="504CC092">
            <w:pPr>
              <w:keepNext w:val="0"/>
              <w:keepLines w:val="0"/>
              <w:pageBreakBefore w:val="0"/>
              <w:widowControl/>
              <w:tabs>
                <w:tab w:val="left" w:pos="851"/>
              </w:tabs>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未按规定确定混合气体的气体组分量以及充入顺序</w:t>
            </w:r>
          </w:p>
        </w:tc>
        <w:tc>
          <w:tcPr>
            <w:tcW w:w="5146" w:type="dxa"/>
            <w:vAlign w:val="center"/>
          </w:tcPr>
          <w:p w14:paraId="5AFA2C1A">
            <w:pPr>
              <w:keepNext w:val="0"/>
              <w:keepLines w:val="0"/>
              <w:pageBreakBefore w:val="0"/>
              <w:widowControl/>
              <w:tabs>
                <w:tab w:val="left" w:pos="851"/>
              </w:tabs>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1.确定混合气体的安全性；</w:t>
            </w:r>
          </w:p>
          <w:p w14:paraId="1CD3EBEA">
            <w:pPr>
              <w:keepNext w:val="0"/>
              <w:keepLines w:val="0"/>
              <w:pageBreakBefore w:val="0"/>
              <w:widowControl/>
              <w:tabs>
                <w:tab w:val="left" w:pos="851"/>
              </w:tabs>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2.确定混合气体组分与材料的相容性；</w:t>
            </w:r>
          </w:p>
          <w:p w14:paraId="40EACF24">
            <w:pPr>
              <w:keepNext w:val="0"/>
              <w:keepLines w:val="0"/>
              <w:pageBreakBefore w:val="0"/>
              <w:widowControl/>
              <w:tabs>
                <w:tab w:val="left" w:pos="851"/>
              </w:tabs>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3.确定要充入气瓶的气体组分量以及充入顺序</w:t>
            </w:r>
          </w:p>
        </w:tc>
        <w:tc>
          <w:tcPr>
            <w:tcW w:w="1530" w:type="dxa"/>
            <w:vMerge w:val="restart"/>
            <w:vAlign w:val="center"/>
          </w:tcPr>
          <w:p w14:paraId="3B9EDF9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245" w:type="dxa"/>
            <w:vMerge w:val="restart"/>
            <w:vAlign w:val="center"/>
          </w:tcPr>
          <w:p w14:paraId="644CA5A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1020C77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55DCC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824" w:type="dxa"/>
            <w:vAlign w:val="center"/>
          </w:tcPr>
          <w:p w14:paraId="5E70AA7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61</w:t>
            </w:r>
          </w:p>
        </w:tc>
        <w:tc>
          <w:tcPr>
            <w:tcW w:w="1358" w:type="dxa"/>
            <w:vMerge w:val="continue"/>
            <w:vAlign w:val="center"/>
          </w:tcPr>
          <w:p w14:paraId="2C114F99">
            <w:pPr>
              <w:keepNext w:val="0"/>
              <w:keepLines w:val="0"/>
              <w:pageBreakBefore w:val="0"/>
              <w:kinsoku/>
              <w:overflowPunct/>
              <w:autoSpaceDE w:val="0"/>
              <w:autoSpaceDN w:val="0"/>
              <w:bidi w:val="0"/>
              <w:adjustRightInd/>
              <w:spacing w:line="280" w:lineRule="exact"/>
              <w:ind w:left="39" w:leftChars="0" w:firstLine="0" w:firstLineChars="0"/>
              <w:jc w:val="both"/>
              <w:rPr>
                <w:rFonts w:hint="default" w:ascii="Times New Roman" w:hAnsi="Times New Roman" w:eastAsia="宋体" w:cs="Times New Roman"/>
                <w:b w:val="0"/>
                <w:bCs w:val="0"/>
                <w:color w:val="FF0000"/>
                <w:spacing w:val="22"/>
                <w:sz w:val="24"/>
                <w:szCs w:val="24"/>
              </w:rPr>
            </w:pPr>
          </w:p>
        </w:tc>
        <w:tc>
          <w:tcPr>
            <w:tcW w:w="3749" w:type="dxa"/>
            <w:vAlign w:val="center"/>
          </w:tcPr>
          <w:p w14:paraId="41774DE3">
            <w:pPr>
              <w:keepNext w:val="0"/>
              <w:keepLines w:val="0"/>
              <w:pageBreakBefore w:val="0"/>
              <w:tabs>
                <w:tab w:val="left" w:pos="1006"/>
              </w:tabs>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充装每一气体组分之前，未使用待充装的气体对充装装置和管道进行置换</w:t>
            </w:r>
          </w:p>
        </w:tc>
        <w:tc>
          <w:tcPr>
            <w:tcW w:w="5146" w:type="dxa"/>
            <w:vAlign w:val="center"/>
          </w:tcPr>
          <w:p w14:paraId="010AB761">
            <w:pPr>
              <w:keepNext w:val="0"/>
              <w:keepLines w:val="0"/>
              <w:pageBreakBefore w:val="0"/>
              <w:tabs>
                <w:tab w:val="left" w:pos="1006"/>
              </w:tabs>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充装每一气体组分之前，应当使用待充装的气体对充装装置和管道进行置换</w:t>
            </w:r>
          </w:p>
        </w:tc>
        <w:tc>
          <w:tcPr>
            <w:tcW w:w="1530" w:type="dxa"/>
            <w:vMerge w:val="continue"/>
            <w:vAlign w:val="center"/>
          </w:tcPr>
          <w:p w14:paraId="0283C5B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c>
          <w:tcPr>
            <w:tcW w:w="1245" w:type="dxa"/>
            <w:vMerge w:val="continue"/>
            <w:vAlign w:val="center"/>
          </w:tcPr>
          <w:p w14:paraId="287C55E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FF0000"/>
                <w:sz w:val="24"/>
                <w:szCs w:val="24"/>
              </w:rPr>
            </w:pPr>
          </w:p>
        </w:tc>
        <w:tc>
          <w:tcPr>
            <w:tcW w:w="890" w:type="dxa"/>
            <w:vAlign w:val="center"/>
          </w:tcPr>
          <w:p w14:paraId="5D2AC2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33DE0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824" w:type="dxa"/>
            <w:vAlign w:val="center"/>
          </w:tcPr>
          <w:p w14:paraId="7DF2D4A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62</w:t>
            </w:r>
          </w:p>
        </w:tc>
        <w:tc>
          <w:tcPr>
            <w:tcW w:w="1358" w:type="dxa"/>
            <w:vMerge w:val="restart"/>
            <w:vAlign w:val="center"/>
          </w:tcPr>
          <w:p w14:paraId="39C1905F">
            <w:pPr>
              <w:keepNext w:val="0"/>
              <w:keepLines w:val="0"/>
              <w:pageBreakBefore w:val="0"/>
              <w:kinsoku/>
              <w:overflowPunct/>
              <w:autoSpaceDE w:val="0"/>
              <w:autoSpaceDN w:val="0"/>
              <w:bidi w:val="0"/>
              <w:adjustRightInd/>
              <w:spacing w:line="280" w:lineRule="exact"/>
              <w:ind w:left="39"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车用气瓶充装</w:t>
            </w:r>
          </w:p>
        </w:tc>
        <w:tc>
          <w:tcPr>
            <w:tcW w:w="3749" w:type="dxa"/>
            <w:vAlign w:val="center"/>
          </w:tcPr>
          <w:p w14:paraId="51DED1DA">
            <w:pPr>
              <w:keepNext w:val="0"/>
              <w:keepLines w:val="0"/>
              <w:pageBreakBefore w:val="0"/>
              <w:kinsoku/>
              <w:overflowPunct/>
              <w:autoSpaceDE w:val="0"/>
              <w:autoSpaceDN w:val="0"/>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充装场所未严格执行禁烟禁火规定，充装时司乘人员未离车</w:t>
            </w:r>
          </w:p>
        </w:tc>
        <w:tc>
          <w:tcPr>
            <w:tcW w:w="5146" w:type="dxa"/>
            <w:vAlign w:val="center"/>
          </w:tcPr>
          <w:p w14:paraId="355CF746">
            <w:pPr>
              <w:keepNext w:val="0"/>
              <w:keepLines w:val="0"/>
              <w:pageBreakBefore w:val="0"/>
              <w:kinsoku/>
              <w:overflowPunct/>
              <w:autoSpaceDE w:val="0"/>
              <w:autoSpaceDN w:val="0"/>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现场设置醒目安全警示标志，加强司乘等外来人员管控，严格落实充装站区禁烟禁火防爆要求</w:t>
            </w:r>
          </w:p>
        </w:tc>
        <w:tc>
          <w:tcPr>
            <w:tcW w:w="1530" w:type="dxa"/>
            <w:vAlign w:val="center"/>
          </w:tcPr>
          <w:p w14:paraId="3F46C52A">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245" w:type="dxa"/>
            <w:vAlign w:val="center"/>
          </w:tcPr>
          <w:p w14:paraId="14D9309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90" w:type="dxa"/>
            <w:vAlign w:val="center"/>
          </w:tcPr>
          <w:p w14:paraId="5FCA2FF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r w14:paraId="46DB0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824" w:type="dxa"/>
            <w:vAlign w:val="center"/>
          </w:tcPr>
          <w:p w14:paraId="268C6D4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63</w:t>
            </w:r>
          </w:p>
        </w:tc>
        <w:tc>
          <w:tcPr>
            <w:tcW w:w="1358" w:type="dxa"/>
            <w:vMerge w:val="continue"/>
            <w:vAlign w:val="center"/>
          </w:tcPr>
          <w:p w14:paraId="79DE2964">
            <w:pPr>
              <w:keepNext w:val="0"/>
              <w:keepLines w:val="0"/>
              <w:pageBreakBefore w:val="0"/>
              <w:kinsoku/>
              <w:overflowPunct/>
              <w:autoSpaceDE w:val="0"/>
              <w:autoSpaceDN w:val="0"/>
              <w:bidi w:val="0"/>
              <w:adjustRightInd/>
              <w:spacing w:line="280" w:lineRule="exact"/>
              <w:ind w:left="39" w:leftChars="0" w:firstLine="0" w:firstLineChars="0"/>
              <w:jc w:val="both"/>
              <w:rPr>
                <w:rFonts w:hint="default" w:ascii="Times New Roman" w:hAnsi="Times New Roman" w:eastAsia="宋体" w:cs="Times New Roman"/>
                <w:b w:val="0"/>
                <w:bCs w:val="0"/>
                <w:kern w:val="0"/>
                <w:sz w:val="24"/>
                <w:szCs w:val="24"/>
              </w:rPr>
            </w:pPr>
          </w:p>
        </w:tc>
        <w:tc>
          <w:tcPr>
            <w:tcW w:w="3749" w:type="dxa"/>
            <w:vAlign w:val="center"/>
          </w:tcPr>
          <w:p w14:paraId="61194FE9">
            <w:pPr>
              <w:keepNext w:val="0"/>
              <w:keepLines w:val="0"/>
              <w:pageBreakBefore w:val="0"/>
              <w:kinsoku/>
              <w:overflowPunct/>
              <w:autoSpaceDE w:val="0"/>
              <w:autoSpaceDN w:val="0"/>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充装装置缺少识读汽车车牌及气瓶电子标识标志的功能</w:t>
            </w:r>
          </w:p>
        </w:tc>
        <w:tc>
          <w:tcPr>
            <w:tcW w:w="5146" w:type="dxa"/>
            <w:vAlign w:val="center"/>
          </w:tcPr>
          <w:p w14:paraId="0338B772">
            <w:pPr>
              <w:keepNext w:val="0"/>
              <w:keepLines w:val="0"/>
              <w:pageBreakBefore w:val="0"/>
              <w:kinsoku/>
              <w:overflowPunct/>
              <w:autoSpaceDE w:val="0"/>
              <w:autoSpaceDN w:val="0"/>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配置具有识读功能、符合规定的充装装置</w:t>
            </w:r>
          </w:p>
        </w:tc>
        <w:tc>
          <w:tcPr>
            <w:tcW w:w="1530" w:type="dxa"/>
            <w:vAlign w:val="center"/>
          </w:tcPr>
          <w:p w14:paraId="4F5AF4C8">
            <w:pPr>
              <w:keepNext w:val="0"/>
              <w:keepLines w:val="0"/>
              <w:pageBreakBefore w:val="0"/>
              <w:kinsoku/>
              <w:overflowPunct/>
              <w:autoSpaceDE w:val="0"/>
              <w:autoSpaceDN w:val="0"/>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月调度</w:t>
            </w:r>
          </w:p>
        </w:tc>
        <w:tc>
          <w:tcPr>
            <w:tcW w:w="1245" w:type="dxa"/>
            <w:vAlign w:val="center"/>
          </w:tcPr>
          <w:p w14:paraId="3E6E61E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90" w:type="dxa"/>
            <w:vAlign w:val="center"/>
          </w:tcPr>
          <w:p w14:paraId="6B94D7E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00FF"/>
                <w:sz w:val="24"/>
                <w:szCs w:val="24"/>
              </w:rPr>
            </w:pPr>
          </w:p>
        </w:tc>
      </w:tr>
    </w:tbl>
    <w:p w14:paraId="6978BB4B">
      <w:pPr>
        <w:keepNext w:val="0"/>
        <w:keepLines w:val="0"/>
        <w:pageBreakBefore w:val="0"/>
        <w:widowControl/>
        <w:kinsoku/>
        <w:overflowPunct/>
        <w:bidi w:val="0"/>
        <w:adjustRightInd/>
        <w:spacing w:after="0" w:line="280" w:lineRule="exact"/>
        <w:ind w:firstLine="480" w:firstLineChars="200"/>
        <w:jc w:val="both"/>
        <w:rPr>
          <w:rFonts w:hint="default" w:ascii="Times New Roman" w:hAnsi="Times New Roman" w:eastAsia="宋体" w:cs="Times New Roman"/>
          <w:b w:val="0"/>
          <w:bCs w:val="0"/>
          <w:kern w:val="2"/>
          <w:sz w:val="24"/>
          <w:szCs w:val="24"/>
          <w:lang w:val="zh-CN" w:eastAsia="zh-CN" w:bidi="zh-CN"/>
        </w:rPr>
      </w:pPr>
      <w:r>
        <w:rPr>
          <w:rFonts w:hint="default" w:ascii="Times New Roman" w:hAnsi="Times New Roman" w:eastAsia="宋体" w:cs="Times New Roman"/>
          <w:b w:val="0"/>
          <w:bCs w:val="0"/>
          <w:kern w:val="2"/>
          <w:sz w:val="24"/>
          <w:szCs w:val="24"/>
          <w:lang w:val="zh-CN" w:eastAsia="zh-CN" w:bidi="zh-CN"/>
        </w:rPr>
        <w:t>备注：本清单为推荐性格式，仅规定了应当进行日管控、周排查、月调度的基本项目，气瓶充装单位应当结合本单位实际，细化风险管控清单，合理调整管控形式。</w:t>
      </w:r>
    </w:p>
    <w:p w14:paraId="1AED0254">
      <w:pPr>
        <w:keepNext w:val="0"/>
        <w:keepLines w:val="0"/>
        <w:pageBreakBefore w:val="0"/>
        <w:kinsoku/>
        <w:overflowPunct/>
        <w:bidi w:val="0"/>
        <w:adjustRightInd/>
        <w:spacing w:line="280" w:lineRule="exact"/>
        <w:rPr>
          <w:rFonts w:hint="default" w:ascii="Times New Roman" w:hAnsi="Times New Roman" w:eastAsia="宋体" w:cs="Times New Roman"/>
          <w:b w:val="0"/>
          <w:bCs w:val="0"/>
          <w:kern w:val="2"/>
          <w:sz w:val="24"/>
          <w:szCs w:val="24"/>
          <w:lang w:val="zh-CN" w:eastAsia="zh-CN" w:bidi="zh-CN"/>
        </w:rPr>
      </w:pPr>
      <w:r>
        <w:rPr>
          <w:rFonts w:hint="default" w:ascii="Times New Roman" w:hAnsi="Times New Roman" w:eastAsia="宋体" w:cs="Times New Roman"/>
          <w:b w:val="0"/>
          <w:bCs w:val="0"/>
          <w:kern w:val="2"/>
          <w:sz w:val="24"/>
          <w:szCs w:val="24"/>
          <w:lang w:val="zh-CN" w:eastAsia="zh-CN" w:bidi="zh-CN"/>
        </w:rPr>
        <w:br w:type="page"/>
      </w:r>
    </w:p>
    <w:p w14:paraId="195274F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eastAsiaTheme="minorEastAsia"/>
          <w:b w:val="0"/>
          <w:bCs w:val="0"/>
          <w:sz w:val="36"/>
          <w:szCs w:val="36"/>
        </w:rPr>
      </w:pPr>
      <w:r>
        <w:rPr>
          <w:rFonts w:hint="default" w:ascii="Times New Roman" w:hAnsi="Times New Roman" w:cs="Times New Roman" w:eastAsiaTheme="minorEastAsia"/>
          <w:b w:val="0"/>
          <w:bCs w:val="0"/>
          <w:sz w:val="36"/>
          <w:szCs w:val="36"/>
        </w:rPr>
        <w:t>压力管道安全风险管控清单</w:t>
      </w:r>
      <w:r>
        <w:rPr>
          <w:rFonts w:hint="default" w:ascii="Times New Roman" w:hAnsi="Times New Roman" w:cs="Times New Roman" w:eastAsiaTheme="minorEastAsia"/>
          <w:b w:val="0"/>
          <w:bCs w:val="0"/>
          <w:sz w:val="36"/>
          <w:szCs w:val="36"/>
          <w:lang w:eastAsia="zh-CN"/>
        </w:rPr>
        <w:t>（供参考）</w:t>
      </w:r>
    </w:p>
    <w:tbl>
      <w:tblPr>
        <w:tblStyle w:val="16"/>
        <w:tblW w:w="141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1364"/>
        <w:gridCol w:w="3725"/>
        <w:gridCol w:w="4714"/>
        <w:gridCol w:w="1530"/>
        <w:gridCol w:w="1185"/>
        <w:gridCol w:w="872"/>
      </w:tblGrid>
      <w:tr w14:paraId="2C44F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exact"/>
          <w:tblHeader/>
          <w:jc w:val="center"/>
        </w:trPr>
        <w:tc>
          <w:tcPr>
            <w:tcW w:w="805" w:type="dxa"/>
            <w:shd w:val="clear" w:color="auto" w:fill="BEBEBE"/>
            <w:vAlign w:val="center"/>
          </w:tcPr>
          <w:p w14:paraId="2C1455D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序号</w:t>
            </w:r>
          </w:p>
        </w:tc>
        <w:tc>
          <w:tcPr>
            <w:tcW w:w="1364" w:type="dxa"/>
            <w:shd w:val="clear" w:color="auto" w:fill="BEBEBE"/>
            <w:vAlign w:val="center"/>
          </w:tcPr>
          <w:p w14:paraId="3D56626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风险类别</w:t>
            </w:r>
          </w:p>
        </w:tc>
        <w:tc>
          <w:tcPr>
            <w:tcW w:w="3725" w:type="dxa"/>
            <w:shd w:val="clear" w:color="auto" w:fill="BEBEBE"/>
            <w:vAlign w:val="center"/>
          </w:tcPr>
          <w:p w14:paraId="1573F1D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kern w:val="0"/>
                <w:sz w:val="28"/>
                <w:szCs w:val="28"/>
              </w:rPr>
              <w:t>风险指标</w:t>
            </w:r>
          </w:p>
        </w:tc>
        <w:tc>
          <w:tcPr>
            <w:tcW w:w="4714" w:type="dxa"/>
            <w:shd w:val="clear" w:color="auto" w:fill="BEBEBE"/>
            <w:vAlign w:val="center"/>
          </w:tcPr>
          <w:p w14:paraId="288E724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风险管控措施</w:t>
            </w:r>
          </w:p>
        </w:tc>
        <w:tc>
          <w:tcPr>
            <w:tcW w:w="1530" w:type="dxa"/>
            <w:shd w:val="clear" w:color="auto" w:fill="BEBEBE"/>
            <w:vAlign w:val="center"/>
          </w:tcPr>
          <w:p w14:paraId="7A8DB9E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管控形式</w:t>
            </w:r>
          </w:p>
        </w:tc>
        <w:tc>
          <w:tcPr>
            <w:tcW w:w="1185" w:type="dxa"/>
            <w:shd w:val="clear" w:color="auto" w:fill="BEBEBE"/>
            <w:vAlign w:val="center"/>
          </w:tcPr>
          <w:p w14:paraId="62FEDCD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责任人</w:t>
            </w:r>
          </w:p>
        </w:tc>
        <w:tc>
          <w:tcPr>
            <w:tcW w:w="872" w:type="dxa"/>
            <w:shd w:val="clear" w:color="auto" w:fill="BEBEBE"/>
            <w:vAlign w:val="center"/>
          </w:tcPr>
          <w:p w14:paraId="5383743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备注</w:t>
            </w:r>
          </w:p>
        </w:tc>
      </w:tr>
      <w:tr w14:paraId="632A6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5D66FC2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w:t>
            </w:r>
          </w:p>
        </w:tc>
        <w:tc>
          <w:tcPr>
            <w:tcW w:w="1364" w:type="dxa"/>
            <w:vMerge w:val="restart"/>
            <w:vAlign w:val="center"/>
          </w:tcPr>
          <w:p w14:paraId="63E8A58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人员</w:t>
            </w:r>
          </w:p>
        </w:tc>
        <w:tc>
          <w:tcPr>
            <w:tcW w:w="3725" w:type="dxa"/>
            <w:vAlign w:val="center"/>
          </w:tcPr>
          <w:p w14:paraId="0F10DE9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未按规定配置安全管理人员</w:t>
            </w:r>
          </w:p>
        </w:tc>
        <w:tc>
          <w:tcPr>
            <w:tcW w:w="4714" w:type="dxa"/>
            <w:vAlign w:val="center"/>
          </w:tcPr>
          <w:p w14:paraId="5DB1038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1.建立特种设备安全管理人员管理制度；</w:t>
            </w:r>
          </w:p>
          <w:p w14:paraId="715FC4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2.定期检查人员证件</w:t>
            </w:r>
          </w:p>
        </w:tc>
        <w:tc>
          <w:tcPr>
            <w:tcW w:w="1530" w:type="dxa"/>
            <w:vAlign w:val="center"/>
          </w:tcPr>
          <w:p w14:paraId="2BA37FA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185" w:type="dxa"/>
            <w:vAlign w:val="center"/>
          </w:tcPr>
          <w:p w14:paraId="1D6DA89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872" w:type="dxa"/>
            <w:vAlign w:val="center"/>
          </w:tcPr>
          <w:p w14:paraId="54D2637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0F0C8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1" w:hRule="exact"/>
          <w:jc w:val="center"/>
        </w:trPr>
        <w:tc>
          <w:tcPr>
            <w:tcW w:w="805" w:type="dxa"/>
            <w:vAlign w:val="center"/>
          </w:tcPr>
          <w:p w14:paraId="31BA748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w:t>
            </w:r>
          </w:p>
        </w:tc>
        <w:tc>
          <w:tcPr>
            <w:tcW w:w="1364" w:type="dxa"/>
            <w:vMerge w:val="continue"/>
            <w:vAlign w:val="center"/>
          </w:tcPr>
          <w:p w14:paraId="10FFEBD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101B554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未按规定定期开展安全培训，培训未覆盖相关人员</w:t>
            </w:r>
          </w:p>
        </w:tc>
        <w:tc>
          <w:tcPr>
            <w:tcW w:w="4714" w:type="dxa"/>
            <w:vAlign w:val="center"/>
          </w:tcPr>
          <w:p w14:paraId="40D619B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1.建立人员安全培训制度；</w:t>
            </w:r>
          </w:p>
          <w:p w14:paraId="4E540EC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2.定期对相关人员进行培训教育和考核</w:t>
            </w:r>
          </w:p>
        </w:tc>
        <w:tc>
          <w:tcPr>
            <w:tcW w:w="1530" w:type="dxa"/>
            <w:vAlign w:val="center"/>
          </w:tcPr>
          <w:p w14:paraId="79F1033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周排查</w:t>
            </w:r>
          </w:p>
        </w:tc>
        <w:tc>
          <w:tcPr>
            <w:tcW w:w="1185" w:type="dxa"/>
            <w:vAlign w:val="center"/>
          </w:tcPr>
          <w:p w14:paraId="4CA84B4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安全总监</w:t>
            </w:r>
          </w:p>
        </w:tc>
        <w:tc>
          <w:tcPr>
            <w:tcW w:w="872" w:type="dxa"/>
            <w:vAlign w:val="center"/>
          </w:tcPr>
          <w:p w14:paraId="4E92B72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E20C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4" w:hRule="exact"/>
          <w:jc w:val="center"/>
        </w:trPr>
        <w:tc>
          <w:tcPr>
            <w:tcW w:w="805" w:type="dxa"/>
            <w:vAlign w:val="center"/>
          </w:tcPr>
          <w:p w14:paraId="401E576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w:t>
            </w:r>
          </w:p>
        </w:tc>
        <w:tc>
          <w:tcPr>
            <w:tcW w:w="1364" w:type="dxa"/>
            <w:vMerge w:val="continue"/>
            <w:vAlign w:val="center"/>
          </w:tcPr>
          <w:p w14:paraId="543C275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49F0F7E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未按规定配备安全总监、安全员、操作人员</w:t>
            </w:r>
          </w:p>
        </w:tc>
        <w:tc>
          <w:tcPr>
            <w:tcW w:w="4714" w:type="dxa"/>
            <w:vAlign w:val="center"/>
          </w:tcPr>
          <w:p w14:paraId="4A128DD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按规定配备相关人员</w:t>
            </w:r>
          </w:p>
        </w:tc>
        <w:tc>
          <w:tcPr>
            <w:tcW w:w="1530" w:type="dxa"/>
            <w:vMerge w:val="restart"/>
            <w:vAlign w:val="center"/>
          </w:tcPr>
          <w:p w14:paraId="6081CB1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月调度</w:t>
            </w:r>
          </w:p>
        </w:tc>
        <w:tc>
          <w:tcPr>
            <w:tcW w:w="1185" w:type="dxa"/>
            <w:vMerge w:val="restart"/>
            <w:vAlign w:val="center"/>
          </w:tcPr>
          <w:p w14:paraId="35074D1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主要负责人</w:t>
            </w:r>
          </w:p>
        </w:tc>
        <w:tc>
          <w:tcPr>
            <w:tcW w:w="872" w:type="dxa"/>
            <w:vAlign w:val="center"/>
          </w:tcPr>
          <w:p w14:paraId="1F52DE0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0FD9C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44FD654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w:t>
            </w:r>
          </w:p>
        </w:tc>
        <w:tc>
          <w:tcPr>
            <w:tcW w:w="1364" w:type="dxa"/>
            <w:vMerge w:val="continue"/>
            <w:vAlign w:val="center"/>
          </w:tcPr>
          <w:p w14:paraId="4F0FC77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369B0BE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使用单位压力管道安全总监、安全员安全管理能力不足</w:t>
            </w:r>
          </w:p>
        </w:tc>
        <w:tc>
          <w:tcPr>
            <w:tcW w:w="4714" w:type="dxa"/>
            <w:vAlign w:val="center"/>
          </w:tcPr>
          <w:p w14:paraId="1B66751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1、定期组织宣贯压力管道有关法律法规、安全技术规范及相关标准培训；</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2、加强人员能力考核和建立人员激励约束机制</w:t>
            </w:r>
          </w:p>
        </w:tc>
        <w:tc>
          <w:tcPr>
            <w:tcW w:w="1530" w:type="dxa"/>
            <w:vMerge w:val="continue"/>
            <w:vAlign w:val="center"/>
          </w:tcPr>
          <w:p w14:paraId="00F51FA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4D7D20B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4C935BD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2142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exact"/>
          <w:jc w:val="center"/>
        </w:trPr>
        <w:tc>
          <w:tcPr>
            <w:tcW w:w="805" w:type="dxa"/>
            <w:vAlign w:val="center"/>
          </w:tcPr>
          <w:p w14:paraId="7505944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w:t>
            </w:r>
          </w:p>
        </w:tc>
        <w:tc>
          <w:tcPr>
            <w:tcW w:w="1364" w:type="dxa"/>
            <w:vMerge w:val="restart"/>
            <w:vAlign w:val="center"/>
          </w:tcPr>
          <w:p w14:paraId="7408C86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管理</w:t>
            </w:r>
          </w:p>
        </w:tc>
        <w:tc>
          <w:tcPr>
            <w:tcW w:w="3725" w:type="dxa"/>
            <w:vAlign w:val="center"/>
          </w:tcPr>
          <w:p w14:paraId="129D39C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未按规定办理使用登记</w:t>
            </w:r>
            <w:r>
              <w:rPr>
                <w:rFonts w:hint="default" w:ascii="Times New Roman" w:hAnsi="Times New Roman" w:eastAsia="宋体" w:cs="Times New Roman"/>
                <w:b w:val="0"/>
                <w:bCs w:val="0"/>
                <w:spacing w:val="6"/>
                <w:sz w:val="24"/>
                <w:szCs w:val="24"/>
              </w:rPr>
              <w:t>和按时申报检验</w:t>
            </w:r>
          </w:p>
        </w:tc>
        <w:tc>
          <w:tcPr>
            <w:tcW w:w="4714" w:type="dxa"/>
            <w:vAlign w:val="center"/>
          </w:tcPr>
          <w:p w14:paraId="64CB9D6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建立并严格执行使用登记、定期检验管理制度</w:t>
            </w:r>
          </w:p>
        </w:tc>
        <w:tc>
          <w:tcPr>
            <w:tcW w:w="1530" w:type="dxa"/>
            <w:vMerge w:val="restart"/>
            <w:vAlign w:val="center"/>
          </w:tcPr>
          <w:p w14:paraId="019F86F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周排查</w:t>
            </w:r>
          </w:p>
        </w:tc>
        <w:tc>
          <w:tcPr>
            <w:tcW w:w="1185" w:type="dxa"/>
            <w:vMerge w:val="restart"/>
            <w:vAlign w:val="center"/>
          </w:tcPr>
          <w:p w14:paraId="4645FD4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安全总监</w:t>
            </w:r>
          </w:p>
        </w:tc>
        <w:tc>
          <w:tcPr>
            <w:tcW w:w="872" w:type="dxa"/>
            <w:vAlign w:val="center"/>
          </w:tcPr>
          <w:p w14:paraId="007FAE5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4052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69564C6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6</w:t>
            </w:r>
          </w:p>
        </w:tc>
        <w:tc>
          <w:tcPr>
            <w:tcW w:w="1364" w:type="dxa"/>
            <w:vMerge w:val="continue"/>
            <w:vAlign w:val="center"/>
          </w:tcPr>
          <w:p w14:paraId="09FCA40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588BD34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未建立安全技术档案；档案文件内容和保存期限不满足相关规定</w:t>
            </w:r>
          </w:p>
        </w:tc>
        <w:tc>
          <w:tcPr>
            <w:tcW w:w="4714" w:type="dxa"/>
            <w:vAlign w:val="center"/>
          </w:tcPr>
          <w:p w14:paraId="62476FD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健全安全管理技术档案管理</w:t>
            </w:r>
          </w:p>
        </w:tc>
        <w:tc>
          <w:tcPr>
            <w:tcW w:w="1530" w:type="dxa"/>
            <w:vMerge w:val="continue"/>
            <w:vAlign w:val="center"/>
          </w:tcPr>
          <w:p w14:paraId="7FB7763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3AB47B2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042783F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6EF99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40459BC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7</w:t>
            </w:r>
          </w:p>
        </w:tc>
        <w:tc>
          <w:tcPr>
            <w:tcW w:w="1364" w:type="dxa"/>
            <w:vMerge w:val="continue"/>
            <w:vAlign w:val="center"/>
          </w:tcPr>
          <w:p w14:paraId="2D04CA8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26EBD45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未定期开展日常维护保养，安全检查</w:t>
            </w:r>
          </w:p>
        </w:tc>
        <w:tc>
          <w:tcPr>
            <w:tcW w:w="4714" w:type="dxa"/>
            <w:vAlign w:val="center"/>
          </w:tcPr>
          <w:p w14:paraId="25B6582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定期开展日常维护保养，安全检查</w:t>
            </w:r>
          </w:p>
        </w:tc>
        <w:tc>
          <w:tcPr>
            <w:tcW w:w="1530" w:type="dxa"/>
            <w:vMerge w:val="continue"/>
            <w:vAlign w:val="center"/>
          </w:tcPr>
          <w:p w14:paraId="73BCEAE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3F85F05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5DF6ED3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ABD6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5520C23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8</w:t>
            </w:r>
          </w:p>
        </w:tc>
        <w:tc>
          <w:tcPr>
            <w:tcW w:w="1364" w:type="dxa"/>
            <w:vMerge w:val="restart"/>
            <w:vAlign w:val="center"/>
          </w:tcPr>
          <w:p w14:paraId="7379DF9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管理</w:t>
            </w:r>
          </w:p>
        </w:tc>
        <w:tc>
          <w:tcPr>
            <w:tcW w:w="3725" w:type="dxa"/>
            <w:vAlign w:val="center"/>
          </w:tcPr>
          <w:p w14:paraId="4267F4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未建立压力管道操作规程</w:t>
            </w:r>
          </w:p>
        </w:tc>
        <w:tc>
          <w:tcPr>
            <w:tcW w:w="4714" w:type="dxa"/>
            <w:vAlign w:val="center"/>
          </w:tcPr>
          <w:p w14:paraId="0120DA8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1.建立完善操作规程；</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2.加强人员培训并组织实施</w:t>
            </w:r>
          </w:p>
        </w:tc>
        <w:tc>
          <w:tcPr>
            <w:tcW w:w="1530" w:type="dxa"/>
            <w:vMerge w:val="restart"/>
            <w:vAlign w:val="center"/>
          </w:tcPr>
          <w:p w14:paraId="23DEEFB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周排查</w:t>
            </w:r>
          </w:p>
        </w:tc>
        <w:tc>
          <w:tcPr>
            <w:tcW w:w="1185" w:type="dxa"/>
            <w:vMerge w:val="restart"/>
            <w:vAlign w:val="center"/>
          </w:tcPr>
          <w:p w14:paraId="609A276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安全总监</w:t>
            </w:r>
          </w:p>
        </w:tc>
        <w:tc>
          <w:tcPr>
            <w:tcW w:w="872" w:type="dxa"/>
            <w:vAlign w:val="center"/>
          </w:tcPr>
          <w:p w14:paraId="75089C7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F0EF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287597E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9</w:t>
            </w:r>
          </w:p>
        </w:tc>
        <w:tc>
          <w:tcPr>
            <w:tcW w:w="1364" w:type="dxa"/>
            <w:vMerge w:val="continue"/>
            <w:vAlign w:val="center"/>
          </w:tcPr>
          <w:p w14:paraId="425B992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6D361E6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安全隐患未及时整改或未按规定采取监控措施使用存在隐患的压力管道</w:t>
            </w:r>
          </w:p>
        </w:tc>
        <w:tc>
          <w:tcPr>
            <w:tcW w:w="4714" w:type="dxa"/>
            <w:vAlign w:val="center"/>
          </w:tcPr>
          <w:p w14:paraId="19D576E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制定压力管道隐患整改计划，明确监控措施及责任人</w:t>
            </w:r>
          </w:p>
        </w:tc>
        <w:tc>
          <w:tcPr>
            <w:tcW w:w="1530" w:type="dxa"/>
            <w:vMerge w:val="continue"/>
            <w:vAlign w:val="center"/>
          </w:tcPr>
          <w:p w14:paraId="590C68C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3ACA751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6143418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F144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2" w:hRule="atLeast"/>
          <w:jc w:val="center"/>
        </w:trPr>
        <w:tc>
          <w:tcPr>
            <w:tcW w:w="805" w:type="dxa"/>
            <w:vAlign w:val="center"/>
          </w:tcPr>
          <w:p w14:paraId="45B9638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10</w:t>
            </w:r>
          </w:p>
        </w:tc>
        <w:tc>
          <w:tcPr>
            <w:tcW w:w="1364" w:type="dxa"/>
            <w:vMerge w:val="continue"/>
            <w:vAlign w:val="center"/>
          </w:tcPr>
          <w:p w14:paraId="0711172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350F0E4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pacing w:val="6"/>
                <w:sz w:val="24"/>
                <w:szCs w:val="24"/>
              </w:rPr>
              <w:t>未建立岗位责任、隐患治理、应急救援等安全管理制度，制定操作规程或相关制度不完善</w:t>
            </w:r>
          </w:p>
        </w:tc>
        <w:tc>
          <w:tcPr>
            <w:tcW w:w="4714" w:type="dxa"/>
            <w:vAlign w:val="center"/>
          </w:tcPr>
          <w:p w14:paraId="2B2E19D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sz w:val="24"/>
                <w:szCs w:val="24"/>
              </w:rPr>
              <w:t>根据单位实际情况，及时建立健全各类安全管理制度和操作规程</w:t>
            </w:r>
          </w:p>
        </w:tc>
        <w:tc>
          <w:tcPr>
            <w:tcW w:w="1530" w:type="dxa"/>
            <w:vMerge w:val="restart"/>
            <w:vAlign w:val="center"/>
          </w:tcPr>
          <w:p w14:paraId="76ACFCC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月调度</w:t>
            </w:r>
          </w:p>
        </w:tc>
        <w:tc>
          <w:tcPr>
            <w:tcW w:w="1185" w:type="dxa"/>
            <w:vMerge w:val="restart"/>
            <w:vAlign w:val="center"/>
          </w:tcPr>
          <w:p w14:paraId="01628B4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主要负责人</w:t>
            </w:r>
          </w:p>
        </w:tc>
        <w:tc>
          <w:tcPr>
            <w:tcW w:w="872" w:type="dxa"/>
            <w:vAlign w:val="center"/>
          </w:tcPr>
          <w:p w14:paraId="422FC97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296D8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076BBE5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11</w:t>
            </w:r>
          </w:p>
        </w:tc>
        <w:tc>
          <w:tcPr>
            <w:tcW w:w="1364" w:type="dxa"/>
            <w:vMerge w:val="continue"/>
            <w:vAlign w:val="center"/>
          </w:tcPr>
          <w:p w14:paraId="2DA0770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03813A5A">
            <w:pPr>
              <w:keepNext w:val="0"/>
              <w:keepLines w:val="0"/>
              <w:pageBreakBefore w:val="0"/>
              <w:widowControl/>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未及时办理使用登记、变更登记、停用、报废（注销）等相关手续</w:t>
            </w:r>
          </w:p>
        </w:tc>
        <w:tc>
          <w:tcPr>
            <w:tcW w:w="4714" w:type="dxa"/>
            <w:vAlign w:val="center"/>
          </w:tcPr>
          <w:p w14:paraId="325AE77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立即办理使用登记、变更登记、停用、报废（注销）等相关手续</w:t>
            </w:r>
          </w:p>
        </w:tc>
        <w:tc>
          <w:tcPr>
            <w:tcW w:w="1530" w:type="dxa"/>
            <w:vMerge w:val="continue"/>
            <w:vAlign w:val="center"/>
          </w:tcPr>
          <w:p w14:paraId="18E404B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13A296C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42ADAF7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69F8B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805" w:type="dxa"/>
            <w:vAlign w:val="center"/>
          </w:tcPr>
          <w:p w14:paraId="62C93C0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highlight w:val="yellow"/>
              </w:rPr>
            </w:pPr>
            <w:r>
              <w:rPr>
                <w:rFonts w:hint="default" w:ascii="Times New Roman" w:hAnsi="Times New Roman" w:eastAsia="宋体" w:cs="Times New Roman"/>
                <w:b w:val="0"/>
                <w:bCs w:val="0"/>
                <w:color w:val="000000"/>
                <w:kern w:val="0"/>
                <w:sz w:val="24"/>
                <w:szCs w:val="24"/>
              </w:rPr>
              <w:t>12</w:t>
            </w:r>
          </w:p>
        </w:tc>
        <w:tc>
          <w:tcPr>
            <w:tcW w:w="1364" w:type="dxa"/>
            <w:vMerge w:val="continue"/>
            <w:vAlign w:val="center"/>
          </w:tcPr>
          <w:p w14:paraId="5F9B2AB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highlight w:val="yellow"/>
              </w:rPr>
            </w:pPr>
          </w:p>
        </w:tc>
        <w:tc>
          <w:tcPr>
            <w:tcW w:w="3725" w:type="dxa"/>
            <w:vAlign w:val="center"/>
          </w:tcPr>
          <w:p w14:paraId="0243230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未对已报废的压力管道去功能化处理，未对办理停用的压力管道采取有效的保护措施</w:t>
            </w:r>
          </w:p>
        </w:tc>
        <w:tc>
          <w:tcPr>
            <w:tcW w:w="4714" w:type="dxa"/>
            <w:vAlign w:val="center"/>
          </w:tcPr>
          <w:p w14:paraId="3E0251D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1.加强对报废的压力管道管理，及时采取必要措施消除使用功能；</w:t>
            </w:r>
          </w:p>
          <w:p w14:paraId="13684C4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2.加强停用压力管道管理，采取有效保护措施，且设置停用标志</w:t>
            </w:r>
          </w:p>
        </w:tc>
        <w:tc>
          <w:tcPr>
            <w:tcW w:w="1530" w:type="dxa"/>
            <w:vMerge w:val="continue"/>
            <w:vAlign w:val="center"/>
          </w:tcPr>
          <w:p w14:paraId="5C23642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3DAAAF1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3F28CFF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37E6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6960BDC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13</w:t>
            </w:r>
          </w:p>
        </w:tc>
        <w:tc>
          <w:tcPr>
            <w:tcW w:w="1364" w:type="dxa"/>
            <w:vMerge w:val="continue"/>
            <w:vAlign w:val="center"/>
          </w:tcPr>
          <w:p w14:paraId="2B5B8A2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3567C402">
            <w:pPr>
              <w:keepNext w:val="0"/>
              <w:keepLines w:val="0"/>
              <w:pageBreakBefore w:val="0"/>
              <w:widowControl/>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未按规定开展压力管道年度检查，定期检验，办理延期检验的未采取有效监控</w:t>
            </w:r>
          </w:p>
        </w:tc>
        <w:tc>
          <w:tcPr>
            <w:tcW w:w="4714" w:type="dxa"/>
            <w:vAlign w:val="center"/>
          </w:tcPr>
          <w:p w14:paraId="4A6CEBF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1.按规定开展压力管道年度检查，定期检验；</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2.延期检验的压力管道经检验机构确认及使用登记机构备案后采取有效措施监控使用</w:t>
            </w:r>
          </w:p>
        </w:tc>
        <w:tc>
          <w:tcPr>
            <w:tcW w:w="1530" w:type="dxa"/>
            <w:vMerge w:val="continue"/>
            <w:vAlign w:val="center"/>
          </w:tcPr>
          <w:p w14:paraId="4FEE884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0510B79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68602D6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4DBCE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492DC24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14</w:t>
            </w:r>
          </w:p>
        </w:tc>
        <w:tc>
          <w:tcPr>
            <w:tcW w:w="1364" w:type="dxa"/>
            <w:vMerge w:val="continue"/>
            <w:vAlign w:val="center"/>
          </w:tcPr>
          <w:p w14:paraId="4F34F60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4B1388A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未落实压力管道安全事故报告义务，未采取有效措施防止事故扩大</w:t>
            </w:r>
          </w:p>
        </w:tc>
        <w:tc>
          <w:tcPr>
            <w:tcW w:w="4714" w:type="dxa"/>
            <w:vAlign w:val="center"/>
          </w:tcPr>
          <w:p w14:paraId="07D1CE1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1.严格落实压力管道安全事故报告制度；</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2.及时采取有效措施防止事故扩大</w:t>
            </w:r>
          </w:p>
        </w:tc>
        <w:tc>
          <w:tcPr>
            <w:tcW w:w="1530" w:type="dxa"/>
            <w:vMerge w:val="restart"/>
            <w:vAlign w:val="center"/>
          </w:tcPr>
          <w:p w14:paraId="19AB6EF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月调度</w:t>
            </w:r>
          </w:p>
        </w:tc>
        <w:tc>
          <w:tcPr>
            <w:tcW w:w="1185" w:type="dxa"/>
            <w:vMerge w:val="restart"/>
            <w:vAlign w:val="center"/>
          </w:tcPr>
          <w:p w14:paraId="7594046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主要负责人</w:t>
            </w:r>
          </w:p>
        </w:tc>
        <w:tc>
          <w:tcPr>
            <w:tcW w:w="872" w:type="dxa"/>
            <w:vAlign w:val="center"/>
          </w:tcPr>
          <w:p w14:paraId="1950185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43F5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2" w:hRule="exact"/>
          <w:jc w:val="center"/>
        </w:trPr>
        <w:tc>
          <w:tcPr>
            <w:tcW w:w="805" w:type="dxa"/>
            <w:vAlign w:val="center"/>
          </w:tcPr>
          <w:p w14:paraId="1A85D93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15</w:t>
            </w:r>
          </w:p>
        </w:tc>
        <w:tc>
          <w:tcPr>
            <w:tcW w:w="1364" w:type="dxa"/>
            <w:vMerge w:val="continue"/>
            <w:vAlign w:val="center"/>
          </w:tcPr>
          <w:p w14:paraId="52574FD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4404371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未建立压力管道、安全附件、操作人员台账</w:t>
            </w:r>
          </w:p>
        </w:tc>
        <w:tc>
          <w:tcPr>
            <w:tcW w:w="4714" w:type="dxa"/>
            <w:vAlign w:val="center"/>
          </w:tcPr>
          <w:p w14:paraId="54899EE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建立健全压力管道、安全附件、操作人员台账，并进行动态管理</w:t>
            </w:r>
          </w:p>
        </w:tc>
        <w:tc>
          <w:tcPr>
            <w:tcW w:w="1530" w:type="dxa"/>
            <w:vMerge w:val="continue"/>
            <w:vAlign w:val="center"/>
          </w:tcPr>
          <w:p w14:paraId="25B2D24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7C4A241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26AB113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70738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0" w:hRule="exact"/>
          <w:jc w:val="center"/>
        </w:trPr>
        <w:tc>
          <w:tcPr>
            <w:tcW w:w="805" w:type="dxa"/>
            <w:vAlign w:val="center"/>
          </w:tcPr>
          <w:p w14:paraId="7C42B5B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16</w:t>
            </w:r>
          </w:p>
        </w:tc>
        <w:tc>
          <w:tcPr>
            <w:tcW w:w="1364" w:type="dxa"/>
            <w:vMerge w:val="continue"/>
            <w:vAlign w:val="center"/>
          </w:tcPr>
          <w:p w14:paraId="025E9FB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62274BF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未建立特种设备事故应急专项预案；并定期演练</w:t>
            </w:r>
          </w:p>
        </w:tc>
        <w:tc>
          <w:tcPr>
            <w:tcW w:w="4714" w:type="dxa"/>
            <w:vAlign w:val="center"/>
          </w:tcPr>
          <w:p w14:paraId="28BBE4F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1．建立并完善特种设备事故应急专项预案；</w:t>
            </w:r>
          </w:p>
          <w:p w14:paraId="7023ECF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2．按技术规范要求定期开展应急演练，并留存演练记录</w:t>
            </w:r>
          </w:p>
        </w:tc>
        <w:tc>
          <w:tcPr>
            <w:tcW w:w="1530" w:type="dxa"/>
            <w:vMerge w:val="continue"/>
            <w:vAlign w:val="center"/>
          </w:tcPr>
          <w:p w14:paraId="41A6AE0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0666FC1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3E1ED82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40EC6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4C8A57D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17</w:t>
            </w:r>
          </w:p>
        </w:tc>
        <w:tc>
          <w:tcPr>
            <w:tcW w:w="1364" w:type="dxa"/>
            <w:vMerge w:val="restart"/>
            <w:vAlign w:val="center"/>
          </w:tcPr>
          <w:p w14:paraId="7897734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设备</w:t>
            </w:r>
          </w:p>
        </w:tc>
        <w:tc>
          <w:tcPr>
            <w:tcW w:w="3725" w:type="dxa"/>
            <w:vAlign w:val="center"/>
          </w:tcPr>
          <w:p w14:paraId="0B5BF03F">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管道组成件、焊接接头有无裂纹、过热、变形、损伤等缺陷</w:t>
            </w:r>
          </w:p>
        </w:tc>
        <w:tc>
          <w:tcPr>
            <w:tcW w:w="4714" w:type="dxa"/>
            <w:vAlign w:val="center"/>
          </w:tcPr>
          <w:p w14:paraId="67E331D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1．对管道严格验收要求；</w:t>
            </w:r>
          </w:p>
          <w:p w14:paraId="19970C10">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2．必要时采取监控、隔离、维修等安全措施，并做好预案，及时消除隐患</w:t>
            </w:r>
          </w:p>
        </w:tc>
        <w:tc>
          <w:tcPr>
            <w:tcW w:w="1530" w:type="dxa"/>
            <w:vMerge w:val="restart"/>
            <w:vAlign w:val="center"/>
          </w:tcPr>
          <w:p w14:paraId="7D0960D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185" w:type="dxa"/>
            <w:vMerge w:val="restart"/>
            <w:vAlign w:val="center"/>
          </w:tcPr>
          <w:p w14:paraId="1D33458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872" w:type="dxa"/>
            <w:vAlign w:val="center"/>
          </w:tcPr>
          <w:p w14:paraId="32ABF64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color w:val="00B050"/>
                <w:kern w:val="0"/>
                <w:sz w:val="24"/>
                <w:szCs w:val="24"/>
                <w:highlight w:val="yellow"/>
              </w:rPr>
            </w:pPr>
          </w:p>
        </w:tc>
      </w:tr>
      <w:tr w14:paraId="3D94B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1" w:hRule="exact"/>
          <w:jc w:val="center"/>
        </w:trPr>
        <w:tc>
          <w:tcPr>
            <w:tcW w:w="805" w:type="dxa"/>
            <w:vAlign w:val="center"/>
          </w:tcPr>
          <w:p w14:paraId="576B8BD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18</w:t>
            </w:r>
          </w:p>
        </w:tc>
        <w:tc>
          <w:tcPr>
            <w:tcW w:w="1364" w:type="dxa"/>
            <w:vMerge w:val="continue"/>
            <w:vAlign w:val="center"/>
          </w:tcPr>
          <w:p w14:paraId="5AE4F5C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5D2D5B2C">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压力管道膨胀受阻，膨胀补偿装置存在缺陷</w:t>
            </w:r>
          </w:p>
        </w:tc>
        <w:tc>
          <w:tcPr>
            <w:tcW w:w="4714" w:type="dxa"/>
            <w:vAlign w:val="center"/>
          </w:tcPr>
          <w:p w14:paraId="5DAC7F4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查明并消除受阻原因，确保自由膨胀</w:t>
            </w:r>
          </w:p>
        </w:tc>
        <w:tc>
          <w:tcPr>
            <w:tcW w:w="1530" w:type="dxa"/>
            <w:vMerge w:val="continue"/>
            <w:vAlign w:val="center"/>
          </w:tcPr>
          <w:p w14:paraId="2CE6C7E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4ED97AF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3DE684C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B9F7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0C1EC5B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19</w:t>
            </w:r>
          </w:p>
        </w:tc>
        <w:tc>
          <w:tcPr>
            <w:tcW w:w="1364" w:type="dxa"/>
            <w:vMerge w:val="continue"/>
            <w:vAlign w:val="center"/>
          </w:tcPr>
          <w:p w14:paraId="1E57DE1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4A00B07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存在阀门表面腐蚀、阀体有裂纹、严重缩孔、连接螺栓松动等情况</w:t>
            </w:r>
          </w:p>
        </w:tc>
        <w:tc>
          <w:tcPr>
            <w:tcW w:w="4714" w:type="dxa"/>
            <w:vAlign w:val="center"/>
          </w:tcPr>
          <w:p w14:paraId="0068C82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查明原因，消除隐患</w:t>
            </w:r>
          </w:p>
        </w:tc>
        <w:tc>
          <w:tcPr>
            <w:tcW w:w="1530" w:type="dxa"/>
            <w:vMerge w:val="continue"/>
            <w:vAlign w:val="center"/>
          </w:tcPr>
          <w:p w14:paraId="51EF423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2320836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696FFCB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60C7A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805" w:type="dxa"/>
            <w:vAlign w:val="center"/>
          </w:tcPr>
          <w:p w14:paraId="1C00B97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20</w:t>
            </w:r>
          </w:p>
        </w:tc>
        <w:tc>
          <w:tcPr>
            <w:tcW w:w="1364" w:type="dxa"/>
            <w:vMerge w:val="continue"/>
            <w:vAlign w:val="center"/>
          </w:tcPr>
          <w:p w14:paraId="43D6220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71AE88B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存在法兰偏口以及异常翘曲、变形、泄漏，紧固件不齐全、松动、腐蚀等情况</w:t>
            </w:r>
          </w:p>
        </w:tc>
        <w:tc>
          <w:tcPr>
            <w:tcW w:w="4714" w:type="dxa"/>
            <w:vAlign w:val="center"/>
          </w:tcPr>
          <w:p w14:paraId="743E98A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查明原因，消除隐患</w:t>
            </w:r>
          </w:p>
        </w:tc>
        <w:tc>
          <w:tcPr>
            <w:tcW w:w="1530" w:type="dxa"/>
            <w:vMerge w:val="continue"/>
            <w:vAlign w:val="center"/>
          </w:tcPr>
          <w:p w14:paraId="2983AB8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601BDDC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77D871B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7E15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805" w:type="dxa"/>
            <w:vAlign w:val="center"/>
          </w:tcPr>
          <w:p w14:paraId="57A7954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21</w:t>
            </w:r>
          </w:p>
        </w:tc>
        <w:tc>
          <w:tcPr>
            <w:tcW w:w="1364" w:type="dxa"/>
            <w:vMerge w:val="continue"/>
            <w:vAlign w:val="center"/>
          </w:tcPr>
          <w:p w14:paraId="6CE71F2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45DBA8D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压力管道与相邻构件异常振动、响声或者相互摩擦</w:t>
            </w:r>
          </w:p>
        </w:tc>
        <w:tc>
          <w:tcPr>
            <w:tcW w:w="4714" w:type="dxa"/>
            <w:vAlign w:val="center"/>
          </w:tcPr>
          <w:p w14:paraId="1E0ABFD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1.查明异常发生原因，及时消除隐患；</w:t>
            </w:r>
          </w:p>
          <w:p w14:paraId="203D731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2.制定运行、检修规程，按规程处置；避免疲劳运行；</w:t>
            </w:r>
          </w:p>
          <w:p w14:paraId="27ABEF1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3.必要时，采取监控、隔离、维修等安全措施，并做好预案</w:t>
            </w:r>
          </w:p>
        </w:tc>
        <w:tc>
          <w:tcPr>
            <w:tcW w:w="1530" w:type="dxa"/>
            <w:vMerge w:val="restart"/>
            <w:vAlign w:val="center"/>
          </w:tcPr>
          <w:p w14:paraId="29D13CC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185" w:type="dxa"/>
            <w:vMerge w:val="restart"/>
            <w:vAlign w:val="center"/>
          </w:tcPr>
          <w:p w14:paraId="363024B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872" w:type="dxa"/>
            <w:vAlign w:val="center"/>
          </w:tcPr>
          <w:p w14:paraId="6C5206D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65EC4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01FAC40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22</w:t>
            </w:r>
          </w:p>
        </w:tc>
        <w:tc>
          <w:tcPr>
            <w:tcW w:w="1364" w:type="dxa"/>
            <w:vMerge w:val="continue"/>
            <w:vAlign w:val="center"/>
          </w:tcPr>
          <w:p w14:paraId="5BA13DE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7B9B185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保温隔热层、防腐层破损，绝热层潮湿跑冷、结霜结露</w:t>
            </w:r>
          </w:p>
        </w:tc>
        <w:tc>
          <w:tcPr>
            <w:tcW w:w="4714" w:type="dxa"/>
            <w:vAlign w:val="center"/>
          </w:tcPr>
          <w:p w14:paraId="7D9D75F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1．检查破损部位压力管道是否存在损伤；</w:t>
            </w:r>
          </w:p>
          <w:p w14:paraId="4DA7683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2．及时对破损部位进行恢复；</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3。查明异常发生原因，及时消除隐患</w:t>
            </w:r>
          </w:p>
        </w:tc>
        <w:tc>
          <w:tcPr>
            <w:tcW w:w="1530" w:type="dxa"/>
            <w:vMerge w:val="continue"/>
            <w:vAlign w:val="center"/>
          </w:tcPr>
          <w:p w14:paraId="0EE9B03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7B48816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590A22E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E045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60FD2B6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23</w:t>
            </w:r>
          </w:p>
        </w:tc>
        <w:tc>
          <w:tcPr>
            <w:tcW w:w="1364" w:type="dxa"/>
            <w:vMerge w:val="continue"/>
            <w:vAlign w:val="center"/>
          </w:tcPr>
          <w:p w14:paraId="0869C3C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68262A1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非金属衬里或非金属管损坏</w:t>
            </w:r>
          </w:p>
        </w:tc>
        <w:tc>
          <w:tcPr>
            <w:tcW w:w="4714" w:type="dxa"/>
            <w:vAlign w:val="center"/>
          </w:tcPr>
          <w:p w14:paraId="5545C32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 查明异常发生原因，及时消除隐患；</w:t>
            </w:r>
          </w:p>
          <w:p w14:paraId="0F01708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2.必要时，采取监控、隔离、维修等安全措施，并做好预案</w:t>
            </w:r>
          </w:p>
        </w:tc>
        <w:tc>
          <w:tcPr>
            <w:tcW w:w="1530" w:type="dxa"/>
            <w:vMerge w:val="continue"/>
            <w:vAlign w:val="center"/>
          </w:tcPr>
          <w:p w14:paraId="1E8EFF0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485466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3186180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61B1F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1A3BE15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24</w:t>
            </w:r>
          </w:p>
        </w:tc>
        <w:tc>
          <w:tcPr>
            <w:tcW w:w="1364" w:type="dxa"/>
            <w:vMerge w:val="continue"/>
            <w:vAlign w:val="center"/>
          </w:tcPr>
          <w:p w14:paraId="0A4EC8D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01CED15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支吊架变形、脱落、腐蚀、损坏、失载、基础沉降等情况</w:t>
            </w:r>
          </w:p>
        </w:tc>
        <w:tc>
          <w:tcPr>
            <w:tcW w:w="4714" w:type="dxa"/>
            <w:vAlign w:val="center"/>
          </w:tcPr>
          <w:p w14:paraId="09E883D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加强日常检查监控，必要时及时进行修复</w:t>
            </w:r>
          </w:p>
        </w:tc>
        <w:tc>
          <w:tcPr>
            <w:tcW w:w="1530" w:type="dxa"/>
            <w:vMerge w:val="continue"/>
            <w:vAlign w:val="center"/>
          </w:tcPr>
          <w:p w14:paraId="2457766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4B10B96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5F10F21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8304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1BA7194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25</w:t>
            </w:r>
          </w:p>
        </w:tc>
        <w:tc>
          <w:tcPr>
            <w:tcW w:w="1364" w:type="dxa"/>
            <w:vMerge w:val="continue"/>
            <w:vAlign w:val="center"/>
          </w:tcPr>
          <w:p w14:paraId="2CAAB8A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009F0E7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运行期间超压、超温等</w:t>
            </w:r>
          </w:p>
        </w:tc>
        <w:tc>
          <w:tcPr>
            <w:tcW w:w="4714" w:type="dxa"/>
            <w:vAlign w:val="center"/>
          </w:tcPr>
          <w:p w14:paraId="6B430967">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1.制定运行操作规程，并严格执行；</w:t>
            </w:r>
          </w:p>
          <w:p w14:paraId="1FBF337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2.必要时进行检验、评估</w:t>
            </w:r>
          </w:p>
        </w:tc>
        <w:tc>
          <w:tcPr>
            <w:tcW w:w="1530" w:type="dxa"/>
            <w:vMerge w:val="continue"/>
            <w:vAlign w:val="center"/>
          </w:tcPr>
          <w:p w14:paraId="02A5ECB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548700E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61C23B8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01408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3281C61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26</w:t>
            </w:r>
          </w:p>
        </w:tc>
        <w:tc>
          <w:tcPr>
            <w:tcW w:w="1364" w:type="dxa"/>
            <w:vMerge w:val="continue"/>
            <w:vAlign w:val="center"/>
          </w:tcPr>
          <w:p w14:paraId="4B900CB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77A0FA2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接地装置不符合要求</w:t>
            </w:r>
          </w:p>
        </w:tc>
        <w:tc>
          <w:tcPr>
            <w:tcW w:w="4714" w:type="dxa"/>
            <w:vAlign w:val="center"/>
          </w:tcPr>
          <w:p w14:paraId="6A82C4A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1.查明异常原因，并及时处理；</w:t>
            </w:r>
          </w:p>
          <w:p w14:paraId="38CBE48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2.接地装置进行定期测量</w:t>
            </w:r>
          </w:p>
        </w:tc>
        <w:tc>
          <w:tcPr>
            <w:tcW w:w="1530" w:type="dxa"/>
            <w:vMerge w:val="continue"/>
            <w:vAlign w:val="center"/>
          </w:tcPr>
          <w:p w14:paraId="56EF220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1323B38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5C989F2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867A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vAlign w:val="center"/>
          </w:tcPr>
          <w:p w14:paraId="227F33B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27</w:t>
            </w:r>
          </w:p>
        </w:tc>
        <w:tc>
          <w:tcPr>
            <w:tcW w:w="1364" w:type="dxa"/>
            <w:vMerge w:val="continue"/>
            <w:vAlign w:val="center"/>
          </w:tcPr>
          <w:p w14:paraId="5A189B3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2946BD5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漆色、标志等不符合要求</w:t>
            </w:r>
          </w:p>
        </w:tc>
        <w:tc>
          <w:tcPr>
            <w:tcW w:w="4714" w:type="dxa"/>
            <w:vAlign w:val="center"/>
          </w:tcPr>
          <w:p w14:paraId="791BC69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按规定完善漆色、标志等</w:t>
            </w:r>
          </w:p>
        </w:tc>
        <w:tc>
          <w:tcPr>
            <w:tcW w:w="1530" w:type="dxa"/>
            <w:vMerge w:val="continue"/>
            <w:vAlign w:val="center"/>
          </w:tcPr>
          <w:p w14:paraId="2E254983">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1F9AAC0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298BE41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F0C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jc w:val="center"/>
        </w:trPr>
        <w:tc>
          <w:tcPr>
            <w:tcW w:w="805" w:type="dxa"/>
            <w:vAlign w:val="center"/>
          </w:tcPr>
          <w:p w14:paraId="03BA292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28</w:t>
            </w:r>
          </w:p>
        </w:tc>
        <w:tc>
          <w:tcPr>
            <w:tcW w:w="1364" w:type="dxa"/>
            <w:vMerge w:val="restart"/>
            <w:vAlign w:val="center"/>
          </w:tcPr>
          <w:p w14:paraId="58B27F8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安全附件和安全保护装置</w:t>
            </w:r>
          </w:p>
        </w:tc>
        <w:tc>
          <w:tcPr>
            <w:tcW w:w="3725" w:type="dxa"/>
            <w:vAlign w:val="center"/>
          </w:tcPr>
          <w:p w14:paraId="2E3C08EC">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安全阀的铅封、校验标签缺失，未在验有效期内；安全阀根部阀未常开。</w:t>
            </w:r>
          </w:p>
        </w:tc>
        <w:tc>
          <w:tcPr>
            <w:tcW w:w="4714" w:type="dxa"/>
            <w:vAlign w:val="center"/>
          </w:tcPr>
          <w:p w14:paraId="38DD410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1.重新校验安全阀；</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2.对安全阀铅封、校验标签采取保护措施；</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3.安全阀根部阀保持常开并锁定</w:t>
            </w:r>
          </w:p>
        </w:tc>
        <w:tc>
          <w:tcPr>
            <w:tcW w:w="1530" w:type="dxa"/>
            <w:vMerge w:val="restart"/>
            <w:vAlign w:val="center"/>
          </w:tcPr>
          <w:p w14:paraId="694FB25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185" w:type="dxa"/>
            <w:vMerge w:val="restart"/>
            <w:vAlign w:val="center"/>
          </w:tcPr>
          <w:p w14:paraId="6996DDE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872" w:type="dxa"/>
            <w:vAlign w:val="center"/>
          </w:tcPr>
          <w:p w14:paraId="48FF1C2D">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4C0E3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3" w:hRule="atLeast"/>
          <w:jc w:val="center"/>
        </w:trPr>
        <w:tc>
          <w:tcPr>
            <w:tcW w:w="805" w:type="dxa"/>
            <w:vAlign w:val="center"/>
          </w:tcPr>
          <w:p w14:paraId="0EBA8BF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29</w:t>
            </w:r>
          </w:p>
        </w:tc>
        <w:tc>
          <w:tcPr>
            <w:tcW w:w="1364" w:type="dxa"/>
            <w:vMerge w:val="continue"/>
            <w:vAlign w:val="center"/>
          </w:tcPr>
          <w:p w14:paraId="211FF5C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7D39F703">
            <w:pPr>
              <w:keepNext w:val="0"/>
              <w:keepLines w:val="0"/>
              <w:pageBreakBefore w:val="0"/>
              <w:widowControl/>
              <w:kinsoku/>
              <w:overflowPunct/>
              <w:autoSpaceDE w:val="0"/>
              <w:autoSpaceDN w:val="0"/>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爆破片泄漏、反装，未定期更换</w:t>
            </w:r>
          </w:p>
        </w:tc>
        <w:tc>
          <w:tcPr>
            <w:tcW w:w="4714" w:type="dxa"/>
            <w:vAlign w:val="center"/>
          </w:tcPr>
          <w:p w14:paraId="13D60D8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1.查明泄漏原因并消除；</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2.确认爆破片的安装方向；</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3.制定爆破片定期更换计划并实施</w:t>
            </w:r>
          </w:p>
        </w:tc>
        <w:tc>
          <w:tcPr>
            <w:tcW w:w="1530" w:type="dxa"/>
            <w:vMerge w:val="continue"/>
            <w:vAlign w:val="center"/>
          </w:tcPr>
          <w:p w14:paraId="75A0105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10604FA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68A5DDF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2AFB4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805" w:type="dxa"/>
            <w:vAlign w:val="center"/>
          </w:tcPr>
          <w:p w14:paraId="0310FDD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30</w:t>
            </w:r>
          </w:p>
        </w:tc>
        <w:tc>
          <w:tcPr>
            <w:tcW w:w="1364" w:type="dxa"/>
            <w:vMerge w:val="continue"/>
            <w:vAlign w:val="center"/>
          </w:tcPr>
          <w:p w14:paraId="665323D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1CF796E3">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压力表选型错误、未在检定有效期内，刻度盘上无指示工作压力的红线，压力表损坏</w:t>
            </w:r>
          </w:p>
        </w:tc>
        <w:tc>
          <w:tcPr>
            <w:tcW w:w="4714" w:type="dxa"/>
            <w:vAlign w:val="center"/>
          </w:tcPr>
          <w:p w14:paraId="2ECD036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1.根据工况选取符合要求的压力表；</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2.制定压力表定期检定计划并实施；</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3.刻度盘上标出工作压力的红线；</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4.及时更换损坏的压力表</w:t>
            </w:r>
          </w:p>
        </w:tc>
        <w:tc>
          <w:tcPr>
            <w:tcW w:w="1530" w:type="dxa"/>
            <w:vMerge w:val="continue"/>
            <w:vAlign w:val="center"/>
          </w:tcPr>
          <w:p w14:paraId="0DE66DEE">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4FAA5FD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1E94B64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70632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7" w:hRule="exact"/>
          <w:jc w:val="center"/>
        </w:trPr>
        <w:tc>
          <w:tcPr>
            <w:tcW w:w="805" w:type="dxa"/>
            <w:tcBorders>
              <w:bottom w:val="single" w:color="auto" w:sz="4" w:space="0"/>
            </w:tcBorders>
            <w:vAlign w:val="center"/>
          </w:tcPr>
          <w:p w14:paraId="3606E75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31</w:t>
            </w:r>
          </w:p>
        </w:tc>
        <w:tc>
          <w:tcPr>
            <w:tcW w:w="1364" w:type="dxa"/>
            <w:vMerge w:val="continue"/>
            <w:vAlign w:val="center"/>
          </w:tcPr>
          <w:p w14:paraId="7103BC1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5EEEC7F7">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阻火器泄漏、反装及其他异常情况</w:t>
            </w:r>
          </w:p>
        </w:tc>
        <w:tc>
          <w:tcPr>
            <w:tcW w:w="4714" w:type="dxa"/>
            <w:vAlign w:val="center"/>
          </w:tcPr>
          <w:p w14:paraId="2651D2A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1.查明泄漏原因并消除；</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2.确认阻火器的安装方向（限单向阻火器）</w:t>
            </w:r>
          </w:p>
        </w:tc>
        <w:tc>
          <w:tcPr>
            <w:tcW w:w="1530" w:type="dxa"/>
            <w:vMerge w:val="continue"/>
            <w:vAlign w:val="center"/>
          </w:tcPr>
          <w:p w14:paraId="167D5A8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4C07E03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2C684DF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40A24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exact"/>
          <w:jc w:val="center"/>
        </w:trPr>
        <w:tc>
          <w:tcPr>
            <w:tcW w:w="805" w:type="dxa"/>
            <w:tcBorders>
              <w:top w:val="single" w:color="auto" w:sz="4" w:space="0"/>
            </w:tcBorders>
            <w:vAlign w:val="center"/>
          </w:tcPr>
          <w:p w14:paraId="0EAADCD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32</w:t>
            </w:r>
          </w:p>
        </w:tc>
        <w:tc>
          <w:tcPr>
            <w:tcW w:w="1364" w:type="dxa"/>
            <w:vMerge w:val="continue"/>
            <w:vAlign w:val="center"/>
          </w:tcPr>
          <w:p w14:paraId="2BE79C9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226CA97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紧急切断装置未定期调试，功能失效</w:t>
            </w:r>
          </w:p>
        </w:tc>
        <w:tc>
          <w:tcPr>
            <w:tcW w:w="4714" w:type="dxa"/>
            <w:vAlign w:val="center"/>
          </w:tcPr>
          <w:p w14:paraId="0A1E8CA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1.定期对紧急切断装置调试，确保功能有效；</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2.必要时对远控联锁功能进行测试</w:t>
            </w:r>
          </w:p>
        </w:tc>
        <w:tc>
          <w:tcPr>
            <w:tcW w:w="1530" w:type="dxa"/>
            <w:vMerge w:val="restart"/>
            <w:vAlign w:val="center"/>
          </w:tcPr>
          <w:p w14:paraId="371F302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周排查</w:t>
            </w:r>
          </w:p>
        </w:tc>
        <w:tc>
          <w:tcPr>
            <w:tcW w:w="1185" w:type="dxa"/>
            <w:vMerge w:val="restart"/>
            <w:vAlign w:val="center"/>
          </w:tcPr>
          <w:p w14:paraId="018EFAB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安全总监</w:t>
            </w:r>
          </w:p>
        </w:tc>
        <w:tc>
          <w:tcPr>
            <w:tcW w:w="872" w:type="dxa"/>
            <w:vAlign w:val="center"/>
          </w:tcPr>
          <w:p w14:paraId="79E41D4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137E1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exact"/>
          <w:jc w:val="center"/>
        </w:trPr>
        <w:tc>
          <w:tcPr>
            <w:tcW w:w="805" w:type="dxa"/>
            <w:vAlign w:val="center"/>
          </w:tcPr>
          <w:p w14:paraId="34E1C45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33</w:t>
            </w:r>
          </w:p>
        </w:tc>
        <w:tc>
          <w:tcPr>
            <w:tcW w:w="1364" w:type="dxa"/>
            <w:vMerge w:val="continue"/>
            <w:vAlign w:val="center"/>
          </w:tcPr>
          <w:p w14:paraId="339823E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1EE13F24">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蠕胀测点或蠕胀量异常</w:t>
            </w:r>
          </w:p>
        </w:tc>
        <w:tc>
          <w:tcPr>
            <w:tcW w:w="4714" w:type="dxa"/>
            <w:vAlign w:val="center"/>
          </w:tcPr>
          <w:p w14:paraId="22255B9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1.修复蠕胀测点或蠕胀测量带；</w:t>
            </w:r>
            <w:r>
              <w:rPr>
                <w:rFonts w:hint="default" w:ascii="Times New Roman" w:hAnsi="Times New Roman" w:eastAsia="宋体" w:cs="Times New Roman"/>
                <w:b w:val="0"/>
                <w:bCs w:val="0"/>
                <w:kern w:val="0"/>
                <w:sz w:val="24"/>
                <w:szCs w:val="24"/>
              </w:rPr>
              <w:br w:type="textWrapping"/>
            </w:r>
            <w:r>
              <w:rPr>
                <w:rFonts w:hint="default" w:ascii="Times New Roman" w:hAnsi="Times New Roman" w:eastAsia="宋体" w:cs="Times New Roman"/>
                <w:b w:val="0"/>
                <w:bCs w:val="0"/>
                <w:kern w:val="0"/>
                <w:sz w:val="24"/>
                <w:szCs w:val="24"/>
              </w:rPr>
              <w:t>2.采取监控、隔离、维修等安全措施，并做好预案。</w:t>
            </w:r>
          </w:p>
        </w:tc>
        <w:tc>
          <w:tcPr>
            <w:tcW w:w="1530" w:type="dxa"/>
            <w:vMerge w:val="continue"/>
            <w:vAlign w:val="center"/>
          </w:tcPr>
          <w:p w14:paraId="1AA4308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428F5A3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793B1844">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3CB42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jc w:val="center"/>
        </w:trPr>
        <w:tc>
          <w:tcPr>
            <w:tcW w:w="805" w:type="dxa"/>
            <w:vAlign w:val="center"/>
          </w:tcPr>
          <w:p w14:paraId="4D95A63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34</w:t>
            </w:r>
          </w:p>
        </w:tc>
        <w:tc>
          <w:tcPr>
            <w:tcW w:w="1364" w:type="dxa"/>
            <w:vMerge w:val="continue"/>
            <w:vAlign w:val="center"/>
          </w:tcPr>
          <w:p w14:paraId="6933AA4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4D3C4663">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使用未取得生产许可生产或未经检验合格的压力管道（含压力管道元件）</w:t>
            </w:r>
          </w:p>
        </w:tc>
        <w:tc>
          <w:tcPr>
            <w:tcW w:w="4714" w:type="dxa"/>
            <w:vAlign w:val="center"/>
          </w:tcPr>
          <w:p w14:paraId="04C06609">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严格采购管理，使用取得生产许可并经检验合格的压力管道（含压力管道元件）</w:t>
            </w:r>
          </w:p>
        </w:tc>
        <w:tc>
          <w:tcPr>
            <w:tcW w:w="1530" w:type="dxa"/>
            <w:vAlign w:val="center"/>
          </w:tcPr>
          <w:p w14:paraId="25F71BC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月调度</w:t>
            </w:r>
          </w:p>
        </w:tc>
        <w:tc>
          <w:tcPr>
            <w:tcW w:w="1185" w:type="dxa"/>
            <w:vAlign w:val="center"/>
          </w:tcPr>
          <w:p w14:paraId="5A7C608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主要负责人</w:t>
            </w:r>
          </w:p>
        </w:tc>
        <w:tc>
          <w:tcPr>
            <w:tcW w:w="872" w:type="dxa"/>
            <w:vAlign w:val="center"/>
          </w:tcPr>
          <w:p w14:paraId="5DA2FD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231BD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exact"/>
          <w:jc w:val="center"/>
        </w:trPr>
        <w:tc>
          <w:tcPr>
            <w:tcW w:w="805" w:type="dxa"/>
            <w:vAlign w:val="center"/>
          </w:tcPr>
          <w:p w14:paraId="33116E2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35</w:t>
            </w:r>
          </w:p>
        </w:tc>
        <w:tc>
          <w:tcPr>
            <w:tcW w:w="1364" w:type="dxa"/>
            <w:vMerge w:val="continue"/>
            <w:vAlign w:val="center"/>
          </w:tcPr>
          <w:p w14:paraId="060C256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5A776D01">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阴极保护装置失效</w:t>
            </w:r>
          </w:p>
        </w:tc>
        <w:tc>
          <w:tcPr>
            <w:tcW w:w="4714" w:type="dxa"/>
            <w:vAlign w:val="center"/>
          </w:tcPr>
          <w:p w14:paraId="41AEA9A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修复或加装阴极保护装置</w:t>
            </w:r>
          </w:p>
        </w:tc>
        <w:tc>
          <w:tcPr>
            <w:tcW w:w="1530" w:type="dxa"/>
            <w:vMerge w:val="restart"/>
            <w:vAlign w:val="center"/>
          </w:tcPr>
          <w:p w14:paraId="0D1C632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月调度</w:t>
            </w:r>
          </w:p>
        </w:tc>
        <w:tc>
          <w:tcPr>
            <w:tcW w:w="1185" w:type="dxa"/>
            <w:vMerge w:val="restart"/>
            <w:vAlign w:val="center"/>
          </w:tcPr>
          <w:p w14:paraId="7F933C0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主要负责人</w:t>
            </w:r>
          </w:p>
        </w:tc>
        <w:tc>
          <w:tcPr>
            <w:tcW w:w="872" w:type="dxa"/>
            <w:vAlign w:val="center"/>
          </w:tcPr>
          <w:p w14:paraId="023EFD2C">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AD0C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6" w:hRule="exact"/>
          <w:jc w:val="center"/>
        </w:trPr>
        <w:tc>
          <w:tcPr>
            <w:tcW w:w="805" w:type="dxa"/>
            <w:vAlign w:val="center"/>
          </w:tcPr>
          <w:p w14:paraId="431EA1E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36</w:t>
            </w:r>
          </w:p>
        </w:tc>
        <w:tc>
          <w:tcPr>
            <w:tcW w:w="1364" w:type="dxa"/>
            <w:vMerge w:val="continue"/>
            <w:vAlign w:val="center"/>
          </w:tcPr>
          <w:p w14:paraId="7E4DE50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4D91201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测温仪表未定期校验</w:t>
            </w:r>
          </w:p>
        </w:tc>
        <w:tc>
          <w:tcPr>
            <w:tcW w:w="4714" w:type="dxa"/>
            <w:vAlign w:val="center"/>
          </w:tcPr>
          <w:p w14:paraId="27504B7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制定测温仪表定期校验计划并实施</w:t>
            </w:r>
          </w:p>
        </w:tc>
        <w:tc>
          <w:tcPr>
            <w:tcW w:w="1530" w:type="dxa"/>
            <w:vMerge w:val="continue"/>
            <w:vAlign w:val="center"/>
          </w:tcPr>
          <w:p w14:paraId="496BC05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1185" w:type="dxa"/>
            <w:vMerge w:val="continue"/>
            <w:vAlign w:val="center"/>
          </w:tcPr>
          <w:p w14:paraId="7AEA55D8">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c>
          <w:tcPr>
            <w:tcW w:w="872" w:type="dxa"/>
            <w:vAlign w:val="center"/>
          </w:tcPr>
          <w:p w14:paraId="46D0B97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329A8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8" w:hRule="atLeast"/>
          <w:jc w:val="center"/>
        </w:trPr>
        <w:tc>
          <w:tcPr>
            <w:tcW w:w="805" w:type="dxa"/>
            <w:vAlign w:val="center"/>
          </w:tcPr>
          <w:p w14:paraId="48D5B50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37</w:t>
            </w:r>
          </w:p>
        </w:tc>
        <w:tc>
          <w:tcPr>
            <w:tcW w:w="1364" w:type="dxa"/>
            <w:vMerge w:val="restart"/>
            <w:vAlign w:val="center"/>
          </w:tcPr>
          <w:p w14:paraId="40E1A53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环境</w:t>
            </w:r>
          </w:p>
        </w:tc>
        <w:tc>
          <w:tcPr>
            <w:tcW w:w="3725" w:type="dxa"/>
            <w:vAlign w:val="center"/>
          </w:tcPr>
          <w:p w14:paraId="5C532CD6">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放空（气）阀和排污（水）阀位置设置不合理，存在异常集气、积液等情况</w:t>
            </w:r>
          </w:p>
        </w:tc>
        <w:tc>
          <w:tcPr>
            <w:tcW w:w="4714" w:type="dxa"/>
            <w:vAlign w:val="center"/>
          </w:tcPr>
          <w:p w14:paraId="58E5F08B">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放空（气）阀和排污（水）阀设置应符合相应规定</w:t>
            </w:r>
          </w:p>
        </w:tc>
        <w:tc>
          <w:tcPr>
            <w:tcW w:w="1530" w:type="dxa"/>
            <w:vAlign w:val="center"/>
          </w:tcPr>
          <w:p w14:paraId="232B089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周排查</w:t>
            </w:r>
          </w:p>
        </w:tc>
        <w:tc>
          <w:tcPr>
            <w:tcW w:w="1185" w:type="dxa"/>
            <w:vAlign w:val="center"/>
          </w:tcPr>
          <w:p w14:paraId="32E386A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安全总监</w:t>
            </w:r>
          </w:p>
        </w:tc>
        <w:tc>
          <w:tcPr>
            <w:tcW w:w="872" w:type="dxa"/>
            <w:vAlign w:val="center"/>
          </w:tcPr>
          <w:p w14:paraId="302E959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2C370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exact"/>
          <w:jc w:val="center"/>
        </w:trPr>
        <w:tc>
          <w:tcPr>
            <w:tcW w:w="805" w:type="dxa"/>
            <w:vAlign w:val="center"/>
          </w:tcPr>
          <w:p w14:paraId="7B2EA7D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38</w:t>
            </w:r>
          </w:p>
        </w:tc>
        <w:tc>
          <w:tcPr>
            <w:tcW w:w="1364" w:type="dxa"/>
            <w:vMerge w:val="continue"/>
            <w:vAlign w:val="center"/>
          </w:tcPr>
          <w:p w14:paraId="573A7A5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p>
        </w:tc>
        <w:tc>
          <w:tcPr>
            <w:tcW w:w="3725" w:type="dxa"/>
            <w:vAlign w:val="center"/>
          </w:tcPr>
          <w:p w14:paraId="095D1571">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压力管道的安全距离、安全防护措施不符合要求</w:t>
            </w:r>
          </w:p>
        </w:tc>
        <w:tc>
          <w:tcPr>
            <w:tcW w:w="4714" w:type="dxa"/>
            <w:vAlign w:val="center"/>
          </w:tcPr>
          <w:p w14:paraId="03A5F3C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与特种设备安全相关的建筑物、附属设施，应当符合有关法律、行政法规和标准的要求</w:t>
            </w:r>
          </w:p>
        </w:tc>
        <w:tc>
          <w:tcPr>
            <w:tcW w:w="1530" w:type="dxa"/>
            <w:vAlign w:val="center"/>
          </w:tcPr>
          <w:p w14:paraId="739327F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月调度</w:t>
            </w:r>
          </w:p>
        </w:tc>
        <w:tc>
          <w:tcPr>
            <w:tcW w:w="1185" w:type="dxa"/>
            <w:vAlign w:val="center"/>
          </w:tcPr>
          <w:p w14:paraId="7E1EE99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主要负责人</w:t>
            </w:r>
          </w:p>
        </w:tc>
        <w:tc>
          <w:tcPr>
            <w:tcW w:w="872" w:type="dxa"/>
            <w:vAlign w:val="center"/>
          </w:tcPr>
          <w:p w14:paraId="626471A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B56C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jc w:val="center"/>
        </w:trPr>
        <w:tc>
          <w:tcPr>
            <w:tcW w:w="805" w:type="dxa"/>
            <w:vAlign w:val="center"/>
          </w:tcPr>
          <w:p w14:paraId="7833611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39</w:t>
            </w:r>
          </w:p>
        </w:tc>
        <w:tc>
          <w:tcPr>
            <w:tcW w:w="1364" w:type="dxa"/>
            <w:vAlign w:val="center"/>
          </w:tcPr>
          <w:p w14:paraId="3BD242E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政府监督、通报、预警</w:t>
            </w:r>
          </w:p>
        </w:tc>
        <w:tc>
          <w:tcPr>
            <w:tcW w:w="3725" w:type="dxa"/>
            <w:vAlign w:val="center"/>
          </w:tcPr>
          <w:p w14:paraId="7B23432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4714" w:type="dxa"/>
            <w:vAlign w:val="center"/>
          </w:tcPr>
          <w:p w14:paraId="4B77763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w:t>
            </w:r>
          </w:p>
        </w:tc>
        <w:tc>
          <w:tcPr>
            <w:tcW w:w="1530" w:type="dxa"/>
            <w:vAlign w:val="center"/>
          </w:tcPr>
          <w:p w14:paraId="7D9E3D7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周排查</w:t>
            </w:r>
          </w:p>
        </w:tc>
        <w:tc>
          <w:tcPr>
            <w:tcW w:w="1185" w:type="dxa"/>
            <w:vAlign w:val="center"/>
          </w:tcPr>
          <w:p w14:paraId="2D80E1F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安全总监</w:t>
            </w:r>
          </w:p>
        </w:tc>
        <w:tc>
          <w:tcPr>
            <w:tcW w:w="872" w:type="dxa"/>
            <w:vAlign w:val="center"/>
          </w:tcPr>
          <w:p w14:paraId="7B40B785">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5F294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jc w:val="center"/>
        </w:trPr>
        <w:tc>
          <w:tcPr>
            <w:tcW w:w="805" w:type="dxa"/>
            <w:vAlign w:val="center"/>
          </w:tcPr>
          <w:p w14:paraId="324D286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40</w:t>
            </w:r>
          </w:p>
        </w:tc>
        <w:tc>
          <w:tcPr>
            <w:tcW w:w="1364" w:type="dxa"/>
            <w:vAlign w:val="center"/>
          </w:tcPr>
          <w:p w14:paraId="0DAFD35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投诉举报</w:t>
            </w:r>
          </w:p>
        </w:tc>
        <w:tc>
          <w:tcPr>
            <w:tcW w:w="3725" w:type="dxa"/>
            <w:vAlign w:val="center"/>
          </w:tcPr>
          <w:p w14:paraId="236998E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4714" w:type="dxa"/>
            <w:vAlign w:val="center"/>
          </w:tcPr>
          <w:p w14:paraId="5C78AF1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记录，整改，消除安全隐患</w:t>
            </w:r>
          </w:p>
        </w:tc>
        <w:tc>
          <w:tcPr>
            <w:tcW w:w="1530" w:type="dxa"/>
            <w:vAlign w:val="center"/>
          </w:tcPr>
          <w:p w14:paraId="74D7147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185" w:type="dxa"/>
            <w:vAlign w:val="center"/>
          </w:tcPr>
          <w:p w14:paraId="2C2688B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872" w:type="dxa"/>
            <w:vAlign w:val="center"/>
          </w:tcPr>
          <w:p w14:paraId="2F1DA7D0">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r w14:paraId="4F792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exact"/>
          <w:jc w:val="center"/>
        </w:trPr>
        <w:tc>
          <w:tcPr>
            <w:tcW w:w="805" w:type="dxa"/>
            <w:vAlign w:val="center"/>
          </w:tcPr>
          <w:p w14:paraId="15DF052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41</w:t>
            </w:r>
          </w:p>
        </w:tc>
        <w:tc>
          <w:tcPr>
            <w:tcW w:w="1364" w:type="dxa"/>
            <w:vAlign w:val="center"/>
          </w:tcPr>
          <w:p w14:paraId="210DC82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舆情信息</w:t>
            </w:r>
          </w:p>
        </w:tc>
        <w:tc>
          <w:tcPr>
            <w:tcW w:w="3725" w:type="dxa"/>
            <w:vAlign w:val="center"/>
          </w:tcPr>
          <w:p w14:paraId="7586405D">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发现不合格项</w:t>
            </w:r>
          </w:p>
        </w:tc>
        <w:tc>
          <w:tcPr>
            <w:tcW w:w="4714" w:type="dxa"/>
            <w:vAlign w:val="center"/>
          </w:tcPr>
          <w:p w14:paraId="7F7FD10B">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记录，整改</w:t>
            </w:r>
          </w:p>
        </w:tc>
        <w:tc>
          <w:tcPr>
            <w:tcW w:w="1530" w:type="dxa"/>
            <w:vAlign w:val="center"/>
          </w:tcPr>
          <w:p w14:paraId="3F19000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日管控</w:t>
            </w:r>
          </w:p>
        </w:tc>
        <w:tc>
          <w:tcPr>
            <w:tcW w:w="1185" w:type="dxa"/>
            <w:vAlign w:val="center"/>
          </w:tcPr>
          <w:p w14:paraId="722A096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安全员</w:t>
            </w:r>
          </w:p>
        </w:tc>
        <w:tc>
          <w:tcPr>
            <w:tcW w:w="872" w:type="dxa"/>
            <w:vAlign w:val="center"/>
          </w:tcPr>
          <w:p w14:paraId="1113AD7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4"/>
              </w:rPr>
            </w:pPr>
          </w:p>
        </w:tc>
      </w:tr>
    </w:tbl>
    <w:p w14:paraId="4E424B2D">
      <w:pPr>
        <w:keepNext w:val="0"/>
        <w:keepLines w:val="0"/>
        <w:pageBreakBefore w:val="0"/>
        <w:widowControl/>
        <w:kinsoku/>
        <w:overflowPunct/>
        <w:bidi w:val="0"/>
        <w:adjustRightInd/>
        <w:spacing w:after="0" w:line="280" w:lineRule="exact"/>
        <w:ind w:firstLine="480" w:firstLineChars="200"/>
        <w:jc w:val="both"/>
        <w:rPr>
          <w:rFonts w:hint="default" w:ascii="Times New Roman" w:hAnsi="Times New Roman" w:eastAsia="宋体" w:cs="Times New Roman"/>
          <w:b w:val="0"/>
          <w:bCs w:val="0"/>
          <w:kern w:val="2"/>
          <w:sz w:val="24"/>
          <w:szCs w:val="24"/>
          <w:lang w:val="zh-CN" w:eastAsia="zh-CN" w:bidi="zh-CN"/>
        </w:rPr>
      </w:pPr>
      <w:r>
        <w:rPr>
          <w:rFonts w:hint="default" w:ascii="Times New Roman" w:hAnsi="Times New Roman" w:eastAsia="宋体" w:cs="Times New Roman"/>
          <w:b w:val="0"/>
          <w:bCs w:val="0"/>
          <w:kern w:val="2"/>
          <w:sz w:val="24"/>
          <w:szCs w:val="24"/>
          <w:lang w:val="zh-CN" w:eastAsia="zh-CN" w:bidi="zh-CN"/>
        </w:rPr>
        <w:t>备注：本清单为推荐性格式，仅规定了应当进行日管控、周排查、月调度的基本项目，压力管道使用单位应当结合本单位实际，细化风险管控清单，合理调整管控形式。</w:t>
      </w:r>
    </w:p>
    <w:p w14:paraId="38C23FB8">
      <w:pPr>
        <w:keepNext w:val="0"/>
        <w:keepLines w:val="0"/>
        <w:pageBreakBefore w:val="0"/>
        <w:kinsoku/>
        <w:overflowPunct/>
        <w:bidi w:val="0"/>
        <w:adjustRightInd/>
        <w:spacing w:line="280" w:lineRule="exact"/>
        <w:rPr>
          <w:rFonts w:hint="default" w:ascii="Times New Roman" w:hAnsi="Times New Roman" w:eastAsia="宋体" w:cs="Times New Roman"/>
          <w:b w:val="0"/>
          <w:bCs w:val="0"/>
          <w:sz w:val="36"/>
          <w:szCs w:val="36"/>
        </w:rPr>
      </w:pPr>
      <w:r>
        <w:rPr>
          <w:rFonts w:hint="default" w:ascii="Times New Roman" w:hAnsi="Times New Roman" w:eastAsia="宋体" w:cs="Times New Roman"/>
          <w:b w:val="0"/>
          <w:bCs w:val="0"/>
          <w:sz w:val="36"/>
          <w:szCs w:val="36"/>
        </w:rPr>
        <w:br w:type="page"/>
      </w:r>
    </w:p>
    <w:p w14:paraId="0FBA064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eastAsiaTheme="minorEastAsia"/>
          <w:b w:val="0"/>
          <w:bCs w:val="0"/>
          <w:sz w:val="36"/>
          <w:szCs w:val="36"/>
        </w:rPr>
      </w:pPr>
      <w:r>
        <w:rPr>
          <w:rFonts w:hint="default" w:ascii="Times New Roman" w:hAnsi="Times New Roman" w:cs="Times New Roman" w:eastAsiaTheme="minorEastAsia"/>
          <w:b w:val="0"/>
          <w:bCs w:val="0"/>
          <w:sz w:val="36"/>
          <w:szCs w:val="36"/>
        </w:rPr>
        <w:t>电梯安全风险管控清单</w:t>
      </w:r>
      <w:r>
        <w:rPr>
          <w:rFonts w:hint="default" w:ascii="Times New Roman" w:hAnsi="Times New Roman" w:cs="Times New Roman" w:eastAsiaTheme="minorEastAsia"/>
          <w:b w:val="0"/>
          <w:bCs w:val="0"/>
          <w:sz w:val="36"/>
          <w:szCs w:val="36"/>
          <w:lang w:eastAsia="zh-CN"/>
        </w:rPr>
        <w:t>（供参考）</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6"/>
        <w:gridCol w:w="1371"/>
        <w:gridCol w:w="3705"/>
        <w:gridCol w:w="3972"/>
        <w:gridCol w:w="1555"/>
        <w:gridCol w:w="1540"/>
        <w:gridCol w:w="1041"/>
      </w:tblGrid>
      <w:tr w14:paraId="61B87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0" w:type="auto"/>
            <w:shd w:val="clear" w:color="auto" w:fill="BEBEBE"/>
            <w:vAlign w:val="center"/>
          </w:tcPr>
          <w:p w14:paraId="03A622F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序号</w:t>
            </w:r>
          </w:p>
        </w:tc>
        <w:tc>
          <w:tcPr>
            <w:tcW w:w="1371" w:type="dxa"/>
            <w:shd w:val="clear" w:color="auto" w:fill="BEBEBE"/>
            <w:vAlign w:val="center"/>
          </w:tcPr>
          <w:p w14:paraId="4F75099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风险类别</w:t>
            </w:r>
          </w:p>
        </w:tc>
        <w:tc>
          <w:tcPr>
            <w:tcW w:w="3705" w:type="dxa"/>
            <w:shd w:val="clear" w:color="auto" w:fill="BEBEBE"/>
            <w:vAlign w:val="center"/>
          </w:tcPr>
          <w:p w14:paraId="08509CD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风险指标</w:t>
            </w:r>
          </w:p>
        </w:tc>
        <w:tc>
          <w:tcPr>
            <w:tcW w:w="3972" w:type="dxa"/>
            <w:shd w:val="clear" w:color="auto" w:fill="BEBEBE"/>
            <w:vAlign w:val="center"/>
          </w:tcPr>
          <w:p w14:paraId="676E908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风险管控措施</w:t>
            </w:r>
          </w:p>
        </w:tc>
        <w:tc>
          <w:tcPr>
            <w:tcW w:w="1555" w:type="dxa"/>
            <w:shd w:val="clear" w:color="auto" w:fill="BEBEBE"/>
            <w:vAlign w:val="center"/>
          </w:tcPr>
          <w:p w14:paraId="4A9899B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管控形式</w:t>
            </w:r>
          </w:p>
        </w:tc>
        <w:tc>
          <w:tcPr>
            <w:tcW w:w="1540" w:type="dxa"/>
            <w:shd w:val="clear" w:color="auto" w:fill="BEBEBE"/>
            <w:vAlign w:val="center"/>
          </w:tcPr>
          <w:p w14:paraId="6617B62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责任人</w:t>
            </w:r>
          </w:p>
        </w:tc>
        <w:tc>
          <w:tcPr>
            <w:tcW w:w="1041" w:type="dxa"/>
            <w:shd w:val="clear" w:color="auto" w:fill="BEBEBE"/>
          </w:tcPr>
          <w:p w14:paraId="075E120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备注</w:t>
            </w:r>
          </w:p>
        </w:tc>
      </w:tr>
      <w:tr w14:paraId="66825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0" w:type="auto"/>
            <w:vAlign w:val="center"/>
          </w:tcPr>
          <w:p w14:paraId="6346E91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w:t>
            </w:r>
          </w:p>
        </w:tc>
        <w:tc>
          <w:tcPr>
            <w:tcW w:w="1371" w:type="dxa"/>
            <w:vMerge w:val="restart"/>
            <w:vAlign w:val="center"/>
          </w:tcPr>
          <w:p w14:paraId="4436864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人员</w:t>
            </w:r>
          </w:p>
        </w:tc>
        <w:tc>
          <w:tcPr>
            <w:tcW w:w="3705" w:type="dxa"/>
            <w:vAlign w:val="center"/>
          </w:tcPr>
          <w:p w14:paraId="2A69915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未按规定配备安全管理人员和作业人员</w:t>
            </w:r>
          </w:p>
        </w:tc>
        <w:tc>
          <w:tcPr>
            <w:tcW w:w="3972" w:type="dxa"/>
            <w:vAlign w:val="center"/>
          </w:tcPr>
          <w:p w14:paraId="2D087E5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1.建立特种设备安全管理人员与作业人员管理制度；</w:t>
            </w:r>
          </w:p>
          <w:p w14:paraId="598530F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2.按规定配备相关人员。</w:t>
            </w:r>
          </w:p>
        </w:tc>
        <w:tc>
          <w:tcPr>
            <w:tcW w:w="1555" w:type="dxa"/>
            <w:vAlign w:val="center"/>
          </w:tcPr>
          <w:p w14:paraId="608D1DF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4386821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41" w:type="dxa"/>
          </w:tcPr>
          <w:p w14:paraId="4A894F1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84C1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0" w:type="auto"/>
            <w:vAlign w:val="center"/>
          </w:tcPr>
          <w:p w14:paraId="71C29A3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w:t>
            </w:r>
          </w:p>
        </w:tc>
        <w:tc>
          <w:tcPr>
            <w:tcW w:w="1371" w:type="dxa"/>
            <w:vMerge w:val="continue"/>
            <w:vAlign w:val="center"/>
          </w:tcPr>
          <w:p w14:paraId="31B8AB0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2A696FB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作业人员未持有相应资格证件</w:t>
            </w:r>
          </w:p>
        </w:tc>
        <w:tc>
          <w:tcPr>
            <w:tcW w:w="3972" w:type="dxa"/>
            <w:vAlign w:val="center"/>
          </w:tcPr>
          <w:p w14:paraId="3FFA72A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配备具有相应职责资质的作业人员，加强资格证的换证管理</w:t>
            </w:r>
          </w:p>
        </w:tc>
        <w:tc>
          <w:tcPr>
            <w:tcW w:w="1555" w:type="dxa"/>
            <w:vAlign w:val="center"/>
          </w:tcPr>
          <w:p w14:paraId="570D76E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540" w:type="dxa"/>
            <w:vAlign w:val="center"/>
          </w:tcPr>
          <w:p w14:paraId="1633E85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35EB01E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256D7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0" w:type="auto"/>
            <w:vAlign w:val="center"/>
          </w:tcPr>
          <w:p w14:paraId="24740DD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3</w:t>
            </w:r>
          </w:p>
        </w:tc>
        <w:tc>
          <w:tcPr>
            <w:tcW w:w="1371" w:type="dxa"/>
            <w:vMerge w:val="continue"/>
            <w:vAlign w:val="center"/>
          </w:tcPr>
          <w:p w14:paraId="5186B43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482DA8A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未按规定对安全管理人员和作业人员开展安全教育培训</w:t>
            </w:r>
          </w:p>
        </w:tc>
        <w:tc>
          <w:tcPr>
            <w:tcW w:w="3972" w:type="dxa"/>
            <w:vAlign w:val="center"/>
          </w:tcPr>
          <w:p w14:paraId="54C525E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按规定开展安全培训教育</w:t>
            </w:r>
          </w:p>
        </w:tc>
        <w:tc>
          <w:tcPr>
            <w:tcW w:w="1555" w:type="dxa"/>
            <w:vAlign w:val="center"/>
          </w:tcPr>
          <w:p w14:paraId="5279A46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540" w:type="dxa"/>
            <w:vAlign w:val="center"/>
          </w:tcPr>
          <w:p w14:paraId="2092D74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7BCE42F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3CA34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0" w:type="auto"/>
            <w:vAlign w:val="center"/>
          </w:tcPr>
          <w:p w14:paraId="13ED5A4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4</w:t>
            </w:r>
          </w:p>
        </w:tc>
        <w:tc>
          <w:tcPr>
            <w:tcW w:w="1371" w:type="dxa"/>
            <w:vMerge w:val="continue"/>
            <w:vAlign w:val="center"/>
          </w:tcPr>
          <w:p w14:paraId="3246C58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1719FD2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作业人员违章作业或到岗值守情况不符合要求</w:t>
            </w:r>
          </w:p>
        </w:tc>
        <w:tc>
          <w:tcPr>
            <w:tcW w:w="3972" w:type="dxa"/>
            <w:vAlign w:val="center"/>
          </w:tcPr>
          <w:p w14:paraId="1F6E6B4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检查电梯巡检人员到岗值守情况，纠正和制止违章作业行为</w:t>
            </w:r>
          </w:p>
        </w:tc>
        <w:tc>
          <w:tcPr>
            <w:tcW w:w="1555" w:type="dxa"/>
            <w:vAlign w:val="center"/>
          </w:tcPr>
          <w:p w14:paraId="53E1F7D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52943E1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4704C21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71D0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0" w:type="auto"/>
            <w:vAlign w:val="center"/>
          </w:tcPr>
          <w:p w14:paraId="279F7D7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5</w:t>
            </w:r>
          </w:p>
        </w:tc>
        <w:tc>
          <w:tcPr>
            <w:tcW w:w="1371" w:type="dxa"/>
            <w:vMerge w:val="restart"/>
            <w:vAlign w:val="center"/>
          </w:tcPr>
          <w:p w14:paraId="7177615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管理</w:t>
            </w:r>
          </w:p>
        </w:tc>
        <w:tc>
          <w:tcPr>
            <w:tcW w:w="3705" w:type="dxa"/>
            <w:vAlign w:val="center"/>
          </w:tcPr>
          <w:p w14:paraId="7C995BA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未按规定设置安全管理机构</w:t>
            </w:r>
          </w:p>
        </w:tc>
        <w:tc>
          <w:tcPr>
            <w:tcW w:w="3972" w:type="dxa"/>
            <w:vAlign w:val="center"/>
          </w:tcPr>
          <w:p w14:paraId="0900406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根据使用的特种设备种类和数量，设置专门的安全管理机构。</w:t>
            </w:r>
          </w:p>
        </w:tc>
        <w:tc>
          <w:tcPr>
            <w:tcW w:w="1555" w:type="dxa"/>
            <w:vAlign w:val="center"/>
          </w:tcPr>
          <w:p w14:paraId="2003105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40F8D2A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41" w:type="dxa"/>
          </w:tcPr>
          <w:p w14:paraId="533BD47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E694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0" w:type="auto"/>
            <w:vAlign w:val="center"/>
          </w:tcPr>
          <w:p w14:paraId="2CD68B3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6</w:t>
            </w:r>
          </w:p>
        </w:tc>
        <w:tc>
          <w:tcPr>
            <w:tcW w:w="1371" w:type="dxa"/>
            <w:vMerge w:val="continue"/>
            <w:vAlign w:val="center"/>
          </w:tcPr>
          <w:p w14:paraId="3EBA631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705" w:type="dxa"/>
            <w:vAlign w:val="center"/>
          </w:tcPr>
          <w:p w14:paraId="00C9CEE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未建立电梯</w:t>
            </w:r>
            <w:r>
              <w:rPr>
                <w:rFonts w:hint="default" w:ascii="Times New Roman" w:hAnsi="Times New Roman" w:eastAsia="宋体" w:cs="Times New Roman"/>
                <w:b w:val="0"/>
                <w:bCs w:val="0"/>
                <w:sz w:val="24"/>
                <w:szCs w:val="22"/>
              </w:rPr>
              <w:t>使用安全管理制度</w:t>
            </w:r>
          </w:p>
        </w:tc>
        <w:tc>
          <w:tcPr>
            <w:tcW w:w="3972" w:type="dxa"/>
            <w:vAlign w:val="center"/>
          </w:tcPr>
          <w:p w14:paraId="0FDFE93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制定电梯安全管理机构和相关人员岗位职责；</w:t>
            </w:r>
          </w:p>
          <w:p w14:paraId="2A738BC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制定《电梯安全总监职责》《电梯安全员守则》《电梯安全日管控、周排查、月调度管理制度》；</w:t>
            </w:r>
          </w:p>
          <w:p w14:paraId="7F8A9E1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3.按《特种设备使用管理规则》建立电梯使用安全和节能管理制度 。</w:t>
            </w:r>
          </w:p>
        </w:tc>
        <w:tc>
          <w:tcPr>
            <w:tcW w:w="1555" w:type="dxa"/>
            <w:vAlign w:val="center"/>
          </w:tcPr>
          <w:p w14:paraId="38BC676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540" w:type="dxa"/>
            <w:vAlign w:val="center"/>
          </w:tcPr>
          <w:p w14:paraId="53E10BF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3C43894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A305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0" w:type="auto"/>
            <w:vAlign w:val="center"/>
          </w:tcPr>
          <w:p w14:paraId="1F0D926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7</w:t>
            </w:r>
          </w:p>
        </w:tc>
        <w:tc>
          <w:tcPr>
            <w:tcW w:w="1371" w:type="dxa"/>
            <w:vMerge w:val="continue"/>
            <w:vAlign w:val="center"/>
          </w:tcPr>
          <w:p w14:paraId="63D32AB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650EEA1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未建立安全技术档案</w:t>
            </w:r>
          </w:p>
        </w:tc>
        <w:tc>
          <w:tcPr>
            <w:tcW w:w="3972" w:type="dxa"/>
            <w:vAlign w:val="center"/>
          </w:tcPr>
          <w:p w14:paraId="257D372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1.建立电梯安全技术档案管理制度，明确档案内容及管理要求；</w:t>
            </w:r>
          </w:p>
          <w:p w14:paraId="529810E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 xml:space="preserve">2.按规定建立安全技术档案并及时更新安全技术档案。 </w:t>
            </w:r>
          </w:p>
        </w:tc>
        <w:tc>
          <w:tcPr>
            <w:tcW w:w="1555" w:type="dxa"/>
            <w:vAlign w:val="center"/>
          </w:tcPr>
          <w:p w14:paraId="614E1BB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540" w:type="dxa"/>
            <w:vAlign w:val="center"/>
          </w:tcPr>
          <w:p w14:paraId="57F0A5B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7B644CF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7AC8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0" w:type="auto"/>
            <w:vAlign w:val="center"/>
          </w:tcPr>
          <w:p w14:paraId="18F9D18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8</w:t>
            </w:r>
          </w:p>
        </w:tc>
        <w:tc>
          <w:tcPr>
            <w:tcW w:w="1371" w:type="dxa"/>
            <w:vMerge w:val="continue"/>
            <w:vAlign w:val="center"/>
          </w:tcPr>
          <w:p w14:paraId="5406B53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211F9CC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未按规定办理使用登记、变更登记及停用、报废等手续</w:t>
            </w:r>
          </w:p>
        </w:tc>
        <w:tc>
          <w:tcPr>
            <w:tcW w:w="3972" w:type="dxa"/>
            <w:vAlign w:val="center"/>
          </w:tcPr>
          <w:p w14:paraId="4B04D356">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1.建立使用管理制度和规程，明确相关内容及安全管理要求；</w:t>
            </w:r>
          </w:p>
          <w:p w14:paraId="495E5AC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 按规定办理使用登记、变更登记及停用、报废手续。</w:t>
            </w:r>
          </w:p>
        </w:tc>
        <w:tc>
          <w:tcPr>
            <w:tcW w:w="1555" w:type="dxa"/>
            <w:vAlign w:val="center"/>
          </w:tcPr>
          <w:p w14:paraId="173465B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540" w:type="dxa"/>
            <w:vAlign w:val="center"/>
          </w:tcPr>
          <w:p w14:paraId="1FCFD10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1C1B60A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7A3E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0" w:type="auto"/>
            <w:vAlign w:val="center"/>
          </w:tcPr>
          <w:p w14:paraId="4193CCE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9</w:t>
            </w:r>
          </w:p>
        </w:tc>
        <w:tc>
          <w:tcPr>
            <w:tcW w:w="1371" w:type="dxa"/>
            <w:vMerge w:val="continue"/>
            <w:vAlign w:val="center"/>
          </w:tcPr>
          <w:p w14:paraId="47BCB28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4E777EE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未按规定制定电梯事故应急专项预案并定期演练</w:t>
            </w:r>
          </w:p>
        </w:tc>
        <w:tc>
          <w:tcPr>
            <w:tcW w:w="3972" w:type="dxa"/>
            <w:vAlign w:val="center"/>
          </w:tcPr>
          <w:p w14:paraId="11E249C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制定电梯事故应急专项预案并每年至少开展1次演练</w:t>
            </w:r>
          </w:p>
        </w:tc>
        <w:tc>
          <w:tcPr>
            <w:tcW w:w="1555" w:type="dxa"/>
            <w:vAlign w:val="center"/>
          </w:tcPr>
          <w:p w14:paraId="0E7A2E8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6F519DC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41" w:type="dxa"/>
          </w:tcPr>
          <w:p w14:paraId="3C3E7DB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1EC35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0" w:type="auto"/>
            <w:vAlign w:val="center"/>
          </w:tcPr>
          <w:p w14:paraId="4350E15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10</w:t>
            </w:r>
          </w:p>
        </w:tc>
        <w:tc>
          <w:tcPr>
            <w:tcW w:w="1371" w:type="dxa"/>
            <w:vMerge w:val="continue"/>
            <w:vAlign w:val="center"/>
          </w:tcPr>
          <w:p w14:paraId="7D5ECA8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3ED9B53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电梯维护保养单位未按规定取得相应的许可资质</w:t>
            </w:r>
          </w:p>
        </w:tc>
        <w:tc>
          <w:tcPr>
            <w:tcW w:w="3972" w:type="dxa"/>
            <w:vAlign w:val="center"/>
          </w:tcPr>
          <w:p w14:paraId="1FFD133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查看电梯维护保养单位的资质应覆盖本单位电梯</w:t>
            </w:r>
          </w:p>
        </w:tc>
        <w:tc>
          <w:tcPr>
            <w:tcW w:w="1555" w:type="dxa"/>
            <w:vAlign w:val="center"/>
          </w:tcPr>
          <w:p w14:paraId="2D6879C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7710B8A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50B3735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124EB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0" w:type="auto"/>
            <w:vAlign w:val="center"/>
          </w:tcPr>
          <w:p w14:paraId="664655C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11</w:t>
            </w:r>
          </w:p>
        </w:tc>
        <w:tc>
          <w:tcPr>
            <w:tcW w:w="1371" w:type="dxa"/>
            <w:vMerge w:val="restart"/>
            <w:vAlign w:val="center"/>
          </w:tcPr>
          <w:p w14:paraId="6374A4E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设备</w:t>
            </w:r>
          </w:p>
        </w:tc>
        <w:tc>
          <w:tcPr>
            <w:tcW w:w="3705" w:type="dxa"/>
            <w:vAlign w:val="center"/>
          </w:tcPr>
          <w:p w14:paraId="552E764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选用国家明令禁止或淘汰的电梯产品</w:t>
            </w:r>
          </w:p>
        </w:tc>
        <w:tc>
          <w:tcPr>
            <w:tcW w:w="3972" w:type="dxa"/>
            <w:vAlign w:val="center"/>
          </w:tcPr>
          <w:p w14:paraId="6250FC82">
            <w:pPr>
              <w:keepNext w:val="0"/>
              <w:keepLines w:val="0"/>
              <w:pageBreakBefore w:val="0"/>
              <w:widowControl w:val="0"/>
              <w:kinsoku/>
              <w:overflowPunct/>
              <w:bidi w:val="0"/>
              <w:adjustRightInd/>
              <w:spacing w:line="280" w:lineRule="exact"/>
              <w:ind w:firstLine="0" w:firstLineChars="0"/>
              <w:jc w:val="both"/>
              <w:rPr>
                <w:rFonts w:hint="default" w:ascii="Times New Roman" w:hAnsi="Times New Roman" w:eastAsia="宋体" w:cs="Times New Roman"/>
                <w:b w:val="0"/>
                <w:bCs w:val="0"/>
                <w:kern w:val="2"/>
                <w:sz w:val="24"/>
                <w:szCs w:val="22"/>
                <w:lang w:val="en-US" w:eastAsia="zh-CN" w:bidi="ar-SA"/>
              </w:rPr>
            </w:pPr>
            <w:r>
              <w:rPr>
                <w:rFonts w:hint="default" w:ascii="Times New Roman" w:hAnsi="Times New Roman" w:eastAsia="宋体" w:cs="Times New Roman"/>
                <w:b w:val="0"/>
                <w:bCs w:val="0"/>
                <w:kern w:val="2"/>
                <w:sz w:val="24"/>
                <w:szCs w:val="22"/>
                <w:lang w:val="en-US" w:eastAsia="zh-CN" w:bidi="ar-SA"/>
              </w:rPr>
              <w:t>建立采购管理制度，明确采购、验收要求</w:t>
            </w:r>
          </w:p>
        </w:tc>
        <w:tc>
          <w:tcPr>
            <w:tcW w:w="1555" w:type="dxa"/>
            <w:vAlign w:val="center"/>
          </w:tcPr>
          <w:p w14:paraId="02EC28C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7ED03D4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41" w:type="dxa"/>
          </w:tcPr>
          <w:p w14:paraId="4A50403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6C19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jc w:val="center"/>
        </w:trPr>
        <w:tc>
          <w:tcPr>
            <w:tcW w:w="0" w:type="auto"/>
            <w:vAlign w:val="center"/>
          </w:tcPr>
          <w:p w14:paraId="6E161D0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12</w:t>
            </w:r>
          </w:p>
        </w:tc>
        <w:tc>
          <w:tcPr>
            <w:tcW w:w="1371" w:type="dxa"/>
            <w:vMerge w:val="continue"/>
            <w:vAlign w:val="center"/>
          </w:tcPr>
          <w:p w14:paraId="73759EA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5980D39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未按有关法律法规、安全技术规范或合同约定进行维护保养；</w:t>
            </w:r>
          </w:p>
        </w:tc>
        <w:tc>
          <w:tcPr>
            <w:tcW w:w="3972" w:type="dxa"/>
            <w:vAlign w:val="center"/>
          </w:tcPr>
          <w:p w14:paraId="299518AB">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监督维保单位按照《电梯维护保养规则》或合同约定的周期、内容开展电梯维保工作</w:t>
            </w:r>
          </w:p>
        </w:tc>
        <w:tc>
          <w:tcPr>
            <w:tcW w:w="1555" w:type="dxa"/>
            <w:vAlign w:val="center"/>
          </w:tcPr>
          <w:p w14:paraId="044B62C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540" w:type="dxa"/>
            <w:vAlign w:val="center"/>
          </w:tcPr>
          <w:p w14:paraId="48CDCD1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175D695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67FED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jc w:val="center"/>
        </w:trPr>
        <w:tc>
          <w:tcPr>
            <w:tcW w:w="0" w:type="auto"/>
            <w:vAlign w:val="center"/>
          </w:tcPr>
          <w:p w14:paraId="5AE85D5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13</w:t>
            </w:r>
          </w:p>
        </w:tc>
        <w:tc>
          <w:tcPr>
            <w:tcW w:w="1371" w:type="dxa"/>
            <w:vMerge w:val="continue"/>
            <w:vAlign w:val="center"/>
          </w:tcPr>
          <w:p w14:paraId="0533F8E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0801379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驱动主机运行时有无异常振动和异常声响。</w:t>
            </w:r>
          </w:p>
        </w:tc>
        <w:tc>
          <w:tcPr>
            <w:tcW w:w="3972" w:type="dxa"/>
            <w:vAlign w:val="center"/>
          </w:tcPr>
          <w:p w14:paraId="4A1E7F4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每日观察驱动主机运行情况</w:t>
            </w:r>
          </w:p>
        </w:tc>
        <w:tc>
          <w:tcPr>
            <w:tcW w:w="1555" w:type="dxa"/>
            <w:vAlign w:val="center"/>
          </w:tcPr>
          <w:p w14:paraId="0B1D084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39D253E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1AC9414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1B727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0" w:type="auto"/>
            <w:vAlign w:val="center"/>
          </w:tcPr>
          <w:p w14:paraId="74F1293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14</w:t>
            </w:r>
          </w:p>
        </w:tc>
        <w:tc>
          <w:tcPr>
            <w:tcW w:w="1371" w:type="dxa"/>
            <w:vMerge w:val="continue"/>
            <w:vAlign w:val="center"/>
          </w:tcPr>
          <w:p w14:paraId="01B505F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29BB933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应急救援通道是否畅通。</w:t>
            </w:r>
          </w:p>
        </w:tc>
        <w:tc>
          <w:tcPr>
            <w:tcW w:w="3972" w:type="dxa"/>
            <w:vAlign w:val="center"/>
          </w:tcPr>
          <w:p w14:paraId="347BAEF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每日巡查应急救援通道是否畅通</w:t>
            </w:r>
          </w:p>
        </w:tc>
        <w:tc>
          <w:tcPr>
            <w:tcW w:w="1555" w:type="dxa"/>
            <w:vAlign w:val="center"/>
          </w:tcPr>
          <w:p w14:paraId="4BFEFE3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0672876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795E842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0465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0" w:type="auto"/>
            <w:vAlign w:val="center"/>
          </w:tcPr>
          <w:p w14:paraId="68BF383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15</w:t>
            </w:r>
          </w:p>
        </w:tc>
        <w:tc>
          <w:tcPr>
            <w:tcW w:w="1371" w:type="dxa"/>
            <w:vMerge w:val="continue"/>
            <w:vAlign w:val="center"/>
          </w:tcPr>
          <w:p w14:paraId="2E3EAC1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30496E2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 xml:space="preserve">未按规定进行定期检验、自行检测 </w:t>
            </w:r>
          </w:p>
        </w:tc>
        <w:tc>
          <w:tcPr>
            <w:tcW w:w="3972" w:type="dxa"/>
            <w:vAlign w:val="center"/>
          </w:tcPr>
          <w:p w14:paraId="1ED6EED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制定定期检验、自行检测计划并组织实施，落实定期检验、自行检测的后续整改工作</w:t>
            </w:r>
          </w:p>
        </w:tc>
        <w:tc>
          <w:tcPr>
            <w:tcW w:w="1555" w:type="dxa"/>
            <w:vAlign w:val="center"/>
          </w:tcPr>
          <w:p w14:paraId="2601A19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2F60944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41" w:type="dxa"/>
          </w:tcPr>
          <w:p w14:paraId="10526A4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A5BE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0" w:type="auto"/>
            <w:vAlign w:val="center"/>
          </w:tcPr>
          <w:p w14:paraId="29508BB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16</w:t>
            </w:r>
          </w:p>
        </w:tc>
        <w:tc>
          <w:tcPr>
            <w:tcW w:w="1371" w:type="dxa"/>
            <w:vMerge w:val="restart"/>
            <w:vAlign w:val="center"/>
          </w:tcPr>
          <w:p w14:paraId="4C458C3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安全附件和</w:t>
            </w:r>
          </w:p>
          <w:p w14:paraId="239547E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安全保护装置</w:t>
            </w:r>
          </w:p>
        </w:tc>
        <w:tc>
          <w:tcPr>
            <w:tcW w:w="3705" w:type="dxa"/>
            <w:vAlign w:val="center"/>
          </w:tcPr>
          <w:p w14:paraId="7673033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轿内报警装置、对讲系统是否工作正常。</w:t>
            </w:r>
          </w:p>
        </w:tc>
        <w:tc>
          <w:tcPr>
            <w:tcW w:w="3972" w:type="dxa"/>
            <w:vAlign w:val="center"/>
          </w:tcPr>
          <w:p w14:paraId="3364AE9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每日检查轿内报警装置、对讲系统情况。</w:t>
            </w:r>
          </w:p>
        </w:tc>
        <w:tc>
          <w:tcPr>
            <w:tcW w:w="1555" w:type="dxa"/>
            <w:vAlign w:val="center"/>
          </w:tcPr>
          <w:p w14:paraId="321008D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088D23A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7864C9D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F46D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0" w:type="auto"/>
            <w:vAlign w:val="center"/>
          </w:tcPr>
          <w:p w14:paraId="74C40F6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17</w:t>
            </w:r>
          </w:p>
        </w:tc>
        <w:tc>
          <w:tcPr>
            <w:tcW w:w="1371" w:type="dxa"/>
            <w:vMerge w:val="continue"/>
            <w:vAlign w:val="center"/>
          </w:tcPr>
          <w:p w14:paraId="1AE0170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74A2BC7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紧急停止装置是否有效。</w:t>
            </w:r>
          </w:p>
        </w:tc>
        <w:tc>
          <w:tcPr>
            <w:tcW w:w="3972" w:type="dxa"/>
            <w:vAlign w:val="center"/>
          </w:tcPr>
          <w:p w14:paraId="379F91C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每日检查自动扶梯与自动人行道的紧急停止装置。</w:t>
            </w:r>
          </w:p>
        </w:tc>
        <w:tc>
          <w:tcPr>
            <w:tcW w:w="1555" w:type="dxa"/>
            <w:vAlign w:val="center"/>
          </w:tcPr>
          <w:p w14:paraId="6EDD78F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6A5F829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51B46C8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7045B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0" w:type="auto"/>
            <w:vAlign w:val="center"/>
          </w:tcPr>
          <w:p w14:paraId="27E7EB9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18</w:t>
            </w:r>
          </w:p>
        </w:tc>
        <w:tc>
          <w:tcPr>
            <w:tcW w:w="1371" w:type="dxa"/>
            <w:vMerge w:val="continue"/>
            <w:vAlign w:val="center"/>
          </w:tcPr>
          <w:p w14:paraId="528C6EB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5EFA8CB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轿门防撞击保护装置功能是否有效(安全触板，光幕、光电等)。</w:t>
            </w:r>
          </w:p>
        </w:tc>
        <w:tc>
          <w:tcPr>
            <w:tcW w:w="3972" w:type="dxa"/>
            <w:vAlign w:val="center"/>
          </w:tcPr>
          <w:p w14:paraId="356A55D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每日检查轿门防撞击保护装置情况。</w:t>
            </w:r>
          </w:p>
        </w:tc>
        <w:tc>
          <w:tcPr>
            <w:tcW w:w="1555" w:type="dxa"/>
            <w:vAlign w:val="center"/>
          </w:tcPr>
          <w:p w14:paraId="514B763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4569F65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6AF0C3D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6E40E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0" w:type="auto"/>
            <w:vAlign w:val="center"/>
          </w:tcPr>
          <w:p w14:paraId="49BE5C7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19</w:t>
            </w:r>
          </w:p>
        </w:tc>
        <w:tc>
          <w:tcPr>
            <w:tcW w:w="1371" w:type="dxa"/>
            <w:vMerge w:val="continue"/>
            <w:vAlign w:val="center"/>
          </w:tcPr>
          <w:p w14:paraId="615ECC2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484A94C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示按要求配备手动紧急操作装置是否齐全</w:t>
            </w:r>
          </w:p>
        </w:tc>
        <w:tc>
          <w:tcPr>
            <w:tcW w:w="3972" w:type="dxa"/>
            <w:vAlign w:val="center"/>
          </w:tcPr>
          <w:p w14:paraId="5635DE1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每日手动紧急操作装置是否齐全</w:t>
            </w:r>
          </w:p>
        </w:tc>
        <w:tc>
          <w:tcPr>
            <w:tcW w:w="1555" w:type="dxa"/>
            <w:vAlign w:val="center"/>
          </w:tcPr>
          <w:p w14:paraId="1AC1704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3F6275E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1BE0C1A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7BD38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0" w:type="auto"/>
            <w:vAlign w:val="center"/>
          </w:tcPr>
          <w:p w14:paraId="12ECC95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20</w:t>
            </w:r>
          </w:p>
        </w:tc>
        <w:tc>
          <w:tcPr>
            <w:tcW w:w="1371" w:type="dxa"/>
            <w:vMerge w:val="continue"/>
            <w:vAlign w:val="center"/>
          </w:tcPr>
          <w:p w14:paraId="1648E53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120547C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未制定应急救援程序</w:t>
            </w:r>
          </w:p>
        </w:tc>
        <w:tc>
          <w:tcPr>
            <w:tcW w:w="3972" w:type="dxa"/>
            <w:vAlign w:val="center"/>
          </w:tcPr>
          <w:p w14:paraId="35FE9F4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每日检查应急救援程序</w:t>
            </w:r>
          </w:p>
        </w:tc>
        <w:tc>
          <w:tcPr>
            <w:tcW w:w="1555" w:type="dxa"/>
            <w:vAlign w:val="center"/>
          </w:tcPr>
          <w:p w14:paraId="65956DF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7120129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76AA9CB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2E15E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0" w:type="auto"/>
            <w:vAlign w:val="center"/>
          </w:tcPr>
          <w:p w14:paraId="3C3D849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21</w:t>
            </w:r>
          </w:p>
        </w:tc>
        <w:tc>
          <w:tcPr>
            <w:tcW w:w="1371" w:type="dxa"/>
            <w:vMerge w:val="restart"/>
            <w:vAlign w:val="center"/>
          </w:tcPr>
          <w:p w14:paraId="3A09CBD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环境</w:t>
            </w:r>
          </w:p>
        </w:tc>
        <w:tc>
          <w:tcPr>
            <w:tcW w:w="3705" w:type="dxa"/>
            <w:vAlign w:val="center"/>
          </w:tcPr>
          <w:p w14:paraId="02066AA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4"/>
              </w:rPr>
              <w:t>电梯运行环境存在不符合安全技术规范要求的情况。</w:t>
            </w:r>
          </w:p>
        </w:tc>
        <w:tc>
          <w:tcPr>
            <w:tcW w:w="3972" w:type="dxa"/>
            <w:vAlign w:val="center"/>
          </w:tcPr>
          <w:p w14:paraId="2E60990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1.制定电梯巡查制度，设定巡查频次。</w:t>
            </w:r>
          </w:p>
          <w:p w14:paraId="12517AC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2.依据安全技术规范的要求，保证电梯运行环境符合有关要求。</w:t>
            </w:r>
          </w:p>
        </w:tc>
        <w:tc>
          <w:tcPr>
            <w:tcW w:w="1555" w:type="dxa"/>
            <w:vAlign w:val="center"/>
          </w:tcPr>
          <w:p w14:paraId="32F76D0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540" w:type="dxa"/>
            <w:vAlign w:val="center"/>
          </w:tcPr>
          <w:p w14:paraId="75D6AAF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58CC488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3199F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0" w:type="auto"/>
            <w:vAlign w:val="center"/>
          </w:tcPr>
          <w:p w14:paraId="74729E3E">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22</w:t>
            </w:r>
          </w:p>
        </w:tc>
        <w:tc>
          <w:tcPr>
            <w:tcW w:w="1371" w:type="dxa"/>
            <w:vMerge w:val="continue"/>
            <w:vAlign w:val="center"/>
          </w:tcPr>
          <w:p w14:paraId="76AC139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0A3C07A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未按有关规定设置警示标志或说明</w:t>
            </w:r>
          </w:p>
        </w:tc>
        <w:tc>
          <w:tcPr>
            <w:tcW w:w="3972" w:type="dxa"/>
            <w:vAlign w:val="center"/>
          </w:tcPr>
          <w:p w14:paraId="6864AD9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每日检查电梯安全警示标志是否张贴</w:t>
            </w:r>
          </w:p>
        </w:tc>
        <w:tc>
          <w:tcPr>
            <w:tcW w:w="1555" w:type="dxa"/>
            <w:vAlign w:val="center"/>
          </w:tcPr>
          <w:p w14:paraId="59EA870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540" w:type="dxa"/>
            <w:vAlign w:val="center"/>
          </w:tcPr>
          <w:p w14:paraId="7CF6469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1041" w:type="dxa"/>
          </w:tcPr>
          <w:p w14:paraId="0E1381C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A8D4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0" w:type="auto"/>
            <w:vAlign w:val="center"/>
          </w:tcPr>
          <w:p w14:paraId="7BAC03E6">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23</w:t>
            </w:r>
          </w:p>
        </w:tc>
        <w:tc>
          <w:tcPr>
            <w:tcW w:w="1371" w:type="dxa"/>
            <w:vMerge w:val="continue"/>
            <w:vAlign w:val="center"/>
          </w:tcPr>
          <w:p w14:paraId="7C0DA04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3705" w:type="dxa"/>
            <w:vAlign w:val="center"/>
          </w:tcPr>
          <w:p w14:paraId="4D96582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电梯使用场所是否在易腐蚀、易燃易爆或人员密集场所；</w:t>
            </w:r>
          </w:p>
        </w:tc>
        <w:tc>
          <w:tcPr>
            <w:tcW w:w="3972" w:type="dxa"/>
            <w:vAlign w:val="center"/>
          </w:tcPr>
          <w:p w14:paraId="347F5EA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检查本单位电梯是否有处于易腐蚀、易燃易爆或人员密集场所或环境</w:t>
            </w:r>
          </w:p>
        </w:tc>
        <w:tc>
          <w:tcPr>
            <w:tcW w:w="1555" w:type="dxa"/>
            <w:vAlign w:val="center"/>
          </w:tcPr>
          <w:p w14:paraId="2DC13C2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540" w:type="dxa"/>
            <w:vAlign w:val="center"/>
          </w:tcPr>
          <w:p w14:paraId="754E7BC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1041" w:type="dxa"/>
          </w:tcPr>
          <w:p w14:paraId="38ECCC4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925E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0" w:type="auto"/>
            <w:vAlign w:val="center"/>
          </w:tcPr>
          <w:p w14:paraId="3FC5AEAA">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24</w:t>
            </w:r>
          </w:p>
        </w:tc>
        <w:tc>
          <w:tcPr>
            <w:tcW w:w="1371" w:type="dxa"/>
            <w:vAlign w:val="center"/>
          </w:tcPr>
          <w:p w14:paraId="595C637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政府监督、</w:t>
            </w:r>
          </w:p>
          <w:p w14:paraId="7C0A749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通报、预警</w:t>
            </w:r>
          </w:p>
        </w:tc>
        <w:tc>
          <w:tcPr>
            <w:tcW w:w="3705" w:type="dxa"/>
            <w:vAlign w:val="center"/>
          </w:tcPr>
          <w:p w14:paraId="5DD27B8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3972" w:type="dxa"/>
            <w:vAlign w:val="center"/>
          </w:tcPr>
          <w:p w14:paraId="09D1BF9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555" w:type="dxa"/>
            <w:vAlign w:val="center"/>
          </w:tcPr>
          <w:p w14:paraId="60D0E84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798E0B6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41" w:type="dxa"/>
          </w:tcPr>
          <w:p w14:paraId="79D1791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355B9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0" w:type="auto"/>
            <w:vAlign w:val="center"/>
          </w:tcPr>
          <w:p w14:paraId="4C264BA3">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25</w:t>
            </w:r>
          </w:p>
        </w:tc>
        <w:tc>
          <w:tcPr>
            <w:tcW w:w="1371" w:type="dxa"/>
            <w:vAlign w:val="center"/>
          </w:tcPr>
          <w:p w14:paraId="2F82082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投诉举报</w:t>
            </w:r>
          </w:p>
        </w:tc>
        <w:tc>
          <w:tcPr>
            <w:tcW w:w="3705" w:type="dxa"/>
            <w:vAlign w:val="center"/>
          </w:tcPr>
          <w:p w14:paraId="378C371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3972" w:type="dxa"/>
            <w:vAlign w:val="center"/>
          </w:tcPr>
          <w:p w14:paraId="26DB06A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记录，整改，消除安全隐患。</w:t>
            </w:r>
          </w:p>
        </w:tc>
        <w:tc>
          <w:tcPr>
            <w:tcW w:w="1555" w:type="dxa"/>
            <w:vAlign w:val="center"/>
          </w:tcPr>
          <w:p w14:paraId="305FD2F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6C5A2CF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41" w:type="dxa"/>
          </w:tcPr>
          <w:p w14:paraId="7285118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C30C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0" w:type="auto"/>
            <w:vAlign w:val="center"/>
          </w:tcPr>
          <w:p w14:paraId="2BFB147E">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26</w:t>
            </w:r>
          </w:p>
        </w:tc>
        <w:tc>
          <w:tcPr>
            <w:tcW w:w="1371" w:type="dxa"/>
            <w:vAlign w:val="center"/>
          </w:tcPr>
          <w:p w14:paraId="3CC8C59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舆情信息</w:t>
            </w:r>
          </w:p>
        </w:tc>
        <w:tc>
          <w:tcPr>
            <w:tcW w:w="3705" w:type="dxa"/>
            <w:vAlign w:val="center"/>
          </w:tcPr>
          <w:p w14:paraId="15C9431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3972" w:type="dxa"/>
            <w:vAlign w:val="center"/>
          </w:tcPr>
          <w:p w14:paraId="253A029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555" w:type="dxa"/>
            <w:vAlign w:val="center"/>
          </w:tcPr>
          <w:p w14:paraId="02D9598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540" w:type="dxa"/>
            <w:vAlign w:val="center"/>
          </w:tcPr>
          <w:p w14:paraId="0BE145B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041" w:type="dxa"/>
          </w:tcPr>
          <w:p w14:paraId="470BEBC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bl>
    <w:p w14:paraId="663C9D50">
      <w:pPr>
        <w:keepNext w:val="0"/>
        <w:keepLines w:val="0"/>
        <w:pageBreakBefore w:val="0"/>
        <w:widowControl/>
        <w:kinsoku/>
        <w:overflowPunct/>
        <w:bidi w:val="0"/>
        <w:adjustRightInd/>
        <w:spacing w:line="280" w:lineRule="exact"/>
        <w:ind w:left="0" w:leftChars="0" w:firstLine="480" w:firstLineChars="200"/>
        <w:jc w:val="both"/>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备注</w:t>
      </w:r>
      <w:r>
        <w:rPr>
          <w:rFonts w:hint="default" w:ascii="Times New Roman" w:hAnsi="Times New Roman" w:eastAsia="宋体" w:cs="Times New Roman"/>
          <w:b w:val="0"/>
          <w:bCs w:val="0"/>
          <w:color w:val="000000"/>
          <w:kern w:val="0"/>
          <w:sz w:val="24"/>
          <w:szCs w:val="22"/>
        </w:rPr>
        <w:t>：</w:t>
      </w:r>
      <w:r>
        <w:rPr>
          <w:rFonts w:hint="default" w:ascii="Times New Roman" w:hAnsi="Times New Roman" w:eastAsia="宋体" w:cs="Times New Roman"/>
          <w:b w:val="0"/>
          <w:bCs w:val="0"/>
          <w:color w:val="000000"/>
          <w:sz w:val="24"/>
          <w:szCs w:val="24"/>
        </w:rPr>
        <w:t>本清单为推荐性格式，仅规定了应当进行日管控、周排查、月调度的基本项目，电梯使用单位应当结合本单位实际情况和具体要求，细化风险管控清单，合理调整管控形式。</w:t>
      </w:r>
    </w:p>
    <w:p w14:paraId="726008EB">
      <w:pPr>
        <w:keepNext w:val="0"/>
        <w:keepLines w:val="0"/>
        <w:pageBreakBefore w:val="0"/>
        <w:kinsoku/>
        <w:overflowPunct/>
        <w:bidi w:val="0"/>
        <w:adjustRightInd/>
        <w:spacing w:line="280" w:lineRule="exact"/>
        <w:rPr>
          <w:rFonts w:hint="default" w:ascii="Times New Roman" w:hAnsi="Times New Roman" w:eastAsia="宋体" w:cs="Times New Roman"/>
          <w:b w:val="0"/>
          <w:bCs w:val="0"/>
          <w:sz w:val="36"/>
          <w:szCs w:val="36"/>
        </w:rPr>
      </w:pPr>
      <w:r>
        <w:rPr>
          <w:rFonts w:hint="default" w:ascii="Times New Roman" w:hAnsi="Times New Roman" w:eastAsia="宋体" w:cs="Times New Roman"/>
          <w:b w:val="0"/>
          <w:bCs w:val="0"/>
          <w:sz w:val="36"/>
          <w:szCs w:val="36"/>
        </w:rPr>
        <w:br w:type="page"/>
      </w:r>
    </w:p>
    <w:p w14:paraId="40B0F1B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eastAsiaTheme="minorEastAsia"/>
          <w:b w:val="0"/>
          <w:bCs w:val="0"/>
          <w:sz w:val="36"/>
          <w:szCs w:val="36"/>
        </w:rPr>
      </w:pPr>
      <w:r>
        <w:rPr>
          <w:rFonts w:hint="default" w:ascii="Times New Roman" w:hAnsi="Times New Roman" w:cs="Times New Roman" w:eastAsiaTheme="minorEastAsia"/>
          <w:b w:val="0"/>
          <w:bCs w:val="0"/>
          <w:sz w:val="36"/>
          <w:szCs w:val="36"/>
        </w:rPr>
        <w:t>起重机械安全风险管控清单</w:t>
      </w:r>
      <w:r>
        <w:rPr>
          <w:rFonts w:hint="default" w:ascii="Times New Roman" w:hAnsi="Times New Roman" w:cs="Times New Roman" w:eastAsiaTheme="minorEastAsia"/>
          <w:b w:val="0"/>
          <w:bCs w:val="0"/>
          <w:sz w:val="36"/>
          <w:szCs w:val="36"/>
          <w:lang w:eastAsia="zh-CN"/>
        </w:rPr>
        <w:t>（供参考）</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422"/>
        <w:gridCol w:w="3494"/>
        <w:gridCol w:w="4301"/>
        <w:gridCol w:w="1559"/>
        <w:gridCol w:w="1455"/>
        <w:gridCol w:w="1136"/>
      </w:tblGrid>
      <w:tr w14:paraId="7D04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07" w:type="dxa"/>
            <w:shd w:val="clear" w:color="auto" w:fill="BEBEBE"/>
            <w:vAlign w:val="center"/>
          </w:tcPr>
          <w:p w14:paraId="3774C6E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序号</w:t>
            </w:r>
          </w:p>
        </w:tc>
        <w:tc>
          <w:tcPr>
            <w:tcW w:w="1422" w:type="dxa"/>
            <w:shd w:val="clear" w:color="auto" w:fill="BEBEBE"/>
            <w:vAlign w:val="center"/>
          </w:tcPr>
          <w:p w14:paraId="0557FD9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风险类别</w:t>
            </w:r>
          </w:p>
        </w:tc>
        <w:tc>
          <w:tcPr>
            <w:tcW w:w="3494" w:type="dxa"/>
            <w:shd w:val="clear" w:color="auto" w:fill="BEBEBE"/>
            <w:vAlign w:val="center"/>
          </w:tcPr>
          <w:p w14:paraId="06C8288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风险指标</w:t>
            </w:r>
          </w:p>
        </w:tc>
        <w:tc>
          <w:tcPr>
            <w:tcW w:w="4301" w:type="dxa"/>
            <w:shd w:val="clear" w:color="auto" w:fill="BEBEBE"/>
            <w:vAlign w:val="center"/>
          </w:tcPr>
          <w:p w14:paraId="5F15597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风险管控措施</w:t>
            </w:r>
          </w:p>
        </w:tc>
        <w:tc>
          <w:tcPr>
            <w:tcW w:w="1559" w:type="dxa"/>
            <w:shd w:val="clear" w:color="auto" w:fill="BEBEBE"/>
            <w:vAlign w:val="center"/>
          </w:tcPr>
          <w:p w14:paraId="075D63F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管控方式</w:t>
            </w:r>
          </w:p>
        </w:tc>
        <w:tc>
          <w:tcPr>
            <w:tcW w:w="1455" w:type="dxa"/>
            <w:shd w:val="clear" w:color="auto" w:fill="BEBEBE"/>
            <w:vAlign w:val="center"/>
          </w:tcPr>
          <w:p w14:paraId="527A88A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责任人</w:t>
            </w:r>
          </w:p>
        </w:tc>
        <w:tc>
          <w:tcPr>
            <w:tcW w:w="1136" w:type="dxa"/>
            <w:shd w:val="clear" w:color="auto" w:fill="BEBEBE"/>
            <w:vAlign w:val="center"/>
          </w:tcPr>
          <w:p w14:paraId="588E2B1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备注</w:t>
            </w:r>
          </w:p>
        </w:tc>
      </w:tr>
      <w:tr w14:paraId="3E21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807" w:type="dxa"/>
            <w:vAlign w:val="center"/>
          </w:tcPr>
          <w:p w14:paraId="7E0C020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w:t>
            </w:r>
          </w:p>
        </w:tc>
        <w:tc>
          <w:tcPr>
            <w:tcW w:w="1422" w:type="dxa"/>
            <w:vMerge w:val="restart"/>
            <w:vAlign w:val="center"/>
          </w:tcPr>
          <w:p w14:paraId="698812B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人员</w:t>
            </w:r>
          </w:p>
        </w:tc>
        <w:tc>
          <w:tcPr>
            <w:tcW w:w="3494" w:type="dxa"/>
            <w:vAlign w:val="center"/>
          </w:tcPr>
          <w:p w14:paraId="2DB92A4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未按规定配备安全管理人员和作业人员</w:t>
            </w:r>
          </w:p>
        </w:tc>
        <w:tc>
          <w:tcPr>
            <w:tcW w:w="4301" w:type="dxa"/>
            <w:vAlign w:val="center"/>
          </w:tcPr>
          <w:p w14:paraId="3ECCF94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4"/>
                <w:szCs w:val="22"/>
              </w:rPr>
              <w:t>建立特种设备安全管理人员与作业人员管理制度，按规定配备相关人员</w:t>
            </w:r>
          </w:p>
        </w:tc>
        <w:tc>
          <w:tcPr>
            <w:tcW w:w="1559" w:type="dxa"/>
            <w:vAlign w:val="center"/>
          </w:tcPr>
          <w:p w14:paraId="13703A5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月调度</w:t>
            </w:r>
          </w:p>
        </w:tc>
        <w:tc>
          <w:tcPr>
            <w:tcW w:w="1455" w:type="dxa"/>
            <w:vAlign w:val="center"/>
          </w:tcPr>
          <w:p w14:paraId="739148E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主要负责人</w:t>
            </w:r>
          </w:p>
        </w:tc>
        <w:tc>
          <w:tcPr>
            <w:tcW w:w="1136" w:type="dxa"/>
            <w:vAlign w:val="center"/>
          </w:tcPr>
          <w:p w14:paraId="6062A36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5E3A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807" w:type="dxa"/>
            <w:vAlign w:val="center"/>
          </w:tcPr>
          <w:p w14:paraId="6F303D5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w:t>
            </w:r>
          </w:p>
        </w:tc>
        <w:tc>
          <w:tcPr>
            <w:tcW w:w="1422" w:type="dxa"/>
            <w:vMerge w:val="continue"/>
            <w:vAlign w:val="center"/>
          </w:tcPr>
          <w:p w14:paraId="2FDB186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75971803">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作业人员未持有相应资格证件</w:t>
            </w:r>
          </w:p>
        </w:tc>
        <w:tc>
          <w:tcPr>
            <w:tcW w:w="4301" w:type="dxa"/>
            <w:vAlign w:val="center"/>
          </w:tcPr>
          <w:p w14:paraId="74CC613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4"/>
                <w:szCs w:val="22"/>
              </w:rPr>
              <w:t>配备具有相应职责资质的作业人员，加强资格证的换证管理</w:t>
            </w:r>
          </w:p>
        </w:tc>
        <w:tc>
          <w:tcPr>
            <w:tcW w:w="1559" w:type="dxa"/>
            <w:vAlign w:val="center"/>
          </w:tcPr>
          <w:p w14:paraId="2D43B22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周排查</w:t>
            </w:r>
          </w:p>
        </w:tc>
        <w:tc>
          <w:tcPr>
            <w:tcW w:w="1455" w:type="dxa"/>
            <w:vAlign w:val="center"/>
          </w:tcPr>
          <w:p w14:paraId="731E50A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安全总监</w:t>
            </w:r>
          </w:p>
        </w:tc>
        <w:tc>
          <w:tcPr>
            <w:tcW w:w="1136" w:type="dxa"/>
            <w:vAlign w:val="center"/>
          </w:tcPr>
          <w:p w14:paraId="2B3F434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239A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07" w:type="dxa"/>
            <w:vAlign w:val="center"/>
          </w:tcPr>
          <w:p w14:paraId="46824EE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w:t>
            </w:r>
          </w:p>
        </w:tc>
        <w:tc>
          <w:tcPr>
            <w:tcW w:w="1422" w:type="dxa"/>
            <w:vMerge w:val="continue"/>
            <w:vAlign w:val="center"/>
          </w:tcPr>
          <w:p w14:paraId="684BF9B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38AC09EE">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未按规定对安全管理人员和作业人员开展安全教育培训</w:t>
            </w:r>
          </w:p>
        </w:tc>
        <w:tc>
          <w:tcPr>
            <w:tcW w:w="4301" w:type="dxa"/>
            <w:vAlign w:val="center"/>
          </w:tcPr>
          <w:p w14:paraId="5F9E984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按规定开展安全培训教育</w:t>
            </w:r>
          </w:p>
        </w:tc>
        <w:tc>
          <w:tcPr>
            <w:tcW w:w="1559" w:type="dxa"/>
            <w:vAlign w:val="center"/>
          </w:tcPr>
          <w:p w14:paraId="2425E0D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周排查</w:t>
            </w:r>
          </w:p>
        </w:tc>
        <w:tc>
          <w:tcPr>
            <w:tcW w:w="1455" w:type="dxa"/>
            <w:vAlign w:val="center"/>
          </w:tcPr>
          <w:p w14:paraId="5FA66B6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安全总监</w:t>
            </w:r>
          </w:p>
        </w:tc>
        <w:tc>
          <w:tcPr>
            <w:tcW w:w="1136" w:type="dxa"/>
            <w:vAlign w:val="center"/>
          </w:tcPr>
          <w:p w14:paraId="15C67B1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31EC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07" w:type="dxa"/>
            <w:vAlign w:val="center"/>
          </w:tcPr>
          <w:p w14:paraId="4DEC82F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4</w:t>
            </w:r>
          </w:p>
        </w:tc>
        <w:tc>
          <w:tcPr>
            <w:tcW w:w="1422" w:type="dxa"/>
            <w:vMerge w:val="continue"/>
            <w:vAlign w:val="center"/>
          </w:tcPr>
          <w:p w14:paraId="488349B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75A852EF">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作业人员违章作业</w:t>
            </w:r>
          </w:p>
        </w:tc>
        <w:tc>
          <w:tcPr>
            <w:tcW w:w="4301" w:type="dxa"/>
            <w:vAlign w:val="center"/>
          </w:tcPr>
          <w:p w14:paraId="4E75214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纠正和制止违章作业行为，遵循起重作业的安全规章和操作规程，杜绝不明重量范围起吊、歪拉斜拽、视线盲区、站位混乱等违章行为</w:t>
            </w:r>
          </w:p>
        </w:tc>
        <w:tc>
          <w:tcPr>
            <w:tcW w:w="1559" w:type="dxa"/>
            <w:vAlign w:val="center"/>
          </w:tcPr>
          <w:p w14:paraId="7215797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日管控</w:t>
            </w:r>
          </w:p>
        </w:tc>
        <w:tc>
          <w:tcPr>
            <w:tcW w:w="1455" w:type="dxa"/>
            <w:vAlign w:val="center"/>
          </w:tcPr>
          <w:p w14:paraId="010700E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安全员</w:t>
            </w:r>
          </w:p>
        </w:tc>
        <w:tc>
          <w:tcPr>
            <w:tcW w:w="1136" w:type="dxa"/>
            <w:vAlign w:val="center"/>
          </w:tcPr>
          <w:p w14:paraId="337F070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5B02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dxa"/>
            <w:vAlign w:val="center"/>
          </w:tcPr>
          <w:p w14:paraId="2E8CF13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5</w:t>
            </w:r>
          </w:p>
        </w:tc>
        <w:tc>
          <w:tcPr>
            <w:tcW w:w="1422" w:type="dxa"/>
            <w:vMerge w:val="restart"/>
            <w:vAlign w:val="center"/>
          </w:tcPr>
          <w:p w14:paraId="7C6F0AD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管理</w:t>
            </w:r>
          </w:p>
        </w:tc>
        <w:tc>
          <w:tcPr>
            <w:tcW w:w="3494" w:type="dxa"/>
            <w:vAlign w:val="center"/>
          </w:tcPr>
          <w:p w14:paraId="353D7E1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未建立起重机械安全运行管理规章制度</w:t>
            </w:r>
          </w:p>
        </w:tc>
        <w:tc>
          <w:tcPr>
            <w:tcW w:w="4301" w:type="dxa"/>
            <w:vAlign w:val="center"/>
          </w:tcPr>
          <w:p w14:paraId="7C25BA6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1.制定《起重机械安全总监职责》《起重机械安全员守则》《起重机械安全日管控、周排查、月调度管理制度》；</w:t>
            </w:r>
          </w:p>
          <w:p w14:paraId="5428382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pacing w:val="6"/>
                <w:sz w:val="21"/>
                <w:szCs w:val="21"/>
              </w:rPr>
            </w:pPr>
            <w:r>
              <w:rPr>
                <w:rFonts w:hint="default" w:ascii="Times New Roman" w:hAnsi="Times New Roman" w:eastAsia="宋体" w:cs="Times New Roman"/>
                <w:b w:val="0"/>
                <w:bCs w:val="0"/>
                <w:sz w:val="24"/>
                <w:szCs w:val="22"/>
              </w:rPr>
              <w:t>2.建立起重机械安全管理机构和相关人员岗位职责。</w:t>
            </w:r>
          </w:p>
        </w:tc>
        <w:tc>
          <w:tcPr>
            <w:tcW w:w="1559" w:type="dxa"/>
            <w:vAlign w:val="center"/>
          </w:tcPr>
          <w:p w14:paraId="395CE51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月调度</w:t>
            </w:r>
          </w:p>
        </w:tc>
        <w:tc>
          <w:tcPr>
            <w:tcW w:w="1455" w:type="dxa"/>
            <w:vAlign w:val="center"/>
          </w:tcPr>
          <w:p w14:paraId="2A74A3C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主要负责人</w:t>
            </w:r>
          </w:p>
        </w:tc>
        <w:tc>
          <w:tcPr>
            <w:tcW w:w="1136" w:type="dxa"/>
            <w:vAlign w:val="center"/>
          </w:tcPr>
          <w:p w14:paraId="71443DC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0B41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07" w:type="dxa"/>
            <w:vAlign w:val="center"/>
          </w:tcPr>
          <w:p w14:paraId="5A2C706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6</w:t>
            </w:r>
          </w:p>
        </w:tc>
        <w:tc>
          <w:tcPr>
            <w:tcW w:w="1422" w:type="dxa"/>
            <w:vMerge w:val="continue"/>
            <w:vAlign w:val="center"/>
          </w:tcPr>
          <w:p w14:paraId="7D7BC6C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7EFB8A51">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未建立安全技术档案</w:t>
            </w:r>
          </w:p>
        </w:tc>
        <w:tc>
          <w:tcPr>
            <w:tcW w:w="4301" w:type="dxa"/>
            <w:vAlign w:val="center"/>
          </w:tcPr>
          <w:p w14:paraId="7885DFF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按照一机一档建立安全技术档案，至少包括以下内容：</w:t>
            </w:r>
          </w:p>
          <w:p w14:paraId="7705E30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起重机械设计、制造技术资料和文件；</w:t>
            </w:r>
          </w:p>
          <w:p w14:paraId="4DA8BCF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起重机械安装、改造和修理的方案、图样、材料质量证明书和施工质量证明文件、安装改造修理监督检验报告、验收报告等技术资料；</w:t>
            </w:r>
          </w:p>
          <w:p w14:paraId="794EDF3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3.起重机械维护保养记录。</w:t>
            </w:r>
          </w:p>
        </w:tc>
        <w:tc>
          <w:tcPr>
            <w:tcW w:w="1559" w:type="dxa"/>
            <w:vAlign w:val="center"/>
          </w:tcPr>
          <w:p w14:paraId="4BB491F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周排查</w:t>
            </w:r>
          </w:p>
        </w:tc>
        <w:tc>
          <w:tcPr>
            <w:tcW w:w="1455" w:type="dxa"/>
            <w:vAlign w:val="center"/>
          </w:tcPr>
          <w:p w14:paraId="3F8C6DA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安全总监</w:t>
            </w:r>
          </w:p>
        </w:tc>
        <w:tc>
          <w:tcPr>
            <w:tcW w:w="1136" w:type="dxa"/>
            <w:vAlign w:val="center"/>
          </w:tcPr>
          <w:p w14:paraId="574AD69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0C2C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807" w:type="dxa"/>
            <w:vAlign w:val="center"/>
          </w:tcPr>
          <w:p w14:paraId="3185F16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7</w:t>
            </w:r>
          </w:p>
        </w:tc>
        <w:tc>
          <w:tcPr>
            <w:tcW w:w="1422" w:type="dxa"/>
            <w:vMerge w:val="restart"/>
            <w:vAlign w:val="center"/>
          </w:tcPr>
          <w:p w14:paraId="2685C6C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管理</w:t>
            </w:r>
          </w:p>
        </w:tc>
        <w:tc>
          <w:tcPr>
            <w:tcW w:w="3494" w:type="dxa"/>
            <w:vAlign w:val="center"/>
          </w:tcPr>
          <w:p w14:paraId="1814323E">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未按规定办理使用登记、变更登记及停用、报废手续</w:t>
            </w:r>
          </w:p>
        </w:tc>
        <w:tc>
          <w:tcPr>
            <w:tcW w:w="4301" w:type="dxa"/>
            <w:vAlign w:val="center"/>
          </w:tcPr>
          <w:p w14:paraId="7D731028">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1.建立使用管理制度和规程，明确相关内容及安全管理要求；</w:t>
            </w:r>
          </w:p>
          <w:p w14:paraId="7287EBF7">
            <w:pPr>
              <w:keepNext w:val="0"/>
              <w:keepLines w:val="0"/>
              <w:pageBreakBefore w:val="0"/>
              <w:tabs>
                <w:tab w:val="left" w:pos="312"/>
              </w:tabs>
              <w:kinsoku/>
              <w:overflowPunct/>
              <w:bidi w:val="0"/>
              <w:adjustRightInd/>
              <w:spacing w:line="280" w:lineRule="exact"/>
              <w:ind w:left="0" w:leftChars="0" w:firstLine="0" w:firstLineChars="0"/>
              <w:jc w:val="both"/>
              <w:rPr>
                <w:rFonts w:hint="default" w:ascii="Times New Roman" w:hAnsi="Times New Roman" w:eastAsia="宋体" w:cs="Times New Roman"/>
                <w:b w:val="0"/>
                <w:bCs w:val="0"/>
                <w:spacing w:val="6"/>
                <w:sz w:val="21"/>
                <w:szCs w:val="21"/>
              </w:rPr>
            </w:pPr>
            <w:r>
              <w:rPr>
                <w:rFonts w:hint="default" w:ascii="Times New Roman" w:hAnsi="Times New Roman" w:eastAsia="宋体" w:cs="Times New Roman"/>
                <w:b w:val="0"/>
                <w:bCs w:val="0"/>
                <w:sz w:val="24"/>
                <w:szCs w:val="22"/>
              </w:rPr>
              <w:t>2. 按规定办理使用登记、变更登记及停用、报废手续，办理报废的设备应确认去功能化处理。</w:t>
            </w:r>
            <w:r>
              <w:rPr>
                <w:rFonts w:hint="default" w:ascii="Times New Roman" w:hAnsi="Times New Roman" w:eastAsia="宋体" w:cs="Times New Roman"/>
                <w:b w:val="0"/>
                <w:bCs w:val="0"/>
                <w:kern w:val="0"/>
                <w:sz w:val="24"/>
                <w:szCs w:val="22"/>
              </w:rPr>
              <w:t xml:space="preserve">  </w:t>
            </w:r>
          </w:p>
        </w:tc>
        <w:tc>
          <w:tcPr>
            <w:tcW w:w="1559" w:type="dxa"/>
            <w:vAlign w:val="center"/>
          </w:tcPr>
          <w:p w14:paraId="2478A2A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周排查</w:t>
            </w:r>
          </w:p>
        </w:tc>
        <w:tc>
          <w:tcPr>
            <w:tcW w:w="1455" w:type="dxa"/>
            <w:vAlign w:val="center"/>
          </w:tcPr>
          <w:p w14:paraId="5C87200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安全总监</w:t>
            </w:r>
          </w:p>
        </w:tc>
        <w:tc>
          <w:tcPr>
            <w:tcW w:w="1136" w:type="dxa"/>
            <w:vAlign w:val="center"/>
          </w:tcPr>
          <w:p w14:paraId="110B726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544A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dxa"/>
            <w:vAlign w:val="center"/>
          </w:tcPr>
          <w:p w14:paraId="4F2483B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8</w:t>
            </w:r>
          </w:p>
        </w:tc>
        <w:tc>
          <w:tcPr>
            <w:tcW w:w="1422" w:type="dxa"/>
            <w:vMerge w:val="continue"/>
            <w:vAlign w:val="center"/>
          </w:tcPr>
          <w:p w14:paraId="03140B6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2D626888">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未按规定进行经常性维护保养和自行检查</w:t>
            </w:r>
          </w:p>
        </w:tc>
        <w:tc>
          <w:tcPr>
            <w:tcW w:w="4301" w:type="dxa"/>
            <w:vAlign w:val="center"/>
          </w:tcPr>
          <w:p w14:paraId="547E42CF">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spacing w:val="6"/>
                <w:sz w:val="21"/>
                <w:szCs w:val="21"/>
              </w:rPr>
            </w:pPr>
            <w:r>
              <w:rPr>
                <w:rFonts w:hint="default" w:ascii="Times New Roman" w:hAnsi="Times New Roman" w:eastAsia="宋体" w:cs="Times New Roman"/>
                <w:b w:val="0"/>
                <w:bCs w:val="0"/>
                <w:sz w:val="24"/>
                <w:szCs w:val="22"/>
              </w:rPr>
              <w:t>按规定制定维护保养制度和定期自行检查制度，并做好记录</w:t>
            </w:r>
          </w:p>
        </w:tc>
        <w:tc>
          <w:tcPr>
            <w:tcW w:w="1559" w:type="dxa"/>
            <w:vAlign w:val="center"/>
          </w:tcPr>
          <w:p w14:paraId="5CCF6CB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周排查</w:t>
            </w:r>
          </w:p>
        </w:tc>
        <w:tc>
          <w:tcPr>
            <w:tcW w:w="1455" w:type="dxa"/>
            <w:vAlign w:val="center"/>
          </w:tcPr>
          <w:p w14:paraId="5D0D24F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安全总监</w:t>
            </w:r>
          </w:p>
        </w:tc>
        <w:tc>
          <w:tcPr>
            <w:tcW w:w="1136" w:type="dxa"/>
            <w:vAlign w:val="center"/>
          </w:tcPr>
          <w:p w14:paraId="5B05296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3596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807" w:type="dxa"/>
            <w:vAlign w:val="center"/>
          </w:tcPr>
          <w:p w14:paraId="2C971B8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9</w:t>
            </w:r>
          </w:p>
        </w:tc>
        <w:tc>
          <w:tcPr>
            <w:tcW w:w="1422" w:type="dxa"/>
            <w:vMerge w:val="continue"/>
            <w:vAlign w:val="center"/>
          </w:tcPr>
          <w:p w14:paraId="2D5996C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2E0855C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未建立起重机械事故应急专项预案并定期演练</w:t>
            </w:r>
          </w:p>
        </w:tc>
        <w:tc>
          <w:tcPr>
            <w:tcW w:w="4301" w:type="dxa"/>
            <w:vAlign w:val="center"/>
          </w:tcPr>
          <w:p w14:paraId="593AFA85">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 xml:space="preserve">制定起重机械事故应急救援专项预案并每年至少进行1次事故演练 </w:t>
            </w:r>
          </w:p>
        </w:tc>
        <w:tc>
          <w:tcPr>
            <w:tcW w:w="1559" w:type="dxa"/>
            <w:vAlign w:val="center"/>
          </w:tcPr>
          <w:p w14:paraId="272E8D8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月调度</w:t>
            </w:r>
          </w:p>
        </w:tc>
        <w:tc>
          <w:tcPr>
            <w:tcW w:w="1455" w:type="dxa"/>
            <w:vAlign w:val="center"/>
          </w:tcPr>
          <w:p w14:paraId="355456F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主要负责人</w:t>
            </w:r>
          </w:p>
        </w:tc>
        <w:tc>
          <w:tcPr>
            <w:tcW w:w="1136" w:type="dxa"/>
            <w:vAlign w:val="center"/>
          </w:tcPr>
          <w:p w14:paraId="185109C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379F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807" w:type="dxa"/>
            <w:vAlign w:val="center"/>
          </w:tcPr>
          <w:p w14:paraId="7B2106A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4"/>
              </w:rPr>
              <w:t>10</w:t>
            </w:r>
          </w:p>
        </w:tc>
        <w:tc>
          <w:tcPr>
            <w:tcW w:w="1422" w:type="dxa"/>
            <w:vMerge w:val="continue"/>
            <w:vAlign w:val="center"/>
          </w:tcPr>
          <w:p w14:paraId="41BFE77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65BB941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登高作业风险</w:t>
            </w:r>
          </w:p>
        </w:tc>
        <w:tc>
          <w:tcPr>
            <w:tcW w:w="4301" w:type="dxa"/>
            <w:vAlign w:val="center"/>
          </w:tcPr>
          <w:p w14:paraId="027AEB3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操作人员穿戴劳动保护用具（如安全帽、安全鞋），严格遵守安全操作规程，采取必要的安全防护措施</w:t>
            </w:r>
          </w:p>
        </w:tc>
        <w:tc>
          <w:tcPr>
            <w:tcW w:w="1559" w:type="dxa"/>
            <w:vAlign w:val="center"/>
          </w:tcPr>
          <w:p w14:paraId="542CCEC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日管控</w:t>
            </w:r>
          </w:p>
        </w:tc>
        <w:tc>
          <w:tcPr>
            <w:tcW w:w="1455" w:type="dxa"/>
            <w:vAlign w:val="center"/>
          </w:tcPr>
          <w:p w14:paraId="38FF4A3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安全员</w:t>
            </w:r>
          </w:p>
        </w:tc>
        <w:tc>
          <w:tcPr>
            <w:tcW w:w="1136" w:type="dxa"/>
            <w:vAlign w:val="center"/>
          </w:tcPr>
          <w:p w14:paraId="33A00F9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30DE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807" w:type="dxa"/>
            <w:vAlign w:val="center"/>
          </w:tcPr>
          <w:p w14:paraId="15F26B8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11</w:t>
            </w:r>
          </w:p>
        </w:tc>
        <w:tc>
          <w:tcPr>
            <w:tcW w:w="1422" w:type="dxa"/>
            <w:vMerge w:val="restart"/>
            <w:vAlign w:val="center"/>
          </w:tcPr>
          <w:p w14:paraId="56F784F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设备</w:t>
            </w:r>
          </w:p>
        </w:tc>
        <w:tc>
          <w:tcPr>
            <w:tcW w:w="3494" w:type="dxa"/>
            <w:vAlign w:val="center"/>
          </w:tcPr>
          <w:p w14:paraId="297111EB">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未按要求使用符合要求的特种设备或使用国家明令禁止，未按实际情况选择适合使用条件要求的起重机械</w:t>
            </w:r>
          </w:p>
        </w:tc>
        <w:tc>
          <w:tcPr>
            <w:tcW w:w="4301" w:type="dxa"/>
            <w:vAlign w:val="center"/>
          </w:tcPr>
          <w:p w14:paraId="2521A257">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1.制定特种设备采购、安装、改造、修理、报废等管理制度；</w:t>
            </w:r>
          </w:p>
          <w:p w14:paraId="1E9F625C">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2.对计划新增设备采购前根据起重机械的用途、使用环境，选择适合使用条件要求的起重机械，并且对所使用起重机械的选型负责。</w:t>
            </w:r>
          </w:p>
        </w:tc>
        <w:tc>
          <w:tcPr>
            <w:tcW w:w="1559" w:type="dxa"/>
            <w:vAlign w:val="center"/>
          </w:tcPr>
          <w:p w14:paraId="0944E5D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455" w:type="dxa"/>
            <w:vAlign w:val="center"/>
          </w:tcPr>
          <w:p w14:paraId="0A709DD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136" w:type="dxa"/>
            <w:vAlign w:val="center"/>
          </w:tcPr>
          <w:p w14:paraId="749309B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0A18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807" w:type="dxa"/>
            <w:vAlign w:val="center"/>
          </w:tcPr>
          <w:p w14:paraId="427C7E6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12</w:t>
            </w:r>
          </w:p>
        </w:tc>
        <w:tc>
          <w:tcPr>
            <w:tcW w:w="1422" w:type="dxa"/>
            <w:vMerge w:val="continue"/>
            <w:vAlign w:val="center"/>
          </w:tcPr>
          <w:p w14:paraId="78CB295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6B1528A3">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未按有关规定起重机械定期检验，设备超期未检</w:t>
            </w:r>
          </w:p>
        </w:tc>
        <w:tc>
          <w:tcPr>
            <w:tcW w:w="4301" w:type="dxa"/>
            <w:vAlign w:val="center"/>
          </w:tcPr>
          <w:p w14:paraId="52BBF7FA">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1.制定特种设备检验制度和检验计划；</w:t>
            </w:r>
          </w:p>
          <w:p w14:paraId="7DF2EB5E">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2.明确</w:t>
            </w:r>
            <w:r>
              <w:rPr>
                <w:rFonts w:hint="default" w:ascii="Times New Roman" w:hAnsi="Times New Roman" w:eastAsia="宋体" w:cs="Times New Roman"/>
                <w:b w:val="0"/>
                <w:bCs w:val="0"/>
                <w:sz w:val="24"/>
                <w:szCs w:val="24"/>
              </w:rPr>
              <w:t>安全总监</w:t>
            </w:r>
            <w:r>
              <w:rPr>
                <w:rFonts w:hint="default" w:ascii="Times New Roman" w:hAnsi="Times New Roman" w:eastAsia="宋体" w:cs="Times New Roman"/>
                <w:b w:val="0"/>
                <w:bCs w:val="0"/>
                <w:kern w:val="0"/>
                <w:sz w:val="24"/>
                <w:szCs w:val="22"/>
              </w:rPr>
              <w:t>负责定期检验和后续整改工作。</w:t>
            </w:r>
          </w:p>
        </w:tc>
        <w:tc>
          <w:tcPr>
            <w:tcW w:w="1559" w:type="dxa"/>
            <w:vAlign w:val="center"/>
          </w:tcPr>
          <w:p w14:paraId="1AD965C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455" w:type="dxa"/>
            <w:vAlign w:val="center"/>
          </w:tcPr>
          <w:p w14:paraId="0AA592F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1136" w:type="dxa"/>
            <w:vAlign w:val="center"/>
          </w:tcPr>
          <w:p w14:paraId="1665D7A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3EC1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807" w:type="dxa"/>
            <w:vAlign w:val="center"/>
          </w:tcPr>
          <w:p w14:paraId="4EDB1B1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13</w:t>
            </w:r>
          </w:p>
        </w:tc>
        <w:tc>
          <w:tcPr>
            <w:tcW w:w="1422" w:type="dxa"/>
            <w:vMerge w:val="restart"/>
            <w:vAlign w:val="center"/>
          </w:tcPr>
          <w:p w14:paraId="3A454A6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设备</w:t>
            </w:r>
          </w:p>
        </w:tc>
        <w:tc>
          <w:tcPr>
            <w:tcW w:w="3494" w:type="dxa"/>
            <w:vAlign w:val="center"/>
          </w:tcPr>
          <w:p w14:paraId="43736C17">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吊索具</w:t>
            </w:r>
            <w:r>
              <w:rPr>
                <w:rFonts w:hint="default" w:ascii="Times New Roman" w:hAnsi="Times New Roman" w:eastAsia="宋体" w:cs="Times New Roman"/>
                <w:b w:val="0"/>
                <w:bCs w:val="0"/>
                <w:sz w:val="24"/>
                <w:szCs w:val="22"/>
              </w:rPr>
              <w:t>未设置防止吊物意外脱钩的安全装置，吊索具出现危险断面磨损超过10%、裂纹、焊补、塑性变形、扭转变形</w:t>
            </w:r>
          </w:p>
        </w:tc>
        <w:tc>
          <w:tcPr>
            <w:tcW w:w="4301" w:type="dxa"/>
            <w:vAlign w:val="center"/>
          </w:tcPr>
          <w:p w14:paraId="0662680F">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 xml:space="preserve">1.检查吊索具防脱钩装置情况； </w:t>
            </w:r>
          </w:p>
          <w:p w14:paraId="3B29DB2B">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2.定期检查吊索具磨损、塑性变形、扭转变形情况 。</w:t>
            </w:r>
          </w:p>
        </w:tc>
        <w:tc>
          <w:tcPr>
            <w:tcW w:w="1559" w:type="dxa"/>
            <w:vAlign w:val="center"/>
          </w:tcPr>
          <w:p w14:paraId="3E569C3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日管控</w:t>
            </w:r>
          </w:p>
        </w:tc>
        <w:tc>
          <w:tcPr>
            <w:tcW w:w="1455" w:type="dxa"/>
            <w:vAlign w:val="center"/>
          </w:tcPr>
          <w:p w14:paraId="0239427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安全员</w:t>
            </w:r>
          </w:p>
        </w:tc>
        <w:tc>
          <w:tcPr>
            <w:tcW w:w="1136" w:type="dxa"/>
            <w:vAlign w:val="center"/>
          </w:tcPr>
          <w:p w14:paraId="172EAD4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511D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807" w:type="dxa"/>
            <w:vAlign w:val="center"/>
          </w:tcPr>
          <w:p w14:paraId="1F0C9A7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14</w:t>
            </w:r>
          </w:p>
        </w:tc>
        <w:tc>
          <w:tcPr>
            <w:tcW w:w="1422" w:type="dxa"/>
            <w:vMerge w:val="continue"/>
            <w:vAlign w:val="center"/>
          </w:tcPr>
          <w:p w14:paraId="0385D01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3C38DAB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未对钢丝绳进行日常检查，未发现钢丝绳的脱槽、断丝、磨损、压扁、扭结、笼形畸形等异常情况</w:t>
            </w:r>
          </w:p>
        </w:tc>
        <w:tc>
          <w:tcPr>
            <w:tcW w:w="4301" w:type="dxa"/>
            <w:vAlign w:val="center"/>
          </w:tcPr>
          <w:p w14:paraId="53B844E2">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lang w:val="en-US" w:eastAsia="zh-CN"/>
              </w:rPr>
            </w:pPr>
            <w:r>
              <w:rPr>
                <w:rFonts w:hint="default" w:ascii="Times New Roman" w:hAnsi="Times New Roman" w:eastAsia="宋体" w:cs="Times New Roman"/>
                <w:b w:val="0"/>
                <w:bCs w:val="0"/>
                <w:kern w:val="0"/>
                <w:sz w:val="24"/>
                <w:szCs w:val="22"/>
                <w:lang w:val="en-US" w:eastAsia="zh-CN"/>
              </w:rPr>
              <w:t>每日检查钢丝绳损伤情况；</w:t>
            </w:r>
          </w:p>
          <w:p w14:paraId="138F338E">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lang w:val="en-US" w:eastAsia="zh-CN"/>
              </w:rPr>
            </w:pPr>
            <w:r>
              <w:rPr>
                <w:rFonts w:hint="default" w:ascii="Times New Roman" w:hAnsi="Times New Roman" w:eastAsia="宋体" w:cs="Times New Roman"/>
                <w:b w:val="0"/>
                <w:bCs w:val="0"/>
                <w:kern w:val="0"/>
                <w:sz w:val="24"/>
                <w:szCs w:val="22"/>
                <w:lang w:val="en-US" w:eastAsia="zh-CN"/>
              </w:rPr>
              <w:t>及时更换出现缺陷钢丝绳。</w:t>
            </w:r>
          </w:p>
        </w:tc>
        <w:tc>
          <w:tcPr>
            <w:tcW w:w="1559" w:type="dxa"/>
            <w:vAlign w:val="center"/>
          </w:tcPr>
          <w:p w14:paraId="12CFDF8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日管控</w:t>
            </w:r>
          </w:p>
        </w:tc>
        <w:tc>
          <w:tcPr>
            <w:tcW w:w="1455" w:type="dxa"/>
            <w:vAlign w:val="center"/>
          </w:tcPr>
          <w:p w14:paraId="099CDF9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安全员</w:t>
            </w:r>
          </w:p>
        </w:tc>
        <w:tc>
          <w:tcPr>
            <w:tcW w:w="1136" w:type="dxa"/>
            <w:vAlign w:val="center"/>
          </w:tcPr>
          <w:p w14:paraId="5DA9C95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02A9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807" w:type="dxa"/>
            <w:vAlign w:val="center"/>
          </w:tcPr>
          <w:p w14:paraId="4FE90E9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15</w:t>
            </w:r>
          </w:p>
        </w:tc>
        <w:tc>
          <w:tcPr>
            <w:tcW w:w="1422" w:type="dxa"/>
            <w:vMerge w:val="continue"/>
            <w:vAlign w:val="center"/>
          </w:tcPr>
          <w:p w14:paraId="3E3C26E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57311DF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桥、粱架等</w:t>
            </w:r>
            <w:r>
              <w:rPr>
                <w:rFonts w:hint="default" w:ascii="Times New Roman" w:hAnsi="Times New Roman" w:eastAsia="宋体" w:cs="Times New Roman"/>
                <w:b w:val="0"/>
                <w:bCs w:val="0"/>
                <w:sz w:val="24"/>
                <w:szCs w:val="24"/>
              </w:rPr>
              <w:t>主要受力构件发生明显的腐蚀、裂纹、塑性变形等</w:t>
            </w:r>
          </w:p>
        </w:tc>
        <w:tc>
          <w:tcPr>
            <w:tcW w:w="4301" w:type="dxa"/>
            <w:vAlign w:val="center"/>
          </w:tcPr>
          <w:p w14:paraId="43DE6969">
            <w:pPr>
              <w:keepNext w:val="0"/>
              <w:keepLines w:val="0"/>
              <w:pageBreakBefore w:val="0"/>
              <w:numPr>
                <w:ilvl w:val="0"/>
                <w:numId w:val="32"/>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定期对主要受力构件进行防腐蚀处理；</w:t>
            </w:r>
          </w:p>
          <w:p w14:paraId="1A8846B5">
            <w:pPr>
              <w:keepNext w:val="0"/>
              <w:keepLines w:val="0"/>
              <w:pageBreakBefore w:val="0"/>
              <w:numPr>
                <w:ilvl w:val="0"/>
                <w:numId w:val="32"/>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对发生明显的腐蚀主梁、吊具横梁的受拉区的对接焊缝进行射线或者超声检测。</w:t>
            </w:r>
          </w:p>
        </w:tc>
        <w:tc>
          <w:tcPr>
            <w:tcW w:w="1559" w:type="dxa"/>
            <w:vAlign w:val="center"/>
          </w:tcPr>
          <w:p w14:paraId="7DACB69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周排查</w:t>
            </w:r>
          </w:p>
        </w:tc>
        <w:tc>
          <w:tcPr>
            <w:tcW w:w="1455" w:type="dxa"/>
            <w:vAlign w:val="center"/>
          </w:tcPr>
          <w:p w14:paraId="7CD80AC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4"/>
              </w:rPr>
              <w:t>安全总监</w:t>
            </w:r>
          </w:p>
        </w:tc>
        <w:tc>
          <w:tcPr>
            <w:tcW w:w="1136" w:type="dxa"/>
            <w:vAlign w:val="center"/>
          </w:tcPr>
          <w:p w14:paraId="623CFBD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027B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807" w:type="dxa"/>
            <w:vAlign w:val="center"/>
          </w:tcPr>
          <w:p w14:paraId="03E6C99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16</w:t>
            </w:r>
          </w:p>
        </w:tc>
        <w:tc>
          <w:tcPr>
            <w:tcW w:w="1422" w:type="dxa"/>
            <w:vMerge w:val="restart"/>
            <w:vAlign w:val="center"/>
          </w:tcPr>
          <w:p w14:paraId="0BCBAD0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安全保护</w:t>
            </w:r>
          </w:p>
          <w:p w14:paraId="195670F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装置</w:t>
            </w:r>
          </w:p>
        </w:tc>
        <w:tc>
          <w:tcPr>
            <w:tcW w:w="3494" w:type="dxa"/>
            <w:vAlign w:val="center"/>
          </w:tcPr>
          <w:p w14:paraId="234B122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上限位装置、断错相保护、制动器、行程限位、漏电保护器等安全保护装置的故障及缺损</w:t>
            </w:r>
          </w:p>
        </w:tc>
        <w:tc>
          <w:tcPr>
            <w:tcW w:w="4301" w:type="dxa"/>
            <w:vAlign w:val="center"/>
          </w:tcPr>
          <w:p w14:paraId="7B438E4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1.检查并空车试运行安全保护装置运行情况；</w:t>
            </w:r>
          </w:p>
          <w:p w14:paraId="3E94F2E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2.及时修理损坏的元件。</w:t>
            </w:r>
          </w:p>
        </w:tc>
        <w:tc>
          <w:tcPr>
            <w:tcW w:w="1559" w:type="dxa"/>
            <w:vAlign w:val="center"/>
          </w:tcPr>
          <w:p w14:paraId="1F5D7BE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日管控</w:t>
            </w:r>
          </w:p>
        </w:tc>
        <w:tc>
          <w:tcPr>
            <w:tcW w:w="1455" w:type="dxa"/>
            <w:vAlign w:val="center"/>
          </w:tcPr>
          <w:p w14:paraId="60A4C61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安全员</w:t>
            </w:r>
          </w:p>
        </w:tc>
        <w:tc>
          <w:tcPr>
            <w:tcW w:w="1136" w:type="dxa"/>
            <w:vAlign w:val="center"/>
          </w:tcPr>
          <w:p w14:paraId="6F8FA27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57FD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807" w:type="dxa"/>
            <w:vAlign w:val="center"/>
          </w:tcPr>
          <w:p w14:paraId="6F57BB9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17</w:t>
            </w:r>
          </w:p>
        </w:tc>
        <w:tc>
          <w:tcPr>
            <w:tcW w:w="1422" w:type="dxa"/>
            <w:vMerge w:val="continue"/>
            <w:vAlign w:val="center"/>
          </w:tcPr>
          <w:p w14:paraId="199925A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3494" w:type="dxa"/>
            <w:vAlign w:val="center"/>
          </w:tcPr>
          <w:p w14:paraId="79FD018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急停开关功能缺失</w:t>
            </w:r>
          </w:p>
        </w:tc>
        <w:tc>
          <w:tcPr>
            <w:tcW w:w="4301" w:type="dxa"/>
            <w:vAlign w:val="center"/>
          </w:tcPr>
          <w:p w14:paraId="6C312B5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检查并空车试运行，及时修理损坏的元件</w:t>
            </w:r>
          </w:p>
        </w:tc>
        <w:tc>
          <w:tcPr>
            <w:tcW w:w="1559" w:type="dxa"/>
            <w:vAlign w:val="center"/>
          </w:tcPr>
          <w:p w14:paraId="3ECA829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日管控</w:t>
            </w:r>
          </w:p>
        </w:tc>
        <w:tc>
          <w:tcPr>
            <w:tcW w:w="1455" w:type="dxa"/>
            <w:vAlign w:val="center"/>
          </w:tcPr>
          <w:p w14:paraId="036CD15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安全员</w:t>
            </w:r>
          </w:p>
        </w:tc>
        <w:tc>
          <w:tcPr>
            <w:tcW w:w="1136" w:type="dxa"/>
            <w:vAlign w:val="center"/>
          </w:tcPr>
          <w:p w14:paraId="532213B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2B29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07" w:type="dxa"/>
            <w:vAlign w:val="center"/>
          </w:tcPr>
          <w:p w14:paraId="7EA67C3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18</w:t>
            </w:r>
          </w:p>
        </w:tc>
        <w:tc>
          <w:tcPr>
            <w:tcW w:w="1422" w:type="dxa"/>
            <w:vAlign w:val="center"/>
          </w:tcPr>
          <w:p w14:paraId="0FD2E54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环境因素</w:t>
            </w:r>
          </w:p>
        </w:tc>
        <w:tc>
          <w:tcPr>
            <w:tcW w:w="3494" w:type="dxa"/>
            <w:vAlign w:val="center"/>
          </w:tcPr>
          <w:p w14:paraId="2046F8C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起重机作业区域内有高海拔、易燃易爆品、等极端状况并且缺少警示标线和警示标志</w:t>
            </w:r>
          </w:p>
        </w:tc>
        <w:tc>
          <w:tcPr>
            <w:tcW w:w="4301" w:type="dxa"/>
            <w:vAlign w:val="center"/>
          </w:tcPr>
          <w:p w14:paraId="3E26AF8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1.定期检查作业区域环境，禁止违章在高海拔、易燃易爆品、大风作业、雷电、高温、高湿度、电磁干扰、地面承载力不足等极端状况下作业；</w:t>
            </w:r>
          </w:p>
          <w:p w14:paraId="35D0269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2.制作“禁止进入”“防止坠物”等标识和距离警示标线。</w:t>
            </w:r>
          </w:p>
        </w:tc>
        <w:tc>
          <w:tcPr>
            <w:tcW w:w="1559" w:type="dxa"/>
            <w:vAlign w:val="center"/>
          </w:tcPr>
          <w:p w14:paraId="5CF4C8B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周排查</w:t>
            </w:r>
          </w:p>
        </w:tc>
        <w:tc>
          <w:tcPr>
            <w:tcW w:w="1455" w:type="dxa"/>
            <w:vAlign w:val="center"/>
          </w:tcPr>
          <w:p w14:paraId="47FAB07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安全总监</w:t>
            </w:r>
          </w:p>
        </w:tc>
        <w:tc>
          <w:tcPr>
            <w:tcW w:w="1136" w:type="dxa"/>
            <w:vAlign w:val="center"/>
          </w:tcPr>
          <w:p w14:paraId="34C5B3F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38D1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807" w:type="dxa"/>
            <w:vAlign w:val="center"/>
          </w:tcPr>
          <w:p w14:paraId="4882781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19</w:t>
            </w:r>
          </w:p>
        </w:tc>
        <w:tc>
          <w:tcPr>
            <w:tcW w:w="1422" w:type="dxa"/>
            <w:vAlign w:val="center"/>
          </w:tcPr>
          <w:p w14:paraId="3998EEF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政府监督、通报、预警</w:t>
            </w:r>
          </w:p>
        </w:tc>
        <w:tc>
          <w:tcPr>
            <w:tcW w:w="3494" w:type="dxa"/>
            <w:vAlign w:val="center"/>
          </w:tcPr>
          <w:p w14:paraId="2B979CA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4301" w:type="dxa"/>
            <w:vAlign w:val="center"/>
          </w:tcPr>
          <w:p w14:paraId="5C92EBA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4"/>
                <w:szCs w:val="22"/>
              </w:rPr>
              <w:t>记录、整改</w:t>
            </w:r>
          </w:p>
        </w:tc>
        <w:tc>
          <w:tcPr>
            <w:tcW w:w="1559" w:type="dxa"/>
            <w:vAlign w:val="center"/>
          </w:tcPr>
          <w:p w14:paraId="42D5D1E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周排查</w:t>
            </w:r>
          </w:p>
        </w:tc>
        <w:tc>
          <w:tcPr>
            <w:tcW w:w="1455" w:type="dxa"/>
            <w:vAlign w:val="center"/>
          </w:tcPr>
          <w:p w14:paraId="4B795DF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安全总监</w:t>
            </w:r>
          </w:p>
        </w:tc>
        <w:tc>
          <w:tcPr>
            <w:tcW w:w="1136" w:type="dxa"/>
            <w:vAlign w:val="center"/>
          </w:tcPr>
          <w:p w14:paraId="55EEDF0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6BE4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807" w:type="dxa"/>
            <w:vAlign w:val="center"/>
          </w:tcPr>
          <w:p w14:paraId="39B4345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20</w:t>
            </w:r>
          </w:p>
        </w:tc>
        <w:tc>
          <w:tcPr>
            <w:tcW w:w="1422" w:type="dxa"/>
            <w:vAlign w:val="center"/>
          </w:tcPr>
          <w:p w14:paraId="1B372C6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投诉举报</w:t>
            </w:r>
          </w:p>
        </w:tc>
        <w:tc>
          <w:tcPr>
            <w:tcW w:w="3494" w:type="dxa"/>
            <w:vAlign w:val="center"/>
          </w:tcPr>
          <w:p w14:paraId="66E14C6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4301" w:type="dxa"/>
            <w:vAlign w:val="center"/>
          </w:tcPr>
          <w:p w14:paraId="611AB45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记录、整改、消除安全隐患</w:t>
            </w:r>
          </w:p>
        </w:tc>
        <w:tc>
          <w:tcPr>
            <w:tcW w:w="1559" w:type="dxa"/>
            <w:vAlign w:val="center"/>
          </w:tcPr>
          <w:p w14:paraId="1AE4439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日管控</w:t>
            </w:r>
          </w:p>
        </w:tc>
        <w:tc>
          <w:tcPr>
            <w:tcW w:w="1455" w:type="dxa"/>
            <w:vAlign w:val="center"/>
          </w:tcPr>
          <w:p w14:paraId="7585FE8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安全员</w:t>
            </w:r>
          </w:p>
        </w:tc>
        <w:tc>
          <w:tcPr>
            <w:tcW w:w="1136" w:type="dxa"/>
          </w:tcPr>
          <w:p w14:paraId="4A8B381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1527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7" w:type="dxa"/>
            <w:vAlign w:val="center"/>
          </w:tcPr>
          <w:p w14:paraId="01F59A7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21</w:t>
            </w:r>
          </w:p>
        </w:tc>
        <w:tc>
          <w:tcPr>
            <w:tcW w:w="1422" w:type="dxa"/>
            <w:vAlign w:val="center"/>
          </w:tcPr>
          <w:p w14:paraId="595A039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舆情信息</w:t>
            </w:r>
          </w:p>
        </w:tc>
        <w:tc>
          <w:tcPr>
            <w:tcW w:w="3494" w:type="dxa"/>
            <w:vAlign w:val="center"/>
          </w:tcPr>
          <w:p w14:paraId="5C0080B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4301" w:type="dxa"/>
            <w:vAlign w:val="center"/>
          </w:tcPr>
          <w:p w14:paraId="1CC9A75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559" w:type="dxa"/>
            <w:vAlign w:val="center"/>
          </w:tcPr>
          <w:p w14:paraId="007C890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日管控</w:t>
            </w:r>
          </w:p>
        </w:tc>
        <w:tc>
          <w:tcPr>
            <w:tcW w:w="1455" w:type="dxa"/>
            <w:vAlign w:val="center"/>
          </w:tcPr>
          <w:p w14:paraId="3C3E9DE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安全员</w:t>
            </w:r>
          </w:p>
        </w:tc>
        <w:tc>
          <w:tcPr>
            <w:tcW w:w="1136" w:type="dxa"/>
          </w:tcPr>
          <w:p w14:paraId="20BA23F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p>
        </w:tc>
      </w:tr>
    </w:tbl>
    <w:p w14:paraId="435B7DE5">
      <w:pPr>
        <w:keepNext w:val="0"/>
        <w:keepLines w:val="0"/>
        <w:pageBreakBefore w:val="0"/>
        <w:widowControl/>
        <w:kinsoku/>
        <w:overflowPunct/>
        <w:bidi w:val="0"/>
        <w:adjustRightInd/>
        <w:spacing w:line="280" w:lineRule="exact"/>
        <w:ind w:left="0" w:leftChars="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注</w:t>
      </w:r>
      <w:r>
        <w:rPr>
          <w:rFonts w:hint="default" w:ascii="Times New Roman" w:hAnsi="Times New Roman" w:eastAsia="宋体" w:cs="Times New Roman"/>
          <w:b w:val="0"/>
          <w:bCs w:val="0"/>
          <w:kern w:val="0"/>
          <w:sz w:val="24"/>
          <w:szCs w:val="22"/>
        </w:rPr>
        <w:t>：</w:t>
      </w:r>
      <w:r>
        <w:rPr>
          <w:rFonts w:hint="default" w:ascii="Times New Roman" w:hAnsi="Times New Roman" w:eastAsia="宋体" w:cs="Times New Roman"/>
          <w:b w:val="0"/>
          <w:bCs w:val="0"/>
          <w:sz w:val="24"/>
          <w:szCs w:val="24"/>
        </w:rPr>
        <w:t>本清单为推荐性格式，仅规定了应当进行日管控、周排查、月调度的基本项目，起重机械使用单位应当结合本单位实际情况和具体要求，细化风险管控清单，合理调整管控形式。</w:t>
      </w:r>
    </w:p>
    <w:p w14:paraId="22ABF96D">
      <w:pPr>
        <w:keepNext w:val="0"/>
        <w:keepLines w:val="0"/>
        <w:pageBreakBefore w:val="0"/>
        <w:kinsoku/>
        <w:overflowPunct/>
        <w:bidi w:val="0"/>
        <w:adjustRightInd/>
        <w:spacing w:line="280" w:lineRule="exact"/>
        <w:rPr>
          <w:rFonts w:hint="default" w:ascii="Times New Roman" w:hAnsi="Times New Roman" w:eastAsia="宋体" w:cs="Times New Roman"/>
          <w:b w:val="0"/>
          <w:bCs w:val="0"/>
          <w:color w:val="000000"/>
          <w:sz w:val="36"/>
          <w:szCs w:val="36"/>
        </w:rPr>
      </w:pPr>
      <w:r>
        <w:rPr>
          <w:rFonts w:hint="default" w:ascii="Times New Roman" w:hAnsi="Times New Roman" w:eastAsia="宋体" w:cs="Times New Roman"/>
          <w:b w:val="0"/>
          <w:bCs w:val="0"/>
          <w:color w:val="000000"/>
          <w:sz w:val="36"/>
          <w:szCs w:val="36"/>
        </w:rPr>
        <w:br w:type="page"/>
      </w:r>
    </w:p>
    <w:p w14:paraId="6043423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eastAsiaTheme="minorEastAsia"/>
          <w:b w:val="0"/>
          <w:bCs w:val="0"/>
          <w:sz w:val="36"/>
          <w:szCs w:val="36"/>
        </w:rPr>
      </w:pPr>
      <w:r>
        <w:rPr>
          <w:rFonts w:hint="default" w:ascii="Times New Roman" w:hAnsi="Times New Roman" w:cs="Times New Roman" w:eastAsiaTheme="minorEastAsia"/>
          <w:b w:val="0"/>
          <w:bCs w:val="0"/>
          <w:sz w:val="36"/>
          <w:szCs w:val="36"/>
        </w:rPr>
        <w:t>场</w:t>
      </w:r>
      <w:r>
        <w:rPr>
          <w:rFonts w:hint="default" w:ascii="Times New Roman" w:hAnsi="Times New Roman" w:cs="Times New Roman" w:eastAsiaTheme="minorEastAsia"/>
          <w:b w:val="0"/>
          <w:bCs w:val="0"/>
          <w:sz w:val="36"/>
          <w:szCs w:val="36"/>
          <w:lang w:eastAsia="zh-CN"/>
        </w:rPr>
        <w:t>（</w:t>
      </w:r>
      <w:r>
        <w:rPr>
          <w:rFonts w:hint="default" w:ascii="Times New Roman" w:hAnsi="Times New Roman" w:cs="Times New Roman" w:eastAsiaTheme="minorEastAsia"/>
          <w:b w:val="0"/>
          <w:bCs w:val="0"/>
          <w:sz w:val="36"/>
          <w:szCs w:val="36"/>
          <w:lang w:val="en-US" w:eastAsia="zh-CN"/>
        </w:rPr>
        <w:t>厂）内机动车辆</w:t>
      </w:r>
      <w:r>
        <w:rPr>
          <w:rFonts w:hint="default" w:ascii="Times New Roman" w:hAnsi="Times New Roman" w:cs="Times New Roman" w:eastAsiaTheme="minorEastAsia"/>
          <w:b w:val="0"/>
          <w:bCs w:val="0"/>
          <w:sz w:val="36"/>
          <w:szCs w:val="36"/>
        </w:rPr>
        <w:t>安全风险管控清单</w:t>
      </w:r>
      <w:r>
        <w:rPr>
          <w:rFonts w:hint="default" w:ascii="Times New Roman" w:hAnsi="Times New Roman" w:cs="Times New Roman" w:eastAsiaTheme="minorEastAsia"/>
          <w:b w:val="0"/>
          <w:bCs w:val="0"/>
          <w:sz w:val="36"/>
          <w:szCs w:val="36"/>
          <w:lang w:eastAsia="zh-CN"/>
        </w:rPr>
        <w:t>（供参考）</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381"/>
        <w:gridCol w:w="2880"/>
        <w:gridCol w:w="5610"/>
        <w:gridCol w:w="1470"/>
        <w:gridCol w:w="1155"/>
        <w:gridCol w:w="877"/>
      </w:tblGrid>
      <w:tr w14:paraId="7AB0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01" w:type="dxa"/>
            <w:shd w:val="clear" w:color="auto" w:fill="BEBEBE"/>
            <w:vAlign w:val="center"/>
          </w:tcPr>
          <w:p w14:paraId="651CAF9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序号</w:t>
            </w:r>
          </w:p>
        </w:tc>
        <w:tc>
          <w:tcPr>
            <w:tcW w:w="1381" w:type="dxa"/>
            <w:shd w:val="clear" w:color="auto" w:fill="BEBEBE"/>
            <w:vAlign w:val="center"/>
          </w:tcPr>
          <w:p w14:paraId="2046CBE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风险类别</w:t>
            </w:r>
          </w:p>
        </w:tc>
        <w:tc>
          <w:tcPr>
            <w:tcW w:w="2880" w:type="dxa"/>
            <w:shd w:val="clear" w:color="auto" w:fill="BEBEBE"/>
            <w:vAlign w:val="center"/>
          </w:tcPr>
          <w:p w14:paraId="7F9F151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风险指标</w:t>
            </w:r>
          </w:p>
        </w:tc>
        <w:tc>
          <w:tcPr>
            <w:tcW w:w="5610" w:type="dxa"/>
            <w:shd w:val="clear" w:color="auto" w:fill="BEBEBE"/>
            <w:vAlign w:val="center"/>
          </w:tcPr>
          <w:p w14:paraId="0CBC964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风险管控措施</w:t>
            </w:r>
          </w:p>
        </w:tc>
        <w:tc>
          <w:tcPr>
            <w:tcW w:w="1470" w:type="dxa"/>
            <w:shd w:val="clear" w:color="auto" w:fill="BEBEBE"/>
            <w:vAlign w:val="center"/>
          </w:tcPr>
          <w:p w14:paraId="718D5D5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管控方式</w:t>
            </w:r>
          </w:p>
        </w:tc>
        <w:tc>
          <w:tcPr>
            <w:tcW w:w="1155" w:type="dxa"/>
            <w:shd w:val="clear" w:color="auto" w:fill="BEBEBE"/>
            <w:vAlign w:val="center"/>
          </w:tcPr>
          <w:p w14:paraId="3077ABA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责任人</w:t>
            </w:r>
          </w:p>
        </w:tc>
        <w:tc>
          <w:tcPr>
            <w:tcW w:w="877" w:type="dxa"/>
            <w:shd w:val="clear" w:color="auto" w:fill="BEBEBE"/>
            <w:vAlign w:val="center"/>
          </w:tcPr>
          <w:p w14:paraId="7297622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8"/>
                <w:szCs w:val="28"/>
                <w:highlight w:val="lightGray"/>
                <w:shd w:val="clear" w:color="FFFFFF" w:fill="D9D9D9"/>
              </w:rPr>
            </w:pPr>
            <w:r>
              <w:rPr>
                <w:rFonts w:hint="default" w:ascii="Times New Roman" w:hAnsi="Times New Roman" w:eastAsia="宋体" w:cs="Times New Roman"/>
                <w:b w:val="0"/>
                <w:bCs w:val="0"/>
                <w:sz w:val="28"/>
                <w:szCs w:val="28"/>
                <w:highlight w:val="lightGray"/>
                <w:shd w:val="clear" w:color="FFFFFF" w:fill="D9D9D9"/>
              </w:rPr>
              <w:t>备注</w:t>
            </w:r>
          </w:p>
        </w:tc>
      </w:tr>
      <w:tr w14:paraId="02E5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801" w:type="dxa"/>
            <w:vAlign w:val="center"/>
          </w:tcPr>
          <w:p w14:paraId="4AA89A6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w:t>
            </w:r>
          </w:p>
        </w:tc>
        <w:tc>
          <w:tcPr>
            <w:tcW w:w="1381" w:type="dxa"/>
            <w:vMerge w:val="restart"/>
            <w:vAlign w:val="center"/>
          </w:tcPr>
          <w:p w14:paraId="359B913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人员</w:t>
            </w:r>
          </w:p>
        </w:tc>
        <w:tc>
          <w:tcPr>
            <w:tcW w:w="2880" w:type="dxa"/>
            <w:vAlign w:val="center"/>
          </w:tcPr>
          <w:p w14:paraId="24918626">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未按规定配备安全管理人员和作业人员</w:t>
            </w:r>
          </w:p>
        </w:tc>
        <w:tc>
          <w:tcPr>
            <w:tcW w:w="5610" w:type="dxa"/>
            <w:vAlign w:val="center"/>
          </w:tcPr>
          <w:p w14:paraId="2B03BCCA">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1.建立特种设备安全管理人员与作业人员管理制度；</w:t>
            </w:r>
          </w:p>
          <w:p w14:paraId="4705E9FF">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2.根据场车的数量、特性等配备适当数量的安全管理人员和作业人员。</w:t>
            </w:r>
          </w:p>
        </w:tc>
        <w:tc>
          <w:tcPr>
            <w:tcW w:w="1470" w:type="dxa"/>
            <w:vAlign w:val="center"/>
          </w:tcPr>
          <w:p w14:paraId="273AEB9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155" w:type="dxa"/>
            <w:vAlign w:val="center"/>
          </w:tcPr>
          <w:p w14:paraId="3841A53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77" w:type="dxa"/>
            <w:vAlign w:val="center"/>
          </w:tcPr>
          <w:p w14:paraId="701C1B3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4BDA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vAlign w:val="center"/>
          </w:tcPr>
          <w:p w14:paraId="10FD193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w:t>
            </w:r>
          </w:p>
        </w:tc>
        <w:tc>
          <w:tcPr>
            <w:tcW w:w="1381" w:type="dxa"/>
            <w:vMerge w:val="continue"/>
            <w:vAlign w:val="center"/>
          </w:tcPr>
          <w:p w14:paraId="7A685D7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6C49A26D">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作业人员未持有相应资格证件</w:t>
            </w:r>
          </w:p>
        </w:tc>
        <w:tc>
          <w:tcPr>
            <w:tcW w:w="5610" w:type="dxa"/>
            <w:vAlign w:val="center"/>
          </w:tcPr>
          <w:p w14:paraId="721D2125">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1.场车作业和专职安全管理人员需取得相应项目作业人员证，持证上岗，并且保证每台场车在作业时均由司机随车操纵；</w:t>
            </w:r>
          </w:p>
          <w:p w14:paraId="473D1A52">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2.定期检查作业人员证件有效期，杜绝无证上岗，当发生人员变动时，及时派人取证。</w:t>
            </w:r>
          </w:p>
        </w:tc>
        <w:tc>
          <w:tcPr>
            <w:tcW w:w="1470" w:type="dxa"/>
            <w:vAlign w:val="center"/>
          </w:tcPr>
          <w:p w14:paraId="0A085F6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155" w:type="dxa"/>
            <w:vAlign w:val="center"/>
          </w:tcPr>
          <w:p w14:paraId="1796029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77" w:type="dxa"/>
            <w:vAlign w:val="center"/>
          </w:tcPr>
          <w:p w14:paraId="02165F1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1B95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1" w:type="dxa"/>
            <w:vAlign w:val="center"/>
          </w:tcPr>
          <w:p w14:paraId="78C45A6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w:t>
            </w:r>
          </w:p>
        </w:tc>
        <w:tc>
          <w:tcPr>
            <w:tcW w:w="1381" w:type="dxa"/>
            <w:vMerge w:val="continue"/>
            <w:vAlign w:val="center"/>
          </w:tcPr>
          <w:p w14:paraId="1A38940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0A06B4BA">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未按规定对安全管理人员和作业人员开展安全教育培训</w:t>
            </w:r>
          </w:p>
        </w:tc>
        <w:tc>
          <w:tcPr>
            <w:tcW w:w="5610" w:type="dxa"/>
            <w:vAlign w:val="center"/>
          </w:tcPr>
          <w:p w14:paraId="4685485A">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1.制定安全教育培训制度和培训计划；</w:t>
            </w:r>
          </w:p>
          <w:p w14:paraId="7AB1632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 xml:space="preserve">2.定期对作业人员进行培训教育，并保留相关培训记录 </w:t>
            </w:r>
          </w:p>
        </w:tc>
        <w:tc>
          <w:tcPr>
            <w:tcW w:w="1470" w:type="dxa"/>
            <w:vAlign w:val="center"/>
          </w:tcPr>
          <w:p w14:paraId="2472320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155" w:type="dxa"/>
            <w:vAlign w:val="center"/>
          </w:tcPr>
          <w:p w14:paraId="6583A12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77" w:type="dxa"/>
            <w:vAlign w:val="center"/>
          </w:tcPr>
          <w:p w14:paraId="6797243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2F95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01" w:type="dxa"/>
            <w:vAlign w:val="center"/>
          </w:tcPr>
          <w:p w14:paraId="70CDBF2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4</w:t>
            </w:r>
          </w:p>
        </w:tc>
        <w:tc>
          <w:tcPr>
            <w:tcW w:w="1381" w:type="dxa"/>
            <w:vMerge w:val="continue"/>
            <w:vAlign w:val="center"/>
          </w:tcPr>
          <w:p w14:paraId="61B3A65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4125F082">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未遵守操作规程进行作业、未按规定填写作业交接班记录、未及时报告事故隐患等</w:t>
            </w:r>
          </w:p>
        </w:tc>
        <w:tc>
          <w:tcPr>
            <w:tcW w:w="5610" w:type="dxa"/>
            <w:vAlign w:val="center"/>
          </w:tcPr>
          <w:p w14:paraId="62A92529">
            <w:pPr>
              <w:keepNext w:val="0"/>
              <w:keepLines w:val="0"/>
              <w:pageBreakBefore w:val="0"/>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检查作业人员执行操作规程情况，纠正和制止违章作业行为</w:t>
            </w:r>
          </w:p>
        </w:tc>
        <w:tc>
          <w:tcPr>
            <w:tcW w:w="1470" w:type="dxa"/>
            <w:vAlign w:val="center"/>
          </w:tcPr>
          <w:p w14:paraId="0E7FE48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155" w:type="dxa"/>
            <w:vAlign w:val="center"/>
          </w:tcPr>
          <w:p w14:paraId="538F8A6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77" w:type="dxa"/>
            <w:vAlign w:val="center"/>
          </w:tcPr>
          <w:p w14:paraId="4AC9035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0EE8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01" w:type="dxa"/>
            <w:vAlign w:val="center"/>
          </w:tcPr>
          <w:p w14:paraId="7ED333B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5</w:t>
            </w:r>
          </w:p>
        </w:tc>
        <w:tc>
          <w:tcPr>
            <w:tcW w:w="1381" w:type="dxa"/>
            <w:vMerge w:val="restart"/>
            <w:vAlign w:val="center"/>
          </w:tcPr>
          <w:p w14:paraId="0FEC70A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管理</w:t>
            </w:r>
          </w:p>
        </w:tc>
        <w:tc>
          <w:tcPr>
            <w:tcW w:w="2880" w:type="dxa"/>
            <w:vAlign w:val="center"/>
          </w:tcPr>
          <w:p w14:paraId="2D611E37">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未按规定设置安全管理机构</w:t>
            </w:r>
          </w:p>
        </w:tc>
        <w:tc>
          <w:tcPr>
            <w:tcW w:w="5610" w:type="dxa"/>
            <w:vAlign w:val="center"/>
          </w:tcPr>
          <w:p w14:paraId="3106C8B8">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根据特种设备的数量，及时设置安全管理机构，明确机构职责和人员安排。</w:t>
            </w:r>
          </w:p>
        </w:tc>
        <w:tc>
          <w:tcPr>
            <w:tcW w:w="1470" w:type="dxa"/>
            <w:vAlign w:val="center"/>
          </w:tcPr>
          <w:p w14:paraId="6D51A8D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155" w:type="dxa"/>
            <w:vAlign w:val="center"/>
          </w:tcPr>
          <w:p w14:paraId="363902A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77" w:type="dxa"/>
            <w:vAlign w:val="center"/>
          </w:tcPr>
          <w:p w14:paraId="360A1E4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7FBB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01" w:type="dxa"/>
            <w:vAlign w:val="center"/>
          </w:tcPr>
          <w:p w14:paraId="075F03F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6</w:t>
            </w:r>
          </w:p>
        </w:tc>
        <w:tc>
          <w:tcPr>
            <w:tcW w:w="1381" w:type="dxa"/>
            <w:vMerge w:val="continue"/>
            <w:vAlign w:val="center"/>
          </w:tcPr>
          <w:p w14:paraId="51593592">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p>
        </w:tc>
        <w:tc>
          <w:tcPr>
            <w:tcW w:w="2880" w:type="dxa"/>
            <w:vAlign w:val="center"/>
          </w:tcPr>
          <w:p w14:paraId="1771369D">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未按有关规定建立健全特种设备安全管理制度和操作规程</w:t>
            </w:r>
          </w:p>
        </w:tc>
        <w:tc>
          <w:tcPr>
            <w:tcW w:w="5610" w:type="dxa"/>
            <w:vAlign w:val="center"/>
          </w:tcPr>
          <w:p w14:paraId="0619DDDC">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1.单位制定符合TSG08-20</w:t>
            </w:r>
            <w:r>
              <w:rPr>
                <w:rFonts w:hint="eastAsia" w:cs="Times New Roman"/>
                <w:b w:val="0"/>
                <w:bCs w:val="0"/>
                <w:kern w:val="0"/>
                <w:sz w:val="24"/>
                <w:szCs w:val="22"/>
                <w:lang w:val="en-US" w:eastAsia="zh-CN"/>
              </w:rPr>
              <w:t>26</w:t>
            </w:r>
            <w:r>
              <w:rPr>
                <w:rFonts w:hint="default" w:ascii="Times New Roman" w:hAnsi="Times New Roman" w:eastAsia="宋体" w:cs="Times New Roman"/>
                <w:b w:val="0"/>
                <w:bCs w:val="0"/>
                <w:kern w:val="0"/>
                <w:sz w:val="24"/>
                <w:szCs w:val="22"/>
              </w:rPr>
              <w:t>《特种设备使用管理规则》、TSG81-2022《场（厂）内专用机动车辆安全技术规程》要求的以岗位责任制为核心管理制度；</w:t>
            </w:r>
          </w:p>
          <w:p w14:paraId="1E9E6A6C">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根据所使用设备运行特点等，制定完整齐全操作规程；操作规程一般包括设备运行参数、操作程序和方法、维护保养要求、安全注意事项、巡回检查和异常情况处置规定，以及相应记录等，并且在本单位贯彻实施；场车安全操作规程至少包括以下内容：出车前进行试运行检查，并且做好记录；遵守作业场所内的限速规定，严禁超速行驶；叉车不得载客运行（设有搭载随乘人员设施的车辆除外，此时搭载人数不得超过允许随乘的人数）；行驶和作业时佩戴安全带（如果有）；车辆转弯、进出库门等须减速行驶；严禁在货叉上站人或者利用货叉起升载有人员的装置；叉车司机视线不良或者受阻时，倒车低速行驶或者在专人指挥下低速行驶；严禁超载；身体过度疲劳、饮酒后或者患病有碍操作安全时，严禁操作车辆。</w:t>
            </w:r>
          </w:p>
        </w:tc>
        <w:tc>
          <w:tcPr>
            <w:tcW w:w="1470" w:type="dxa"/>
            <w:vAlign w:val="center"/>
          </w:tcPr>
          <w:p w14:paraId="61B2A32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155" w:type="dxa"/>
            <w:vAlign w:val="center"/>
          </w:tcPr>
          <w:p w14:paraId="2F5F15A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77" w:type="dxa"/>
            <w:vAlign w:val="center"/>
          </w:tcPr>
          <w:p w14:paraId="6F6CC57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1750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01" w:type="dxa"/>
            <w:vAlign w:val="center"/>
          </w:tcPr>
          <w:p w14:paraId="1BB3F92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7</w:t>
            </w:r>
          </w:p>
        </w:tc>
        <w:tc>
          <w:tcPr>
            <w:tcW w:w="1381" w:type="dxa"/>
            <w:vMerge w:val="continue"/>
            <w:vAlign w:val="center"/>
          </w:tcPr>
          <w:p w14:paraId="1074E9C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6228F615">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未按按要求建立健全特种设备安全技术档案</w:t>
            </w:r>
          </w:p>
        </w:tc>
        <w:tc>
          <w:tcPr>
            <w:tcW w:w="5610" w:type="dxa"/>
            <w:vAlign w:val="center"/>
          </w:tcPr>
          <w:p w14:paraId="273BFC8A">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1.指定安全员负责特种设备安全技术档案的管理；按TSG08-20</w:t>
            </w:r>
            <w:r>
              <w:rPr>
                <w:rFonts w:hint="eastAsia" w:cs="Times New Roman"/>
                <w:b w:val="0"/>
                <w:bCs w:val="0"/>
                <w:kern w:val="0"/>
                <w:sz w:val="24"/>
                <w:szCs w:val="22"/>
                <w:lang w:val="en-US" w:eastAsia="zh-CN"/>
              </w:rPr>
              <w:t>26</w:t>
            </w:r>
            <w:r>
              <w:rPr>
                <w:rFonts w:hint="default" w:ascii="Times New Roman" w:hAnsi="Times New Roman" w:eastAsia="宋体" w:cs="Times New Roman"/>
                <w:b w:val="0"/>
                <w:bCs w:val="0"/>
                <w:kern w:val="0"/>
                <w:sz w:val="24"/>
                <w:szCs w:val="22"/>
              </w:rPr>
              <w:t>《特种设备使用管理规则》第</w:t>
            </w:r>
            <w:r>
              <w:rPr>
                <w:rFonts w:hint="eastAsia" w:cs="Times New Roman"/>
                <w:b w:val="0"/>
                <w:bCs w:val="0"/>
                <w:kern w:val="0"/>
                <w:sz w:val="24"/>
                <w:szCs w:val="22"/>
                <w:lang w:val="en-US" w:eastAsia="zh-CN"/>
              </w:rPr>
              <w:t>3.3</w:t>
            </w:r>
            <w:r>
              <w:rPr>
                <w:rFonts w:hint="default" w:ascii="Times New Roman" w:hAnsi="Times New Roman" w:eastAsia="宋体" w:cs="Times New Roman"/>
                <w:b w:val="0"/>
                <w:bCs w:val="0"/>
                <w:kern w:val="0"/>
                <w:sz w:val="24"/>
                <w:szCs w:val="22"/>
              </w:rPr>
              <w:t>条要求建立安全技术档案。</w:t>
            </w:r>
          </w:p>
          <w:p w14:paraId="184ECEB1">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2.定期检查安全技术档案的完整性</w:t>
            </w:r>
          </w:p>
        </w:tc>
        <w:tc>
          <w:tcPr>
            <w:tcW w:w="1470" w:type="dxa"/>
            <w:vAlign w:val="center"/>
          </w:tcPr>
          <w:p w14:paraId="0BAD40B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155" w:type="dxa"/>
            <w:vAlign w:val="center"/>
          </w:tcPr>
          <w:p w14:paraId="4579864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77" w:type="dxa"/>
            <w:vAlign w:val="center"/>
          </w:tcPr>
          <w:p w14:paraId="0CC9AAA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21A5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801" w:type="dxa"/>
            <w:vAlign w:val="center"/>
          </w:tcPr>
          <w:p w14:paraId="6FFEA413">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8</w:t>
            </w:r>
          </w:p>
        </w:tc>
        <w:tc>
          <w:tcPr>
            <w:tcW w:w="1381" w:type="dxa"/>
            <w:vMerge w:val="continue"/>
            <w:vAlign w:val="center"/>
          </w:tcPr>
          <w:p w14:paraId="15F1858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11C2163B">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未按规定及时办理使用登记、变更使用登记</w:t>
            </w:r>
          </w:p>
        </w:tc>
        <w:tc>
          <w:tcPr>
            <w:tcW w:w="5610" w:type="dxa"/>
            <w:vAlign w:val="center"/>
          </w:tcPr>
          <w:p w14:paraId="09D4063C">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1.建立使用登记、定期检验管理制度；</w:t>
            </w:r>
          </w:p>
          <w:p w14:paraId="0A377EAE">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2.加强对使用登记情况、特种设备安全使用标志情况的定期检查，重点对发生改造、移装、使用单位或产权单位更名的，及时办理变更登记</w:t>
            </w:r>
          </w:p>
        </w:tc>
        <w:tc>
          <w:tcPr>
            <w:tcW w:w="1470" w:type="dxa"/>
            <w:vAlign w:val="center"/>
          </w:tcPr>
          <w:p w14:paraId="5801E09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155" w:type="dxa"/>
            <w:vAlign w:val="center"/>
          </w:tcPr>
          <w:p w14:paraId="46EFE6F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77" w:type="dxa"/>
            <w:vAlign w:val="center"/>
          </w:tcPr>
          <w:p w14:paraId="69BF91E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2079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801" w:type="dxa"/>
            <w:vAlign w:val="center"/>
          </w:tcPr>
          <w:p w14:paraId="4730A74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9</w:t>
            </w:r>
          </w:p>
        </w:tc>
        <w:tc>
          <w:tcPr>
            <w:tcW w:w="1381" w:type="dxa"/>
            <w:vMerge w:val="continue"/>
            <w:vAlign w:val="center"/>
          </w:tcPr>
          <w:p w14:paraId="40A0B120">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1CEAD165">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未按要求经常性维护保养和定期自行检查</w:t>
            </w:r>
          </w:p>
        </w:tc>
        <w:tc>
          <w:tcPr>
            <w:tcW w:w="5610" w:type="dxa"/>
            <w:vAlign w:val="center"/>
          </w:tcPr>
          <w:p w14:paraId="19335118">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制定特种设备经常性维护保养和定期自行检查管理制度；维护保养应当符合有关安全技术规范和产品使用维护说明的要求，根据场车的使用繁重程度、环境条件状况，确定不低于TSG81-2022《场（厂）内专用机动车辆安全技术规程》规定的维护保养、月度检查、年度检查的周期和内容；</w:t>
            </w:r>
          </w:p>
          <w:p w14:paraId="6A5998B2">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2.对维护保养和检查中发现的异常情况应当及时处理，消除事故隐患，并且记录，记录存入安全技术档案；</w:t>
            </w:r>
          </w:p>
          <w:p w14:paraId="07125E46">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 xml:space="preserve"> 3.使用单位应当在场车每日投入使用前，按照使用维护说明的要求进行日常检查，在使用过程中还应当加强对场车的巡检，并且形成使用记录</w:t>
            </w:r>
          </w:p>
        </w:tc>
        <w:tc>
          <w:tcPr>
            <w:tcW w:w="1470" w:type="dxa"/>
            <w:vAlign w:val="center"/>
          </w:tcPr>
          <w:p w14:paraId="12FE5E4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155" w:type="dxa"/>
            <w:vAlign w:val="center"/>
          </w:tcPr>
          <w:p w14:paraId="1AF59CE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77" w:type="dxa"/>
            <w:vAlign w:val="center"/>
          </w:tcPr>
          <w:p w14:paraId="1C10703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34A8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1" w:type="dxa"/>
            <w:vAlign w:val="center"/>
          </w:tcPr>
          <w:p w14:paraId="3D721C8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10</w:t>
            </w:r>
          </w:p>
        </w:tc>
        <w:tc>
          <w:tcPr>
            <w:tcW w:w="1381" w:type="dxa"/>
            <w:vMerge w:val="continue"/>
            <w:vAlign w:val="center"/>
          </w:tcPr>
          <w:p w14:paraId="2C60019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6F524842">
            <w:pPr>
              <w:keepNext w:val="0"/>
              <w:keepLines w:val="0"/>
              <w:pageBreakBefore w:val="0"/>
              <w:widowControl/>
              <w:tabs>
                <w:tab w:val="left" w:pos="312"/>
              </w:tabs>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未建立特种设备事故应急专项预案，未按规定定期开展应急救援预案演练并保存应急救援预案演练记录（含文字、图片、视频等）</w:t>
            </w:r>
          </w:p>
        </w:tc>
        <w:tc>
          <w:tcPr>
            <w:tcW w:w="5610" w:type="dxa"/>
            <w:vAlign w:val="center"/>
          </w:tcPr>
          <w:p w14:paraId="7A7B6547">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1.制定特种设备应急救援管理制度，制定事故应急专项预案；</w:t>
            </w:r>
          </w:p>
          <w:p w14:paraId="145094F3">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2.定期开展应急预案和特种设备应急专项预案定期开展应急处置和救援演练，每年至少演练一次，并且作出记录</w:t>
            </w:r>
          </w:p>
        </w:tc>
        <w:tc>
          <w:tcPr>
            <w:tcW w:w="1470" w:type="dxa"/>
            <w:vAlign w:val="center"/>
          </w:tcPr>
          <w:p w14:paraId="628F0F8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155" w:type="dxa"/>
            <w:vAlign w:val="center"/>
          </w:tcPr>
          <w:p w14:paraId="5EA5278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77" w:type="dxa"/>
            <w:vAlign w:val="center"/>
          </w:tcPr>
          <w:p w14:paraId="0F1AC0D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5AD9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01" w:type="dxa"/>
            <w:vAlign w:val="center"/>
          </w:tcPr>
          <w:p w14:paraId="6A36556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11</w:t>
            </w:r>
          </w:p>
        </w:tc>
        <w:tc>
          <w:tcPr>
            <w:tcW w:w="1381" w:type="dxa"/>
            <w:vMerge w:val="restart"/>
            <w:vAlign w:val="center"/>
          </w:tcPr>
          <w:p w14:paraId="59CFB3D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设备</w:t>
            </w:r>
          </w:p>
        </w:tc>
        <w:tc>
          <w:tcPr>
            <w:tcW w:w="2880" w:type="dxa"/>
            <w:vAlign w:val="center"/>
          </w:tcPr>
          <w:p w14:paraId="42840E79">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未按要求使用符合要求的特种设备或使用国家明令禁止，未按实际情况选择适合使用条件要求的场车</w:t>
            </w:r>
          </w:p>
        </w:tc>
        <w:tc>
          <w:tcPr>
            <w:tcW w:w="5610" w:type="dxa"/>
            <w:vAlign w:val="center"/>
          </w:tcPr>
          <w:p w14:paraId="2AB89E2A">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1.制定特种设备采购、安装、改造、修理、报废等管理制度；</w:t>
            </w:r>
          </w:p>
          <w:p w14:paraId="19013A35">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2.对计划新增设备采购前根据场车的用途、使用环境（如温度、湿度、海拨高度、坡度、弯道圆曲线半径、爆炸性环境等），选择适合使用条件要求的场车，并且对所使用场车的选型负责；</w:t>
            </w:r>
          </w:p>
          <w:p w14:paraId="5DCF4774">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3.购置观光车辆时，保证观光车辆的最大行驶坡度能够满足使用单位行驶路线中的最大坡度的要求，并且在销售合同中明确； （观光车专项）</w:t>
            </w:r>
          </w:p>
        </w:tc>
        <w:tc>
          <w:tcPr>
            <w:tcW w:w="1470" w:type="dxa"/>
            <w:vAlign w:val="center"/>
          </w:tcPr>
          <w:p w14:paraId="0F08CC3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155" w:type="dxa"/>
            <w:vAlign w:val="center"/>
          </w:tcPr>
          <w:p w14:paraId="0D41E2C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77" w:type="dxa"/>
            <w:vAlign w:val="center"/>
          </w:tcPr>
          <w:p w14:paraId="4F74909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494D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801" w:type="dxa"/>
            <w:vAlign w:val="center"/>
          </w:tcPr>
          <w:p w14:paraId="115D8CE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12</w:t>
            </w:r>
          </w:p>
        </w:tc>
        <w:tc>
          <w:tcPr>
            <w:tcW w:w="1381" w:type="dxa"/>
            <w:vMerge w:val="continue"/>
            <w:vAlign w:val="center"/>
          </w:tcPr>
          <w:p w14:paraId="02DF3AB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08CDB40C">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未按有关规定安排场车首次检验、定期检验，设备超期未检</w:t>
            </w:r>
          </w:p>
        </w:tc>
        <w:tc>
          <w:tcPr>
            <w:tcW w:w="5610" w:type="dxa"/>
            <w:vAlign w:val="center"/>
          </w:tcPr>
          <w:p w14:paraId="4603F47E">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1.制定特种设备检验制度和检验计划；</w:t>
            </w:r>
          </w:p>
          <w:p w14:paraId="1FB23982">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2.明确安全员负责定检验和后续整改工作；</w:t>
            </w:r>
          </w:p>
          <w:p w14:paraId="0EBAF26F">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3.安全总监注意每月检查设备的检验有效期情况。</w:t>
            </w:r>
          </w:p>
        </w:tc>
        <w:tc>
          <w:tcPr>
            <w:tcW w:w="1470" w:type="dxa"/>
            <w:vAlign w:val="center"/>
          </w:tcPr>
          <w:p w14:paraId="2853474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155" w:type="dxa"/>
            <w:vAlign w:val="center"/>
          </w:tcPr>
          <w:p w14:paraId="3D80E59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877" w:type="dxa"/>
            <w:vAlign w:val="center"/>
          </w:tcPr>
          <w:p w14:paraId="0B6C931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469A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01" w:type="dxa"/>
            <w:vAlign w:val="center"/>
          </w:tcPr>
          <w:p w14:paraId="0A3E7E27">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13</w:t>
            </w:r>
          </w:p>
        </w:tc>
        <w:tc>
          <w:tcPr>
            <w:tcW w:w="1381" w:type="dxa"/>
            <w:vMerge w:val="continue"/>
            <w:vAlign w:val="center"/>
          </w:tcPr>
          <w:p w14:paraId="227546C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12215AF8">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照规定固定车牌、无产品商标或厂标、制动系统失效、转向系统失效、车轮安装不符、车轮磨损超限、轮辋缺损等、传动系统失效、照明系统失效、仪表系统失效、电气系统损坏、驾驶室门锁及玻璃等部件缺损、灭火器未配备、座椅不符合要求、操纵系统故障、货叉缺陷、磨损等（叉车专项）、液压系统故障、漏油等（叉车专项）、安全监控装置失效（叉车专项）、视频监控装置失效等（观光列车专项）</w:t>
            </w:r>
          </w:p>
        </w:tc>
        <w:tc>
          <w:tcPr>
            <w:tcW w:w="5610" w:type="dxa"/>
            <w:vAlign w:val="center"/>
          </w:tcPr>
          <w:p w14:paraId="2541FF24">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1.作业人员（操作人员）上车前日检，日检记录填写完整；</w:t>
            </w:r>
          </w:p>
          <w:p w14:paraId="60AC2808">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2.定期检查车辆设备状况；</w:t>
            </w:r>
          </w:p>
          <w:p w14:paraId="036D4896">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3.按期保养，及时维修；</w:t>
            </w:r>
          </w:p>
        </w:tc>
        <w:tc>
          <w:tcPr>
            <w:tcW w:w="1470" w:type="dxa"/>
            <w:vAlign w:val="center"/>
          </w:tcPr>
          <w:p w14:paraId="5ADBA76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155" w:type="dxa"/>
            <w:vAlign w:val="center"/>
          </w:tcPr>
          <w:p w14:paraId="5BB1D12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77" w:type="dxa"/>
            <w:vMerge w:val="restart"/>
            <w:vAlign w:val="center"/>
          </w:tcPr>
          <w:p w14:paraId="4E30DEEF">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0203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801" w:type="dxa"/>
            <w:vAlign w:val="center"/>
          </w:tcPr>
          <w:p w14:paraId="5FB08A7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14</w:t>
            </w:r>
          </w:p>
        </w:tc>
        <w:tc>
          <w:tcPr>
            <w:tcW w:w="1381" w:type="dxa"/>
            <w:vMerge w:val="restart"/>
            <w:vAlign w:val="center"/>
          </w:tcPr>
          <w:p w14:paraId="60B5614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安全保护和防护装置</w:t>
            </w:r>
          </w:p>
        </w:tc>
        <w:tc>
          <w:tcPr>
            <w:tcW w:w="2880" w:type="dxa"/>
            <w:vAlign w:val="center"/>
          </w:tcPr>
          <w:p w14:paraId="704FD1F8">
            <w:pPr>
              <w:keepNext w:val="0"/>
              <w:keepLines w:val="0"/>
              <w:pageBreakBefore w:val="0"/>
              <w:kinsoku/>
              <w:wordWrap w:val="0"/>
              <w:overflowPunct/>
              <w:topLinePunct/>
              <w:bidi w:val="0"/>
              <w:adjustRightInd/>
              <w:snapToGrid w:val="0"/>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未按要求设置安全保护和防护装置</w:t>
            </w:r>
          </w:p>
        </w:tc>
        <w:tc>
          <w:tcPr>
            <w:tcW w:w="5610" w:type="dxa"/>
            <w:vAlign w:val="center"/>
          </w:tcPr>
          <w:p w14:paraId="327C47D0">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1.作业人员（操作人员）上车前日检，日检记录填写完整；</w:t>
            </w:r>
          </w:p>
          <w:p w14:paraId="6C7DFFCF">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2.定期检查车辆设备状况；</w:t>
            </w:r>
          </w:p>
          <w:p w14:paraId="58D9E981">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3.按期保养，及时维修。</w:t>
            </w:r>
          </w:p>
        </w:tc>
        <w:tc>
          <w:tcPr>
            <w:tcW w:w="1470" w:type="dxa"/>
            <w:vAlign w:val="center"/>
          </w:tcPr>
          <w:p w14:paraId="684738E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155" w:type="dxa"/>
            <w:vAlign w:val="center"/>
          </w:tcPr>
          <w:p w14:paraId="78EF6A2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77" w:type="dxa"/>
            <w:vMerge w:val="continue"/>
            <w:vAlign w:val="center"/>
          </w:tcPr>
          <w:p w14:paraId="2DE4C0B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7212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801" w:type="dxa"/>
            <w:vAlign w:val="center"/>
          </w:tcPr>
          <w:p w14:paraId="6D638871">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15</w:t>
            </w:r>
          </w:p>
        </w:tc>
        <w:tc>
          <w:tcPr>
            <w:tcW w:w="1381" w:type="dxa"/>
            <w:vMerge w:val="continue"/>
            <w:vAlign w:val="center"/>
          </w:tcPr>
          <w:p w14:paraId="06F84E5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880" w:type="dxa"/>
            <w:vAlign w:val="center"/>
          </w:tcPr>
          <w:p w14:paraId="2EFF22E5">
            <w:pPr>
              <w:keepNext w:val="0"/>
              <w:keepLines w:val="0"/>
              <w:pageBreakBefore w:val="0"/>
              <w:kinsoku/>
              <w:overflowPunct/>
              <w:topLinePunct/>
              <w:bidi w:val="0"/>
              <w:adjustRightInd/>
              <w:snapToGrid w:val="0"/>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安全保护和防护装置、安全监控装置、视频监控装置等失灵或失效</w:t>
            </w:r>
          </w:p>
        </w:tc>
        <w:tc>
          <w:tcPr>
            <w:tcW w:w="5610" w:type="dxa"/>
            <w:vAlign w:val="center"/>
          </w:tcPr>
          <w:p w14:paraId="3B05461C">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按照技术规范要求设置安全保护和防护并经常性检查</w:t>
            </w:r>
          </w:p>
        </w:tc>
        <w:tc>
          <w:tcPr>
            <w:tcW w:w="1470" w:type="dxa"/>
            <w:vAlign w:val="center"/>
          </w:tcPr>
          <w:p w14:paraId="5429430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155" w:type="dxa"/>
            <w:vAlign w:val="center"/>
          </w:tcPr>
          <w:p w14:paraId="0FADB5B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77" w:type="dxa"/>
            <w:vAlign w:val="center"/>
          </w:tcPr>
          <w:p w14:paraId="6689B52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414E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01" w:type="dxa"/>
            <w:vAlign w:val="center"/>
          </w:tcPr>
          <w:p w14:paraId="6585F13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16</w:t>
            </w:r>
          </w:p>
        </w:tc>
        <w:tc>
          <w:tcPr>
            <w:tcW w:w="1381" w:type="dxa"/>
            <w:vMerge w:val="restart"/>
            <w:vAlign w:val="center"/>
          </w:tcPr>
          <w:p w14:paraId="23CEF3C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环境因素</w:t>
            </w:r>
          </w:p>
        </w:tc>
        <w:tc>
          <w:tcPr>
            <w:tcW w:w="2880" w:type="dxa"/>
            <w:vAlign w:val="center"/>
          </w:tcPr>
          <w:p w14:paraId="7A25920B">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使用环境不符、标志不完善，使用区域未进行管理</w:t>
            </w:r>
          </w:p>
        </w:tc>
        <w:tc>
          <w:tcPr>
            <w:tcW w:w="5610" w:type="dxa"/>
            <w:vAlign w:val="center"/>
          </w:tcPr>
          <w:p w14:paraId="22C5EEDA">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明确场车行驶线路、使用区域，标识；应当根据本单位场车作业区域的状况，规范本单位场车作业环境，作业环境不符合要求的，场车不得进入该区域作业，场车作业区域应进行有效管理，无关人员不得进入；使用符合GB2894-2008《安全标志及其使用导则》要求的标志标牌；</w:t>
            </w:r>
          </w:p>
          <w:p w14:paraId="2979AACC">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2.观光车辆的行驶路线中，任意连续20m路段的平均坡度不应当超过最大行驶坡度；（观光车专项）</w:t>
            </w:r>
          </w:p>
          <w:p w14:paraId="6F309CD9">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观光车辆的行驶路线中不得存在爆炸性环境，路面边沿3m（弯道处为4.5m）内有悬崖、深谷、深沟或水域的路段，应当设置防护能力与车辆相匹配的路侧护栏。存在陡坡、连续下坡、急弯、窄道、交岔口等特殊情况的路段，使用单位应当评估风险，根据需要设置相应的标志、标线、避险车道、减速丘、凸面镜等安全设施，或者采取限速、分流等管理措施；（观光车专项）</w:t>
            </w:r>
          </w:p>
          <w:p w14:paraId="23CD750F">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kern w:val="0"/>
                <w:sz w:val="24"/>
                <w:szCs w:val="22"/>
              </w:rPr>
              <w:t>4.安全员对使用环境及线路日常巡查，检查环境、路况和相关标志的设置和完好情况；作业环境不符合要求的，场车不得进入该区域作业，作业区域严格控制。</w:t>
            </w:r>
          </w:p>
        </w:tc>
        <w:tc>
          <w:tcPr>
            <w:tcW w:w="1470" w:type="dxa"/>
            <w:vAlign w:val="center"/>
          </w:tcPr>
          <w:p w14:paraId="3A4A329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155" w:type="dxa"/>
            <w:vAlign w:val="center"/>
          </w:tcPr>
          <w:p w14:paraId="7612816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77" w:type="dxa"/>
            <w:vAlign w:val="center"/>
          </w:tcPr>
          <w:p w14:paraId="51B8486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0EF0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01" w:type="dxa"/>
            <w:vAlign w:val="center"/>
          </w:tcPr>
          <w:p w14:paraId="35EEF3A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17</w:t>
            </w:r>
          </w:p>
        </w:tc>
        <w:tc>
          <w:tcPr>
            <w:tcW w:w="1381" w:type="dxa"/>
            <w:vMerge w:val="continue"/>
            <w:vAlign w:val="center"/>
          </w:tcPr>
          <w:p w14:paraId="614E43E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p>
        </w:tc>
        <w:tc>
          <w:tcPr>
            <w:tcW w:w="2880" w:type="dxa"/>
            <w:vAlign w:val="center"/>
          </w:tcPr>
          <w:p w14:paraId="3C3C8497">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未按有关规定设置警示标志或说明</w:t>
            </w:r>
          </w:p>
        </w:tc>
        <w:tc>
          <w:tcPr>
            <w:tcW w:w="5610" w:type="dxa"/>
            <w:vAlign w:val="center"/>
          </w:tcPr>
          <w:p w14:paraId="6C0744FD">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安全员和作业人员加强对特种设备法律法规知识学习，掌握警示标志或说明设置要求；叉车应当在醒目的位置以图形或者文字形式设置具有下列含义的安全标志：禁止站在货叉上、禁止站在货叉下、手指或者手被挤压风险提示，配备安全带的叉车还应当包括扣紧安全；观光车辆应当在醒目的位置以图形或者文字形式设置具有下列含义的安全标志：系好安全带、灭火器、车未停稳前请勿下车；</w:t>
            </w:r>
          </w:p>
          <w:p w14:paraId="7BE6820A">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2.定期对警示标志或说明设置情况进行检查。</w:t>
            </w:r>
          </w:p>
        </w:tc>
        <w:tc>
          <w:tcPr>
            <w:tcW w:w="1470" w:type="dxa"/>
            <w:vAlign w:val="center"/>
          </w:tcPr>
          <w:p w14:paraId="195B147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155" w:type="dxa"/>
            <w:vAlign w:val="center"/>
          </w:tcPr>
          <w:p w14:paraId="44B01DF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77" w:type="dxa"/>
            <w:vAlign w:val="center"/>
          </w:tcPr>
          <w:p w14:paraId="4D063E1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73C6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01" w:type="dxa"/>
            <w:vAlign w:val="center"/>
          </w:tcPr>
          <w:p w14:paraId="5B462FE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18</w:t>
            </w:r>
          </w:p>
        </w:tc>
        <w:tc>
          <w:tcPr>
            <w:tcW w:w="1381" w:type="dxa"/>
            <w:vMerge w:val="continue"/>
            <w:vAlign w:val="center"/>
          </w:tcPr>
          <w:p w14:paraId="7036376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p>
        </w:tc>
        <w:tc>
          <w:tcPr>
            <w:tcW w:w="2880" w:type="dxa"/>
            <w:vAlign w:val="center"/>
          </w:tcPr>
          <w:p w14:paraId="7106766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观光车辆的行驶路线不符合要求（观光车专项）</w:t>
            </w:r>
          </w:p>
        </w:tc>
        <w:tc>
          <w:tcPr>
            <w:tcW w:w="5610" w:type="dxa"/>
            <w:vAlign w:val="center"/>
          </w:tcPr>
          <w:p w14:paraId="4AE77DA3">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1.安全总监应当制定车辆运营时的行驶路线图，并且按照路线图在行驶路线上设置醒目的行驶路线标志，明确行驶速度等安全要求；</w:t>
            </w:r>
          </w:p>
          <w:p w14:paraId="14E2ACED">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2.观光车辆的行驶路线图，应当在乘客固定的上下车位置明确标识；</w:t>
            </w:r>
          </w:p>
          <w:p w14:paraId="25A494B4">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3.安全员对使用环境及线路日常巡查，检查环境、路况和相关标志的设置和完好情况；路线不符合要求的，车辆不得行使。</w:t>
            </w:r>
          </w:p>
        </w:tc>
        <w:tc>
          <w:tcPr>
            <w:tcW w:w="1470" w:type="dxa"/>
            <w:vAlign w:val="center"/>
          </w:tcPr>
          <w:p w14:paraId="498C2D1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155" w:type="dxa"/>
            <w:vAlign w:val="center"/>
          </w:tcPr>
          <w:p w14:paraId="1FCF75B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877" w:type="dxa"/>
            <w:vAlign w:val="center"/>
          </w:tcPr>
          <w:p w14:paraId="0436F32D">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4077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801" w:type="dxa"/>
            <w:vAlign w:val="center"/>
          </w:tcPr>
          <w:p w14:paraId="741F2902">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19</w:t>
            </w:r>
          </w:p>
        </w:tc>
        <w:tc>
          <w:tcPr>
            <w:tcW w:w="1381" w:type="dxa"/>
            <w:vMerge w:val="continue"/>
            <w:vAlign w:val="center"/>
          </w:tcPr>
          <w:p w14:paraId="01E9917A">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p>
        </w:tc>
        <w:tc>
          <w:tcPr>
            <w:tcW w:w="2880" w:type="dxa"/>
            <w:vAlign w:val="center"/>
          </w:tcPr>
          <w:p w14:paraId="779E2CE5">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在易燃易爆等危险区域作业，装载运输易燃易爆、剧毒等危险品或熔融金属、炙热金属等特殊物品（叉车专项）</w:t>
            </w:r>
          </w:p>
        </w:tc>
        <w:tc>
          <w:tcPr>
            <w:tcW w:w="5610" w:type="dxa"/>
            <w:vAlign w:val="center"/>
          </w:tcPr>
          <w:p w14:paraId="4A86FA43">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1.按照防爆等级在符合区域划分图内运行；严禁防爆区域使用防爆等级不符的车辆；</w:t>
            </w:r>
          </w:p>
          <w:p w14:paraId="3840DD40">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2.车辆配备灭火器，车体两侧、车后部喷涂“严禁烟火”或“注意危险”等警示字样；</w:t>
            </w:r>
          </w:p>
          <w:p w14:paraId="00DA450E">
            <w:pPr>
              <w:keepNext w:val="0"/>
              <w:keepLines w:val="0"/>
              <w:pageBreakBefore w:val="0"/>
              <w:widowControl/>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3.定期检查相关设施，灭火器等是否在有效期内</w:t>
            </w:r>
          </w:p>
        </w:tc>
        <w:tc>
          <w:tcPr>
            <w:tcW w:w="1470" w:type="dxa"/>
            <w:vAlign w:val="center"/>
          </w:tcPr>
          <w:p w14:paraId="0AAAA51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155" w:type="dxa"/>
            <w:vAlign w:val="center"/>
          </w:tcPr>
          <w:p w14:paraId="27ADE57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877" w:type="dxa"/>
            <w:vAlign w:val="center"/>
          </w:tcPr>
          <w:p w14:paraId="771AE61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1B9A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vAlign w:val="center"/>
          </w:tcPr>
          <w:p w14:paraId="190488F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20</w:t>
            </w:r>
          </w:p>
        </w:tc>
        <w:tc>
          <w:tcPr>
            <w:tcW w:w="1381" w:type="dxa"/>
            <w:vAlign w:val="center"/>
          </w:tcPr>
          <w:p w14:paraId="623CA89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政府监督、通报、预警</w:t>
            </w:r>
          </w:p>
        </w:tc>
        <w:tc>
          <w:tcPr>
            <w:tcW w:w="2880" w:type="dxa"/>
            <w:vAlign w:val="center"/>
          </w:tcPr>
          <w:p w14:paraId="3345E3A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610" w:type="dxa"/>
            <w:vAlign w:val="center"/>
          </w:tcPr>
          <w:p w14:paraId="77C1BC5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470" w:type="dxa"/>
            <w:vAlign w:val="center"/>
          </w:tcPr>
          <w:p w14:paraId="6487E6E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周排查</w:t>
            </w:r>
          </w:p>
        </w:tc>
        <w:tc>
          <w:tcPr>
            <w:tcW w:w="1155" w:type="dxa"/>
            <w:vAlign w:val="center"/>
          </w:tcPr>
          <w:p w14:paraId="444B28D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安全总监</w:t>
            </w:r>
          </w:p>
        </w:tc>
        <w:tc>
          <w:tcPr>
            <w:tcW w:w="877" w:type="dxa"/>
            <w:vAlign w:val="center"/>
          </w:tcPr>
          <w:p w14:paraId="12FADE3B">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589F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01" w:type="dxa"/>
            <w:vAlign w:val="center"/>
          </w:tcPr>
          <w:p w14:paraId="48BC2C19">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21</w:t>
            </w:r>
          </w:p>
        </w:tc>
        <w:tc>
          <w:tcPr>
            <w:tcW w:w="1381" w:type="dxa"/>
            <w:vAlign w:val="center"/>
          </w:tcPr>
          <w:p w14:paraId="47093AD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投诉举报</w:t>
            </w:r>
          </w:p>
        </w:tc>
        <w:tc>
          <w:tcPr>
            <w:tcW w:w="2880" w:type="dxa"/>
            <w:vAlign w:val="center"/>
          </w:tcPr>
          <w:p w14:paraId="489EEB9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610" w:type="dxa"/>
            <w:vAlign w:val="center"/>
          </w:tcPr>
          <w:p w14:paraId="0B484D1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记录，整改，消除安全隐患</w:t>
            </w:r>
          </w:p>
        </w:tc>
        <w:tc>
          <w:tcPr>
            <w:tcW w:w="1470" w:type="dxa"/>
            <w:vAlign w:val="center"/>
          </w:tcPr>
          <w:p w14:paraId="16226F1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日管控</w:t>
            </w:r>
          </w:p>
        </w:tc>
        <w:tc>
          <w:tcPr>
            <w:tcW w:w="1155" w:type="dxa"/>
            <w:vAlign w:val="center"/>
          </w:tcPr>
          <w:p w14:paraId="5554AFD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安全员</w:t>
            </w:r>
          </w:p>
        </w:tc>
        <w:tc>
          <w:tcPr>
            <w:tcW w:w="877" w:type="dxa"/>
            <w:vAlign w:val="center"/>
          </w:tcPr>
          <w:p w14:paraId="49B7EB4C">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r w14:paraId="4361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01" w:type="dxa"/>
            <w:vAlign w:val="center"/>
          </w:tcPr>
          <w:p w14:paraId="7AA8FF35">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22</w:t>
            </w:r>
          </w:p>
        </w:tc>
        <w:tc>
          <w:tcPr>
            <w:tcW w:w="1381" w:type="dxa"/>
            <w:vAlign w:val="center"/>
          </w:tcPr>
          <w:p w14:paraId="1AF0B61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舆情信息</w:t>
            </w:r>
          </w:p>
        </w:tc>
        <w:tc>
          <w:tcPr>
            <w:tcW w:w="2880" w:type="dxa"/>
            <w:vAlign w:val="center"/>
          </w:tcPr>
          <w:p w14:paraId="328CA5B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610" w:type="dxa"/>
            <w:vAlign w:val="center"/>
          </w:tcPr>
          <w:p w14:paraId="76CC7D0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470" w:type="dxa"/>
            <w:vAlign w:val="center"/>
          </w:tcPr>
          <w:p w14:paraId="718A9A7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日管控</w:t>
            </w:r>
          </w:p>
        </w:tc>
        <w:tc>
          <w:tcPr>
            <w:tcW w:w="1155" w:type="dxa"/>
            <w:vAlign w:val="center"/>
          </w:tcPr>
          <w:p w14:paraId="7808DA1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pacing w:val="6"/>
                <w:sz w:val="24"/>
                <w:szCs w:val="24"/>
              </w:rPr>
            </w:pPr>
            <w:r>
              <w:rPr>
                <w:rFonts w:hint="default" w:ascii="Times New Roman" w:hAnsi="Times New Roman" w:eastAsia="宋体" w:cs="Times New Roman"/>
                <w:b w:val="0"/>
                <w:bCs w:val="0"/>
                <w:spacing w:val="6"/>
                <w:sz w:val="24"/>
                <w:szCs w:val="24"/>
              </w:rPr>
              <w:t>安全员</w:t>
            </w:r>
          </w:p>
        </w:tc>
        <w:tc>
          <w:tcPr>
            <w:tcW w:w="877" w:type="dxa"/>
            <w:vAlign w:val="center"/>
          </w:tcPr>
          <w:p w14:paraId="7185CD1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r>
    </w:tbl>
    <w:p w14:paraId="36A7F87F">
      <w:pPr>
        <w:keepNext w:val="0"/>
        <w:keepLines w:val="0"/>
        <w:pageBreakBefore w:val="0"/>
        <w:widowControl/>
        <w:kinsoku/>
        <w:overflowPunct/>
        <w:bidi w:val="0"/>
        <w:adjustRightInd/>
        <w:spacing w:line="280" w:lineRule="exact"/>
        <w:ind w:left="0" w:leftChars="0" w:firstLine="0" w:firstLineChars="0"/>
        <w:jc w:val="left"/>
        <w:rPr>
          <w:rFonts w:hint="default" w:ascii="Times New Roman" w:hAnsi="Times New Roman" w:eastAsia="宋体" w:cs="Times New Roman"/>
          <w:b w:val="0"/>
          <w:bCs w:val="0"/>
          <w:kern w:val="2"/>
          <w:sz w:val="24"/>
          <w:szCs w:val="32"/>
          <w:lang w:val="zh-CN" w:eastAsia="zh-CN" w:bidi="zh-CN"/>
        </w:rPr>
      </w:pPr>
      <w:r>
        <w:rPr>
          <w:rFonts w:hint="default" w:ascii="Times New Roman" w:hAnsi="Times New Roman" w:eastAsia="宋体" w:cs="Times New Roman"/>
          <w:b w:val="0"/>
          <w:bCs w:val="0"/>
          <w:kern w:val="2"/>
          <w:sz w:val="24"/>
          <w:szCs w:val="32"/>
          <w:lang w:val="zh-CN" w:eastAsia="zh-CN" w:bidi="zh-CN"/>
        </w:rPr>
        <w:t>备注：本清单为推荐性格式，仅规定了应当进行日管控、周排查、月调度的基本项目，场车使用单位应当结合本单位实际情况和具体要求，细化风险管控清单，合理调整管控形式。</w:t>
      </w:r>
    </w:p>
    <w:p w14:paraId="1D5E0BBD">
      <w:pPr>
        <w:keepNext w:val="0"/>
        <w:keepLines w:val="0"/>
        <w:pageBreakBefore w:val="0"/>
        <w:kinsoku/>
        <w:overflowPunct/>
        <w:bidi w:val="0"/>
        <w:adjustRightInd/>
        <w:spacing w:line="280" w:lineRule="exact"/>
        <w:rPr>
          <w:rFonts w:hint="default" w:ascii="Times New Roman" w:hAnsi="Times New Roman" w:eastAsia="宋体" w:cs="Times New Roman"/>
          <w:b w:val="0"/>
          <w:bCs w:val="0"/>
          <w:kern w:val="2"/>
          <w:sz w:val="24"/>
          <w:szCs w:val="32"/>
          <w:lang w:val="zh-CN" w:eastAsia="zh-CN" w:bidi="zh-CN"/>
        </w:rPr>
      </w:pPr>
      <w:r>
        <w:rPr>
          <w:rFonts w:hint="default" w:ascii="Times New Roman" w:hAnsi="Times New Roman" w:eastAsia="宋体" w:cs="Times New Roman"/>
          <w:b w:val="0"/>
          <w:bCs w:val="0"/>
          <w:kern w:val="2"/>
          <w:sz w:val="24"/>
          <w:szCs w:val="32"/>
          <w:lang w:val="zh-CN" w:eastAsia="zh-CN" w:bidi="zh-CN"/>
        </w:rPr>
        <w:br w:type="page"/>
      </w:r>
    </w:p>
    <w:p w14:paraId="01E833CA">
      <w:pPr>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val="0"/>
          <w:bCs w:val="0"/>
          <w:sz w:val="36"/>
          <w:szCs w:val="36"/>
        </w:rPr>
      </w:pPr>
      <w:r>
        <w:rPr>
          <w:rFonts w:hint="default" w:ascii="Times New Roman" w:hAnsi="Times New Roman" w:eastAsia="宋体" w:cs="Times New Roman"/>
          <w:b w:val="0"/>
          <w:bCs w:val="0"/>
          <w:sz w:val="36"/>
          <w:szCs w:val="36"/>
        </w:rPr>
        <w:t>大型游乐设施安全风险管控清单</w:t>
      </w:r>
      <w:r>
        <w:rPr>
          <w:rFonts w:hint="default" w:ascii="Times New Roman" w:hAnsi="Times New Roman" w:eastAsia="宋体" w:cs="Times New Roman"/>
          <w:b w:val="0"/>
          <w:bCs w:val="0"/>
          <w:sz w:val="36"/>
          <w:szCs w:val="36"/>
          <w:lang w:eastAsia="zh-CN"/>
        </w:rPr>
        <w:t>（供参考）</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8"/>
        <w:gridCol w:w="1404"/>
        <w:gridCol w:w="2673"/>
        <w:gridCol w:w="5100"/>
        <w:gridCol w:w="1437"/>
        <w:gridCol w:w="1372"/>
        <w:gridCol w:w="999"/>
      </w:tblGrid>
      <w:tr w14:paraId="3E236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838" w:type="dxa"/>
            <w:shd w:val="clear" w:color="auto" w:fill="BEBEBE"/>
            <w:vAlign w:val="center"/>
          </w:tcPr>
          <w:p w14:paraId="2569071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序号</w:t>
            </w:r>
          </w:p>
        </w:tc>
        <w:tc>
          <w:tcPr>
            <w:tcW w:w="1404" w:type="dxa"/>
            <w:shd w:val="clear" w:color="auto" w:fill="BEBEBE"/>
            <w:vAlign w:val="center"/>
          </w:tcPr>
          <w:p w14:paraId="5651563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风险类别</w:t>
            </w:r>
          </w:p>
        </w:tc>
        <w:tc>
          <w:tcPr>
            <w:tcW w:w="2673" w:type="dxa"/>
            <w:shd w:val="clear" w:color="auto" w:fill="BEBEBE"/>
            <w:vAlign w:val="center"/>
          </w:tcPr>
          <w:p w14:paraId="7364496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风险指标</w:t>
            </w:r>
          </w:p>
        </w:tc>
        <w:tc>
          <w:tcPr>
            <w:tcW w:w="5100" w:type="dxa"/>
            <w:shd w:val="clear" w:color="auto" w:fill="BEBEBE"/>
            <w:vAlign w:val="center"/>
          </w:tcPr>
          <w:p w14:paraId="57D3578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风险管控措施</w:t>
            </w:r>
          </w:p>
        </w:tc>
        <w:tc>
          <w:tcPr>
            <w:tcW w:w="1437" w:type="dxa"/>
            <w:shd w:val="clear" w:color="auto" w:fill="BEBEBE"/>
            <w:vAlign w:val="center"/>
          </w:tcPr>
          <w:p w14:paraId="6A3710E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管控形式</w:t>
            </w:r>
          </w:p>
        </w:tc>
        <w:tc>
          <w:tcPr>
            <w:tcW w:w="1372" w:type="dxa"/>
            <w:shd w:val="clear" w:color="auto" w:fill="BEBEBE"/>
            <w:vAlign w:val="center"/>
          </w:tcPr>
          <w:p w14:paraId="6EE3EAA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责任人</w:t>
            </w:r>
          </w:p>
        </w:tc>
        <w:tc>
          <w:tcPr>
            <w:tcW w:w="999" w:type="dxa"/>
            <w:shd w:val="clear" w:color="auto" w:fill="BEBEBE"/>
          </w:tcPr>
          <w:p w14:paraId="37D1672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备注</w:t>
            </w:r>
          </w:p>
        </w:tc>
      </w:tr>
      <w:tr w14:paraId="47E5D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838" w:type="dxa"/>
            <w:vAlign w:val="center"/>
          </w:tcPr>
          <w:p w14:paraId="1D857FF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w:t>
            </w:r>
          </w:p>
        </w:tc>
        <w:tc>
          <w:tcPr>
            <w:tcW w:w="1404" w:type="dxa"/>
            <w:vMerge w:val="restart"/>
            <w:vAlign w:val="center"/>
          </w:tcPr>
          <w:p w14:paraId="48D2446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人员</w:t>
            </w:r>
          </w:p>
        </w:tc>
        <w:tc>
          <w:tcPr>
            <w:tcW w:w="2673" w:type="dxa"/>
            <w:vAlign w:val="center"/>
          </w:tcPr>
          <w:p w14:paraId="7DAD646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未按规定配备安全管理人员和作业人员</w:t>
            </w:r>
          </w:p>
        </w:tc>
        <w:tc>
          <w:tcPr>
            <w:tcW w:w="5100" w:type="dxa"/>
            <w:vAlign w:val="center"/>
          </w:tcPr>
          <w:p w14:paraId="5B62B60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1.建立特种设备安全管理人员与作业人员管理制度；</w:t>
            </w:r>
          </w:p>
          <w:p w14:paraId="3933168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2.按规定配备相关人员。</w:t>
            </w:r>
          </w:p>
        </w:tc>
        <w:tc>
          <w:tcPr>
            <w:tcW w:w="1437" w:type="dxa"/>
            <w:vAlign w:val="center"/>
          </w:tcPr>
          <w:p w14:paraId="4BD896A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372" w:type="dxa"/>
            <w:vAlign w:val="center"/>
          </w:tcPr>
          <w:p w14:paraId="7EFFEDE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99" w:type="dxa"/>
          </w:tcPr>
          <w:p w14:paraId="5E28C74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ED2B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38" w:type="dxa"/>
            <w:vAlign w:val="center"/>
          </w:tcPr>
          <w:p w14:paraId="7CCF141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w:t>
            </w:r>
          </w:p>
        </w:tc>
        <w:tc>
          <w:tcPr>
            <w:tcW w:w="1404" w:type="dxa"/>
            <w:vMerge w:val="continue"/>
            <w:vAlign w:val="center"/>
          </w:tcPr>
          <w:p w14:paraId="094A313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0ADC8A3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作业人员未持有相应资格证件</w:t>
            </w:r>
          </w:p>
        </w:tc>
        <w:tc>
          <w:tcPr>
            <w:tcW w:w="5100" w:type="dxa"/>
            <w:vAlign w:val="center"/>
          </w:tcPr>
          <w:p w14:paraId="60C9D1B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配备具有相应职责资质的作业人员，加强资格证的换证管理</w:t>
            </w:r>
          </w:p>
        </w:tc>
        <w:tc>
          <w:tcPr>
            <w:tcW w:w="1437" w:type="dxa"/>
            <w:vAlign w:val="center"/>
          </w:tcPr>
          <w:p w14:paraId="31D4985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372" w:type="dxa"/>
            <w:vAlign w:val="center"/>
          </w:tcPr>
          <w:p w14:paraId="390EB8D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99" w:type="dxa"/>
          </w:tcPr>
          <w:p w14:paraId="6AC7882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8B72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838" w:type="dxa"/>
            <w:vAlign w:val="center"/>
          </w:tcPr>
          <w:p w14:paraId="4E48814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3</w:t>
            </w:r>
          </w:p>
        </w:tc>
        <w:tc>
          <w:tcPr>
            <w:tcW w:w="1404" w:type="dxa"/>
            <w:vMerge w:val="continue"/>
            <w:vAlign w:val="center"/>
          </w:tcPr>
          <w:p w14:paraId="6209F2D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4FC7602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未按规定对安全管理人员和作业人员开展安全教育培训</w:t>
            </w:r>
          </w:p>
        </w:tc>
        <w:tc>
          <w:tcPr>
            <w:tcW w:w="5100" w:type="dxa"/>
            <w:vAlign w:val="center"/>
          </w:tcPr>
          <w:p w14:paraId="6AD61FB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按规定开展安全培训教育</w:t>
            </w:r>
          </w:p>
        </w:tc>
        <w:tc>
          <w:tcPr>
            <w:tcW w:w="1437" w:type="dxa"/>
            <w:vAlign w:val="center"/>
          </w:tcPr>
          <w:p w14:paraId="2BC20B6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372" w:type="dxa"/>
            <w:vAlign w:val="center"/>
          </w:tcPr>
          <w:p w14:paraId="0736992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99" w:type="dxa"/>
          </w:tcPr>
          <w:p w14:paraId="17B5478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7074E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838" w:type="dxa"/>
            <w:vAlign w:val="center"/>
          </w:tcPr>
          <w:p w14:paraId="5F488D4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4</w:t>
            </w:r>
          </w:p>
        </w:tc>
        <w:tc>
          <w:tcPr>
            <w:tcW w:w="1404" w:type="dxa"/>
            <w:vMerge w:val="continue"/>
            <w:vAlign w:val="center"/>
          </w:tcPr>
          <w:p w14:paraId="0EA14FE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142A535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作业内容与证书项目不相符</w:t>
            </w:r>
          </w:p>
        </w:tc>
        <w:tc>
          <w:tcPr>
            <w:tcW w:w="5100" w:type="dxa"/>
            <w:vAlign w:val="center"/>
          </w:tcPr>
          <w:p w14:paraId="3621FFD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建立岗位责任制度</w:t>
            </w:r>
          </w:p>
        </w:tc>
        <w:tc>
          <w:tcPr>
            <w:tcW w:w="1437" w:type="dxa"/>
            <w:vAlign w:val="center"/>
          </w:tcPr>
          <w:p w14:paraId="3644FA3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372" w:type="dxa"/>
            <w:vAlign w:val="center"/>
          </w:tcPr>
          <w:p w14:paraId="47574FA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99" w:type="dxa"/>
          </w:tcPr>
          <w:p w14:paraId="3A029C4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2F82F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838" w:type="dxa"/>
            <w:vAlign w:val="center"/>
          </w:tcPr>
          <w:p w14:paraId="5A7F779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5</w:t>
            </w:r>
          </w:p>
        </w:tc>
        <w:tc>
          <w:tcPr>
            <w:tcW w:w="1404" w:type="dxa"/>
            <w:vMerge w:val="restart"/>
            <w:vAlign w:val="center"/>
          </w:tcPr>
          <w:p w14:paraId="77C21DD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管理</w:t>
            </w:r>
          </w:p>
        </w:tc>
        <w:tc>
          <w:tcPr>
            <w:tcW w:w="2673" w:type="dxa"/>
            <w:vAlign w:val="center"/>
          </w:tcPr>
          <w:p w14:paraId="6EFFC9B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未按规定设置安全管理机构</w:t>
            </w:r>
          </w:p>
        </w:tc>
        <w:tc>
          <w:tcPr>
            <w:tcW w:w="5100" w:type="dxa"/>
            <w:vAlign w:val="center"/>
          </w:tcPr>
          <w:p w14:paraId="761E385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根据使用的特种设备种类和数量，设置专门的安全管理机构。</w:t>
            </w:r>
          </w:p>
        </w:tc>
        <w:tc>
          <w:tcPr>
            <w:tcW w:w="1437" w:type="dxa"/>
            <w:vAlign w:val="center"/>
          </w:tcPr>
          <w:p w14:paraId="4799863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372" w:type="dxa"/>
            <w:vAlign w:val="center"/>
          </w:tcPr>
          <w:p w14:paraId="2D9E4D5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99" w:type="dxa"/>
          </w:tcPr>
          <w:p w14:paraId="1F140D7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9248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838" w:type="dxa"/>
            <w:vAlign w:val="center"/>
          </w:tcPr>
          <w:p w14:paraId="42FC3DD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6</w:t>
            </w:r>
          </w:p>
        </w:tc>
        <w:tc>
          <w:tcPr>
            <w:tcW w:w="1404" w:type="dxa"/>
            <w:vMerge w:val="continue"/>
            <w:vAlign w:val="center"/>
          </w:tcPr>
          <w:p w14:paraId="0DB9F68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p>
        </w:tc>
        <w:tc>
          <w:tcPr>
            <w:tcW w:w="2673" w:type="dxa"/>
            <w:vAlign w:val="center"/>
          </w:tcPr>
          <w:p w14:paraId="4EEC53F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未按有关规定制定操作规程或者未按规定执行操作规程</w:t>
            </w:r>
          </w:p>
        </w:tc>
        <w:tc>
          <w:tcPr>
            <w:tcW w:w="5100" w:type="dxa"/>
            <w:vAlign w:val="center"/>
          </w:tcPr>
          <w:p w14:paraId="2184C3E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制定大型游乐设施安全管理机构和相关人员岗位职责；</w:t>
            </w:r>
          </w:p>
          <w:p w14:paraId="76DDD8D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制定《大型游乐设施安全总监职责》《大型游乐设施安全员守则》《大型游乐设施安全日管控、周排查、月调度管理制度》。</w:t>
            </w:r>
          </w:p>
        </w:tc>
        <w:tc>
          <w:tcPr>
            <w:tcW w:w="1437" w:type="dxa"/>
            <w:vAlign w:val="center"/>
          </w:tcPr>
          <w:p w14:paraId="473E255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372" w:type="dxa"/>
            <w:vAlign w:val="center"/>
          </w:tcPr>
          <w:p w14:paraId="639DC10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99" w:type="dxa"/>
          </w:tcPr>
          <w:p w14:paraId="399B208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6F5A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838" w:type="dxa"/>
            <w:vAlign w:val="center"/>
          </w:tcPr>
          <w:p w14:paraId="60D5FC5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7</w:t>
            </w:r>
          </w:p>
        </w:tc>
        <w:tc>
          <w:tcPr>
            <w:tcW w:w="1404" w:type="dxa"/>
            <w:vMerge w:val="continue"/>
            <w:vAlign w:val="center"/>
          </w:tcPr>
          <w:p w14:paraId="048C83D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090C4FE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未建立安全技术档案</w:t>
            </w:r>
          </w:p>
        </w:tc>
        <w:tc>
          <w:tcPr>
            <w:tcW w:w="5100" w:type="dxa"/>
            <w:vAlign w:val="center"/>
          </w:tcPr>
          <w:p w14:paraId="3D33310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1.建立大型游乐设施安全技术档案管理制度，明确档案内容及管理要求；</w:t>
            </w:r>
          </w:p>
          <w:p w14:paraId="4B5A264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 xml:space="preserve">2.按规定建立安全技术档案并及时更新安全技术档案。 </w:t>
            </w:r>
          </w:p>
        </w:tc>
        <w:tc>
          <w:tcPr>
            <w:tcW w:w="1437" w:type="dxa"/>
            <w:vAlign w:val="center"/>
          </w:tcPr>
          <w:p w14:paraId="2C94A92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372" w:type="dxa"/>
            <w:vAlign w:val="center"/>
          </w:tcPr>
          <w:p w14:paraId="72E2E33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99" w:type="dxa"/>
          </w:tcPr>
          <w:p w14:paraId="7ED2D31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3E83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838" w:type="dxa"/>
            <w:vAlign w:val="center"/>
          </w:tcPr>
          <w:p w14:paraId="0AC526A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8</w:t>
            </w:r>
          </w:p>
        </w:tc>
        <w:tc>
          <w:tcPr>
            <w:tcW w:w="1404" w:type="dxa"/>
            <w:vMerge w:val="continue"/>
            <w:vAlign w:val="center"/>
          </w:tcPr>
          <w:p w14:paraId="494B383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62BDA40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未按规定办理使用登记、变更登记及停用、报废等手续</w:t>
            </w:r>
          </w:p>
        </w:tc>
        <w:tc>
          <w:tcPr>
            <w:tcW w:w="5100" w:type="dxa"/>
            <w:vAlign w:val="center"/>
          </w:tcPr>
          <w:p w14:paraId="7565A30E">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1.建立使用管理制度和规程，明确相关内容及安全管理要求；</w:t>
            </w:r>
          </w:p>
          <w:p w14:paraId="3001917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2. 按规定办理使用登记、变更登记及停用、报废手续。</w:t>
            </w:r>
          </w:p>
        </w:tc>
        <w:tc>
          <w:tcPr>
            <w:tcW w:w="1437" w:type="dxa"/>
            <w:vAlign w:val="center"/>
          </w:tcPr>
          <w:p w14:paraId="4F2DF35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372" w:type="dxa"/>
            <w:vAlign w:val="center"/>
          </w:tcPr>
          <w:p w14:paraId="2D171BD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99" w:type="dxa"/>
          </w:tcPr>
          <w:p w14:paraId="294AC96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FCDF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838" w:type="dxa"/>
            <w:vAlign w:val="center"/>
          </w:tcPr>
          <w:p w14:paraId="10B23EC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9</w:t>
            </w:r>
          </w:p>
        </w:tc>
        <w:tc>
          <w:tcPr>
            <w:tcW w:w="1404" w:type="dxa"/>
            <w:vMerge w:val="continue"/>
            <w:vAlign w:val="center"/>
          </w:tcPr>
          <w:p w14:paraId="377529B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433FDE3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未按规定制定大型游乐设施事故应急专项预案并定期演练</w:t>
            </w:r>
          </w:p>
        </w:tc>
        <w:tc>
          <w:tcPr>
            <w:tcW w:w="5100" w:type="dxa"/>
            <w:vAlign w:val="center"/>
          </w:tcPr>
          <w:p w14:paraId="0D46930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制定大型游乐设施事故应急专项预案并每年至少开展1次演练</w:t>
            </w:r>
          </w:p>
        </w:tc>
        <w:tc>
          <w:tcPr>
            <w:tcW w:w="1437" w:type="dxa"/>
            <w:vAlign w:val="center"/>
          </w:tcPr>
          <w:p w14:paraId="5585A4E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372" w:type="dxa"/>
            <w:vAlign w:val="center"/>
          </w:tcPr>
          <w:p w14:paraId="2C6C58E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99" w:type="dxa"/>
          </w:tcPr>
          <w:p w14:paraId="2ADF1C2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6E90F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838" w:type="dxa"/>
            <w:vAlign w:val="center"/>
          </w:tcPr>
          <w:p w14:paraId="3357225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10</w:t>
            </w:r>
          </w:p>
        </w:tc>
        <w:tc>
          <w:tcPr>
            <w:tcW w:w="1404" w:type="dxa"/>
            <w:vMerge w:val="restart"/>
            <w:vAlign w:val="center"/>
          </w:tcPr>
          <w:p w14:paraId="1B67697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设备</w:t>
            </w:r>
          </w:p>
        </w:tc>
        <w:tc>
          <w:tcPr>
            <w:tcW w:w="2673" w:type="dxa"/>
            <w:vAlign w:val="center"/>
          </w:tcPr>
          <w:p w14:paraId="0A7C1D7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未按要求使用符合要求的大型游乐设施或使用国家明令禁止的大型游乐设施</w:t>
            </w:r>
          </w:p>
        </w:tc>
        <w:tc>
          <w:tcPr>
            <w:tcW w:w="5100" w:type="dxa"/>
            <w:vAlign w:val="center"/>
          </w:tcPr>
          <w:p w14:paraId="600427D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建立采购管理制度，明确采购、验收要求</w:t>
            </w:r>
          </w:p>
        </w:tc>
        <w:tc>
          <w:tcPr>
            <w:tcW w:w="1437" w:type="dxa"/>
            <w:vAlign w:val="center"/>
          </w:tcPr>
          <w:p w14:paraId="25D50F4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372" w:type="dxa"/>
            <w:vAlign w:val="center"/>
          </w:tcPr>
          <w:p w14:paraId="029EF9C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99" w:type="dxa"/>
          </w:tcPr>
          <w:p w14:paraId="5EB154B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0AAF6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jc w:val="center"/>
        </w:trPr>
        <w:tc>
          <w:tcPr>
            <w:tcW w:w="838" w:type="dxa"/>
            <w:vAlign w:val="center"/>
          </w:tcPr>
          <w:p w14:paraId="331453F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11</w:t>
            </w:r>
          </w:p>
        </w:tc>
        <w:tc>
          <w:tcPr>
            <w:tcW w:w="1404" w:type="dxa"/>
            <w:vMerge w:val="continue"/>
            <w:vAlign w:val="center"/>
          </w:tcPr>
          <w:p w14:paraId="14881E8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62D9D3E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未按规定进行维护保养和自行检查</w:t>
            </w:r>
          </w:p>
        </w:tc>
        <w:tc>
          <w:tcPr>
            <w:tcW w:w="5100" w:type="dxa"/>
            <w:vAlign w:val="center"/>
          </w:tcPr>
          <w:p w14:paraId="5866138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按规定制定维护保养制度和定期自行检查制度，组织开展维护保养和定期自行检查并做好相应记录</w:t>
            </w:r>
          </w:p>
        </w:tc>
        <w:tc>
          <w:tcPr>
            <w:tcW w:w="1437" w:type="dxa"/>
            <w:vAlign w:val="center"/>
          </w:tcPr>
          <w:p w14:paraId="5686201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372" w:type="dxa"/>
            <w:vAlign w:val="center"/>
          </w:tcPr>
          <w:p w14:paraId="1B38389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99" w:type="dxa"/>
          </w:tcPr>
          <w:p w14:paraId="14B1C4D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560FA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jc w:val="center"/>
        </w:trPr>
        <w:tc>
          <w:tcPr>
            <w:tcW w:w="838" w:type="dxa"/>
            <w:vAlign w:val="center"/>
          </w:tcPr>
          <w:p w14:paraId="56B317A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12</w:t>
            </w:r>
          </w:p>
        </w:tc>
        <w:tc>
          <w:tcPr>
            <w:tcW w:w="1404" w:type="dxa"/>
            <w:vMerge w:val="continue"/>
            <w:vAlign w:val="center"/>
          </w:tcPr>
          <w:p w14:paraId="58B267C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1D6A96B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 xml:space="preserve">未按规定进行定期检验、监督检验 </w:t>
            </w:r>
          </w:p>
        </w:tc>
        <w:tc>
          <w:tcPr>
            <w:tcW w:w="5100" w:type="dxa"/>
            <w:vAlign w:val="center"/>
          </w:tcPr>
          <w:p w14:paraId="7E1D54CA">
            <w:pPr>
              <w:keepNext w:val="0"/>
              <w:keepLines w:val="0"/>
              <w:pageBreakBefore w:val="0"/>
              <w:numPr>
                <w:ilvl w:val="255"/>
                <w:numId w:val="0"/>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制定定期检验、自行检测计划并组织实施，落实定期检验、自行检测的后续整改工作</w:t>
            </w:r>
          </w:p>
        </w:tc>
        <w:tc>
          <w:tcPr>
            <w:tcW w:w="1437" w:type="dxa"/>
            <w:vAlign w:val="center"/>
          </w:tcPr>
          <w:p w14:paraId="46924AE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372" w:type="dxa"/>
            <w:vAlign w:val="center"/>
          </w:tcPr>
          <w:p w14:paraId="58173AC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99" w:type="dxa"/>
          </w:tcPr>
          <w:p w14:paraId="769165A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2ED33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838" w:type="dxa"/>
            <w:vAlign w:val="center"/>
          </w:tcPr>
          <w:p w14:paraId="5579FD7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13</w:t>
            </w:r>
          </w:p>
        </w:tc>
        <w:tc>
          <w:tcPr>
            <w:tcW w:w="1404" w:type="dxa"/>
            <w:vMerge w:val="restart"/>
            <w:vAlign w:val="center"/>
          </w:tcPr>
          <w:p w14:paraId="5067CA2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安全附件和</w:t>
            </w:r>
          </w:p>
          <w:p w14:paraId="4B0FE7A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安全保护装置</w:t>
            </w:r>
          </w:p>
        </w:tc>
        <w:tc>
          <w:tcPr>
            <w:tcW w:w="2673" w:type="dxa"/>
            <w:vAlign w:val="center"/>
          </w:tcPr>
          <w:p w14:paraId="7B6C7552">
            <w:pPr>
              <w:keepNext w:val="0"/>
              <w:keepLines w:val="0"/>
              <w:pageBreakBefore w:val="0"/>
              <w:widowControl/>
              <w:kinsoku/>
              <w:overflowPunct/>
              <w:bidi w:val="0"/>
              <w:adjustRightInd/>
              <w:spacing w:line="280" w:lineRule="exact"/>
              <w:ind w:left="0" w:leftChars="0" w:firstLine="0" w:firstLineChars="0"/>
              <w:jc w:val="left"/>
              <w:textAlignment w:val="center"/>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安全带、安全压杆等安全束缚装置失效</w:t>
            </w:r>
          </w:p>
        </w:tc>
        <w:tc>
          <w:tcPr>
            <w:tcW w:w="5100" w:type="dxa"/>
            <w:vAlign w:val="center"/>
          </w:tcPr>
          <w:p w14:paraId="294A820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w:t>
            </w:r>
            <w:r>
              <w:rPr>
                <w:rFonts w:hint="default" w:ascii="Times New Roman" w:hAnsi="Times New Roman" w:eastAsia="宋体" w:cs="Times New Roman"/>
                <w:b w:val="0"/>
                <w:bCs w:val="0"/>
                <w:kern w:val="0"/>
                <w:sz w:val="24"/>
                <w:szCs w:val="24"/>
              </w:rPr>
              <w:t>安全束缚装置</w:t>
            </w:r>
            <w:r>
              <w:rPr>
                <w:rFonts w:hint="default" w:ascii="Times New Roman" w:hAnsi="Times New Roman" w:eastAsia="宋体" w:cs="Times New Roman"/>
                <w:b w:val="0"/>
                <w:bCs w:val="0"/>
                <w:sz w:val="24"/>
                <w:szCs w:val="22"/>
              </w:rPr>
              <w:t>情况</w:t>
            </w:r>
          </w:p>
        </w:tc>
        <w:tc>
          <w:tcPr>
            <w:tcW w:w="1437" w:type="dxa"/>
            <w:vAlign w:val="center"/>
          </w:tcPr>
          <w:p w14:paraId="7EC5DB6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372" w:type="dxa"/>
            <w:vAlign w:val="center"/>
          </w:tcPr>
          <w:p w14:paraId="49C117C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99" w:type="dxa"/>
          </w:tcPr>
          <w:p w14:paraId="3652804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4260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838" w:type="dxa"/>
            <w:vAlign w:val="center"/>
          </w:tcPr>
          <w:p w14:paraId="7E45A1C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14</w:t>
            </w:r>
          </w:p>
        </w:tc>
        <w:tc>
          <w:tcPr>
            <w:tcW w:w="1404" w:type="dxa"/>
            <w:vMerge w:val="continue"/>
            <w:vAlign w:val="center"/>
          </w:tcPr>
          <w:p w14:paraId="64F1CFF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6AB063CC">
            <w:pPr>
              <w:keepNext w:val="0"/>
              <w:keepLines w:val="0"/>
              <w:pageBreakBefore w:val="0"/>
              <w:widowControl/>
              <w:kinsoku/>
              <w:overflowPunct/>
              <w:bidi w:val="0"/>
              <w:adjustRightInd/>
              <w:spacing w:line="280" w:lineRule="exact"/>
              <w:ind w:left="0" w:leftChars="0" w:firstLine="0" w:firstLineChars="0"/>
              <w:jc w:val="left"/>
              <w:textAlignment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4"/>
              </w:rPr>
              <w:t>事故状态下座舱紧急降落装置故障或疏导乘客、救生措配备不足</w:t>
            </w:r>
          </w:p>
        </w:tc>
        <w:tc>
          <w:tcPr>
            <w:tcW w:w="5100" w:type="dxa"/>
            <w:vAlign w:val="center"/>
          </w:tcPr>
          <w:p w14:paraId="270771D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每日检查紧急降落装置等安全装置情况</w:t>
            </w:r>
          </w:p>
          <w:p w14:paraId="035B7E8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c>
          <w:tcPr>
            <w:tcW w:w="1437" w:type="dxa"/>
            <w:vAlign w:val="center"/>
          </w:tcPr>
          <w:p w14:paraId="20CC934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372" w:type="dxa"/>
            <w:vAlign w:val="center"/>
          </w:tcPr>
          <w:p w14:paraId="3DEA684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99" w:type="dxa"/>
          </w:tcPr>
          <w:p w14:paraId="30ACC31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24C15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838" w:type="dxa"/>
            <w:vAlign w:val="center"/>
          </w:tcPr>
          <w:p w14:paraId="7AA38CF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15</w:t>
            </w:r>
          </w:p>
        </w:tc>
        <w:tc>
          <w:tcPr>
            <w:tcW w:w="1404" w:type="dxa"/>
            <w:vMerge w:val="continue"/>
            <w:vAlign w:val="center"/>
          </w:tcPr>
          <w:p w14:paraId="1F22799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0DAF555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4"/>
              </w:rPr>
              <w:t>风速计故障及缺损，避雷装置缺损或接地电阻不符合规定</w:t>
            </w:r>
          </w:p>
        </w:tc>
        <w:tc>
          <w:tcPr>
            <w:tcW w:w="5100" w:type="dxa"/>
            <w:vAlign w:val="center"/>
          </w:tcPr>
          <w:p w14:paraId="18FE70F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每日检查风速仪、避雷装置等安全装置情况</w:t>
            </w:r>
          </w:p>
        </w:tc>
        <w:tc>
          <w:tcPr>
            <w:tcW w:w="1437" w:type="dxa"/>
            <w:vAlign w:val="center"/>
          </w:tcPr>
          <w:p w14:paraId="636DE75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372" w:type="dxa"/>
            <w:vAlign w:val="center"/>
          </w:tcPr>
          <w:p w14:paraId="2EA0307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99" w:type="dxa"/>
          </w:tcPr>
          <w:p w14:paraId="3853AFE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5B9A8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838" w:type="dxa"/>
            <w:vAlign w:val="center"/>
          </w:tcPr>
          <w:p w14:paraId="35BFEBE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16</w:t>
            </w:r>
          </w:p>
        </w:tc>
        <w:tc>
          <w:tcPr>
            <w:tcW w:w="1404" w:type="dxa"/>
            <w:vMerge w:val="continue"/>
            <w:vAlign w:val="center"/>
          </w:tcPr>
          <w:p w14:paraId="285CB7C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002BF4D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4"/>
              </w:rPr>
              <w:t>安全标识缺损</w:t>
            </w:r>
          </w:p>
        </w:tc>
        <w:tc>
          <w:tcPr>
            <w:tcW w:w="5100" w:type="dxa"/>
            <w:vAlign w:val="center"/>
          </w:tcPr>
          <w:p w14:paraId="326D2B4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每日检查安全标示情况</w:t>
            </w:r>
          </w:p>
        </w:tc>
        <w:tc>
          <w:tcPr>
            <w:tcW w:w="1437" w:type="dxa"/>
            <w:vAlign w:val="center"/>
          </w:tcPr>
          <w:p w14:paraId="39D5D3F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372" w:type="dxa"/>
            <w:vAlign w:val="center"/>
          </w:tcPr>
          <w:p w14:paraId="54782F3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99" w:type="dxa"/>
          </w:tcPr>
          <w:p w14:paraId="5A7B671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p>
        </w:tc>
      </w:tr>
      <w:tr w14:paraId="6AABB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838" w:type="dxa"/>
            <w:vAlign w:val="center"/>
          </w:tcPr>
          <w:p w14:paraId="22BB0AE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kern w:val="0"/>
                <w:sz w:val="24"/>
                <w:szCs w:val="22"/>
              </w:rPr>
              <w:t>17</w:t>
            </w:r>
          </w:p>
        </w:tc>
        <w:tc>
          <w:tcPr>
            <w:tcW w:w="1404" w:type="dxa"/>
            <w:vMerge w:val="restart"/>
            <w:vAlign w:val="center"/>
          </w:tcPr>
          <w:p w14:paraId="5696D36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环境因素</w:t>
            </w:r>
          </w:p>
        </w:tc>
        <w:tc>
          <w:tcPr>
            <w:tcW w:w="2673" w:type="dxa"/>
            <w:vAlign w:val="center"/>
          </w:tcPr>
          <w:p w14:paraId="0E043A9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大型游乐设施使用场所为易发生滑坡、泥石流等自然灾害的区域；</w:t>
            </w:r>
          </w:p>
        </w:tc>
        <w:tc>
          <w:tcPr>
            <w:tcW w:w="5100" w:type="dxa"/>
            <w:vAlign w:val="center"/>
          </w:tcPr>
          <w:p w14:paraId="5F247B7A">
            <w:pPr>
              <w:keepNext w:val="0"/>
              <w:keepLines w:val="0"/>
              <w:pageBreakBefore w:val="0"/>
              <w:numPr>
                <w:ilvl w:val="0"/>
                <w:numId w:val="33"/>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检查大型游乐设施的场地是否在易发生自然灾害的场所；</w:t>
            </w:r>
          </w:p>
          <w:p w14:paraId="25B06AD0">
            <w:pPr>
              <w:keepNext w:val="0"/>
              <w:keepLines w:val="0"/>
              <w:pageBreakBefore w:val="0"/>
              <w:numPr>
                <w:ilvl w:val="0"/>
                <w:numId w:val="33"/>
              </w:numPr>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关注气象预报，及时采取防范措施。</w:t>
            </w:r>
          </w:p>
        </w:tc>
        <w:tc>
          <w:tcPr>
            <w:tcW w:w="1437" w:type="dxa"/>
            <w:vAlign w:val="center"/>
          </w:tcPr>
          <w:p w14:paraId="5FF59F6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周排查</w:t>
            </w:r>
          </w:p>
        </w:tc>
        <w:tc>
          <w:tcPr>
            <w:tcW w:w="1372" w:type="dxa"/>
            <w:vAlign w:val="center"/>
          </w:tcPr>
          <w:p w14:paraId="0110F14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安全总监</w:t>
            </w:r>
          </w:p>
        </w:tc>
        <w:tc>
          <w:tcPr>
            <w:tcW w:w="999" w:type="dxa"/>
          </w:tcPr>
          <w:p w14:paraId="3F46402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E8E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38" w:type="dxa"/>
            <w:vAlign w:val="center"/>
          </w:tcPr>
          <w:p w14:paraId="2FF52771">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18</w:t>
            </w:r>
          </w:p>
        </w:tc>
        <w:tc>
          <w:tcPr>
            <w:tcW w:w="1404" w:type="dxa"/>
            <w:vMerge w:val="continue"/>
            <w:vAlign w:val="center"/>
          </w:tcPr>
          <w:p w14:paraId="3D05777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4364A24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大型游乐设施未按有关规定设置警示标志或说明</w:t>
            </w:r>
          </w:p>
        </w:tc>
        <w:tc>
          <w:tcPr>
            <w:tcW w:w="5100" w:type="dxa"/>
            <w:vAlign w:val="center"/>
          </w:tcPr>
          <w:p w14:paraId="1033949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每日检查安全警示标志的张贴情况</w:t>
            </w:r>
          </w:p>
        </w:tc>
        <w:tc>
          <w:tcPr>
            <w:tcW w:w="1437" w:type="dxa"/>
            <w:vAlign w:val="center"/>
          </w:tcPr>
          <w:p w14:paraId="638CA55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372" w:type="dxa"/>
            <w:vAlign w:val="center"/>
          </w:tcPr>
          <w:p w14:paraId="47083FB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99" w:type="dxa"/>
          </w:tcPr>
          <w:p w14:paraId="62611C5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2D26C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38" w:type="dxa"/>
            <w:vAlign w:val="center"/>
          </w:tcPr>
          <w:p w14:paraId="0FBC4F1E">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19</w:t>
            </w:r>
          </w:p>
        </w:tc>
        <w:tc>
          <w:tcPr>
            <w:tcW w:w="1404" w:type="dxa"/>
            <w:vMerge w:val="continue"/>
            <w:vAlign w:val="center"/>
          </w:tcPr>
          <w:p w14:paraId="0016CBD4">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p>
        </w:tc>
        <w:tc>
          <w:tcPr>
            <w:tcW w:w="2673" w:type="dxa"/>
            <w:vAlign w:val="center"/>
          </w:tcPr>
          <w:p w14:paraId="425143D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大型游乐设施运行存在不符合安全距离等要求的情况。</w:t>
            </w:r>
          </w:p>
        </w:tc>
        <w:tc>
          <w:tcPr>
            <w:tcW w:w="5100" w:type="dxa"/>
            <w:vAlign w:val="center"/>
          </w:tcPr>
          <w:p w14:paraId="23A2EBB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检查大型游乐设施与周边建筑物等设施设备保持安全距离</w:t>
            </w:r>
          </w:p>
        </w:tc>
        <w:tc>
          <w:tcPr>
            <w:tcW w:w="1437" w:type="dxa"/>
            <w:vAlign w:val="center"/>
          </w:tcPr>
          <w:p w14:paraId="6C1A899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日管控</w:t>
            </w:r>
          </w:p>
        </w:tc>
        <w:tc>
          <w:tcPr>
            <w:tcW w:w="1372" w:type="dxa"/>
            <w:vAlign w:val="center"/>
          </w:tcPr>
          <w:p w14:paraId="4A2393A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安全员</w:t>
            </w:r>
          </w:p>
        </w:tc>
        <w:tc>
          <w:tcPr>
            <w:tcW w:w="999" w:type="dxa"/>
          </w:tcPr>
          <w:p w14:paraId="74B696D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430F1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38" w:type="dxa"/>
            <w:vAlign w:val="center"/>
          </w:tcPr>
          <w:p w14:paraId="24DA7F4E">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20</w:t>
            </w:r>
          </w:p>
        </w:tc>
        <w:tc>
          <w:tcPr>
            <w:tcW w:w="1404" w:type="dxa"/>
            <w:vAlign w:val="center"/>
          </w:tcPr>
          <w:p w14:paraId="27E77D6A">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政府监督、通报、预警</w:t>
            </w:r>
          </w:p>
        </w:tc>
        <w:tc>
          <w:tcPr>
            <w:tcW w:w="2673" w:type="dxa"/>
            <w:vAlign w:val="center"/>
          </w:tcPr>
          <w:p w14:paraId="61E3147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100" w:type="dxa"/>
            <w:vAlign w:val="center"/>
          </w:tcPr>
          <w:p w14:paraId="294EDBE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437" w:type="dxa"/>
            <w:vAlign w:val="center"/>
          </w:tcPr>
          <w:p w14:paraId="10D7332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372" w:type="dxa"/>
            <w:vAlign w:val="center"/>
          </w:tcPr>
          <w:p w14:paraId="039A49F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99" w:type="dxa"/>
          </w:tcPr>
          <w:p w14:paraId="0A84E8B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2062C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38" w:type="dxa"/>
            <w:vAlign w:val="center"/>
          </w:tcPr>
          <w:p w14:paraId="627FBF49">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21</w:t>
            </w:r>
          </w:p>
        </w:tc>
        <w:tc>
          <w:tcPr>
            <w:tcW w:w="1404" w:type="dxa"/>
            <w:vAlign w:val="center"/>
          </w:tcPr>
          <w:p w14:paraId="0C43892E">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sz w:val="24"/>
                <w:szCs w:val="22"/>
              </w:rPr>
              <w:t>投诉举报</w:t>
            </w:r>
          </w:p>
        </w:tc>
        <w:tc>
          <w:tcPr>
            <w:tcW w:w="2673" w:type="dxa"/>
            <w:vAlign w:val="center"/>
          </w:tcPr>
          <w:p w14:paraId="4B669C8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100" w:type="dxa"/>
            <w:vAlign w:val="center"/>
          </w:tcPr>
          <w:p w14:paraId="4BEE323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记录，整改，消除安全隐患。</w:t>
            </w:r>
          </w:p>
        </w:tc>
        <w:tc>
          <w:tcPr>
            <w:tcW w:w="1437" w:type="dxa"/>
            <w:vAlign w:val="center"/>
          </w:tcPr>
          <w:p w14:paraId="3299C67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372" w:type="dxa"/>
            <w:vAlign w:val="center"/>
          </w:tcPr>
          <w:p w14:paraId="55F6EF8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99" w:type="dxa"/>
          </w:tcPr>
          <w:p w14:paraId="0ECA66E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r w14:paraId="3B860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838" w:type="dxa"/>
            <w:vAlign w:val="center"/>
          </w:tcPr>
          <w:p w14:paraId="2B1FC936">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kern w:val="0"/>
                <w:sz w:val="24"/>
                <w:szCs w:val="22"/>
              </w:rPr>
            </w:pPr>
            <w:r>
              <w:rPr>
                <w:rFonts w:hint="default" w:ascii="Times New Roman" w:hAnsi="Times New Roman" w:eastAsia="宋体" w:cs="Times New Roman"/>
                <w:b w:val="0"/>
                <w:bCs w:val="0"/>
                <w:kern w:val="0"/>
                <w:sz w:val="24"/>
                <w:szCs w:val="22"/>
              </w:rPr>
              <w:t>22</w:t>
            </w:r>
          </w:p>
        </w:tc>
        <w:tc>
          <w:tcPr>
            <w:tcW w:w="1404" w:type="dxa"/>
            <w:vAlign w:val="center"/>
          </w:tcPr>
          <w:p w14:paraId="00FEC8F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舆情信息</w:t>
            </w:r>
          </w:p>
        </w:tc>
        <w:tc>
          <w:tcPr>
            <w:tcW w:w="2673" w:type="dxa"/>
            <w:vAlign w:val="center"/>
          </w:tcPr>
          <w:p w14:paraId="4042B8E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发现不合格项</w:t>
            </w:r>
          </w:p>
        </w:tc>
        <w:tc>
          <w:tcPr>
            <w:tcW w:w="5100" w:type="dxa"/>
            <w:vAlign w:val="center"/>
          </w:tcPr>
          <w:p w14:paraId="0CFA527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4"/>
                <w:szCs w:val="22"/>
              </w:rPr>
            </w:pPr>
            <w:r>
              <w:rPr>
                <w:rFonts w:hint="default" w:ascii="Times New Roman" w:hAnsi="Times New Roman" w:eastAsia="宋体" w:cs="Times New Roman"/>
                <w:b w:val="0"/>
                <w:bCs w:val="0"/>
                <w:sz w:val="24"/>
                <w:szCs w:val="22"/>
              </w:rPr>
              <w:t>记录，整改</w:t>
            </w:r>
          </w:p>
        </w:tc>
        <w:tc>
          <w:tcPr>
            <w:tcW w:w="1437" w:type="dxa"/>
            <w:vAlign w:val="center"/>
          </w:tcPr>
          <w:p w14:paraId="5993780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月调度</w:t>
            </w:r>
          </w:p>
        </w:tc>
        <w:tc>
          <w:tcPr>
            <w:tcW w:w="1372" w:type="dxa"/>
            <w:vAlign w:val="center"/>
          </w:tcPr>
          <w:p w14:paraId="320A92F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主要负责人</w:t>
            </w:r>
          </w:p>
        </w:tc>
        <w:tc>
          <w:tcPr>
            <w:tcW w:w="999" w:type="dxa"/>
          </w:tcPr>
          <w:p w14:paraId="728ED0E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sz w:val="21"/>
                <w:szCs w:val="21"/>
              </w:rPr>
            </w:pPr>
          </w:p>
        </w:tc>
      </w:tr>
    </w:tbl>
    <w:p w14:paraId="55FEB60C">
      <w:pPr>
        <w:keepNext w:val="0"/>
        <w:keepLines w:val="0"/>
        <w:pageBreakBefore w:val="0"/>
        <w:widowControl/>
        <w:kinsoku/>
        <w:overflowPunct/>
        <w:bidi w:val="0"/>
        <w:adjustRightInd/>
        <w:spacing w:line="280" w:lineRule="exact"/>
        <w:ind w:left="0" w:leftChars="0" w:firstLine="480" w:firstLineChars="200"/>
        <w:jc w:val="both"/>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备注</w:t>
      </w:r>
      <w:r>
        <w:rPr>
          <w:rFonts w:hint="default" w:ascii="Times New Roman" w:hAnsi="Times New Roman" w:eastAsia="宋体" w:cs="Times New Roman"/>
          <w:b w:val="0"/>
          <w:bCs w:val="0"/>
          <w:color w:val="000000"/>
          <w:kern w:val="0"/>
          <w:sz w:val="24"/>
          <w:szCs w:val="22"/>
        </w:rPr>
        <w:t>：</w:t>
      </w:r>
      <w:r>
        <w:rPr>
          <w:rFonts w:hint="default" w:ascii="Times New Roman" w:hAnsi="Times New Roman" w:eastAsia="宋体" w:cs="Times New Roman"/>
          <w:b w:val="0"/>
          <w:bCs w:val="0"/>
          <w:color w:val="000000"/>
          <w:sz w:val="24"/>
          <w:szCs w:val="24"/>
        </w:rPr>
        <w:t>本清单为推荐性格式，仅规定了应当进行日管控、周排查、月调度的基本项目，大型游乐设施使用单位应当结合本单位实际情况和具体要求，细化风险管控清单，合理调整管控形式。</w:t>
      </w:r>
    </w:p>
    <w:p w14:paraId="3F3AE66A">
      <w:pPr>
        <w:keepNext w:val="0"/>
        <w:keepLines w:val="0"/>
        <w:pageBreakBefore w:val="0"/>
        <w:kinsoku/>
        <w:overflowPunct/>
        <w:bidi w:val="0"/>
        <w:adjustRightInd/>
        <w:spacing w:line="280" w:lineRule="exact"/>
        <w:rPr>
          <w:rFonts w:hint="default" w:ascii="Times New Roman" w:hAnsi="Times New Roman" w:eastAsia="宋体" w:cs="Times New Roman"/>
          <w:b w:val="0"/>
          <w:bCs w:val="0"/>
          <w:sz w:val="36"/>
          <w:szCs w:val="36"/>
        </w:rPr>
      </w:pPr>
      <w:r>
        <w:rPr>
          <w:rFonts w:hint="default" w:ascii="Times New Roman" w:hAnsi="Times New Roman" w:eastAsia="宋体" w:cs="Times New Roman"/>
          <w:b w:val="0"/>
          <w:bCs w:val="0"/>
          <w:sz w:val="36"/>
          <w:szCs w:val="36"/>
        </w:rPr>
        <w:br w:type="page"/>
      </w:r>
    </w:p>
    <w:p w14:paraId="37AA25E3">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val="0"/>
          <w:bCs w:val="0"/>
          <w:color w:val="000000"/>
          <w:sz w:val="36"/>
          <w:szCs w:val="36"/>
        </w:rPr>
      </w:pPr>
      <w:r>
        <w:rPr>
          <w:rFonts w:hint="default" w:ascii="Times New Roman" w:hAnsi="Times New Roman" w:eastAsia="宋体" w:cs="Times New Roman"/>
          <w:b w:val="0"/>
          <w:bCs w:val="0"/>
          <w:color w:val="000000"/>
          <w:sz w:val="36"/>
          <w:szCs w:val="36"/>
        </w:rPr>
        <w:t>客运索道安全风险管控清单</w:t>
      </w:r>
      <w:r>
        <w:rPr>
          <w:rFonts w:hint="default" w:ascii="Times New Roman" w:hAnsi="Times New Roman" w:eastAsia="宋体" w:cs="Times New Roman"/>
          <w:b w:val="0"/>
          <w:bCs w:val="0"/>
          <w:sz w:val="36"/>
          <w:szCs w:val="36"/>
          <w:lang w:eastAsia="zh-CN"/>
        </w:rPr>
        <w:t>（供参考）</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4"/>
        <w:gridCol w:w="1582"/>
        <w:gridCol w:w="3130"/>
        <w:gridCol w:w="4301"/>
        <w:gridCol w:w="1642"/>
        <w:gridCol w:w="1454"/>
        <w:gridCol w:w="890"/>
      </w:tblGrid>
      <w:tr w14:paraId="451F4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blHeader/>
          <w:jc w:val="center"/>
        </w:trPr>
        <w:tc>
          <w:tcPr>
            <w:tcW w:w="824" w:type="dxa"/>
            <w:shd w:val="clear" w:color="auto" w:fill="BEBEBE"/>
            <w:vAlign w:val="center"/>
          </w:tcPr>
          <w:p w14:paraId="37576C8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序号</w:t>
            </w:r>
          </w:p>
        </w:tc>
        <w:tc>
          <w:tcPr>
            <w:tcW w:w="1582" w:type="dxa"/>
            <w:shd w:val="clear" w:color="auto" w:fill="BEBEBE"/>
            <w:vAlign w:val="center"/>
          </w:tcPr>
          <w:p w14:paraId="2DEB2CB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风险类别</w:t>
            </w:r>
          </w:p>
        </w:tc>
        <w:tc>
          <w:tcPr>
            <w:tcW w:w="3130" w:type="dxa"/>
            <w:shd w:val="clear" w:color="auto" w:fill="BEBEBE"/>
            <w:vAlign w:val="center"/>
          </w:tcPr>
          <w:p w14:paraId="15BC77B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风险因素</w:t>
            </w:r>
          </w:p>
        </w:tc>
        <w:tc>
          <w:tcPr>
            <w:tcW w:w="4301" w:type="dxa"/>
            <w:shd w:val="clear" w:color="auto" w:fill="BEBEBE"/>
            <w:vAlign w:val="center"/>
          </w:tcPr>
          <w:p w14:paraId="37A5470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风险管控措施</w:t>
            </w:r>
          </w:p>
        </w:tc>
        <w:tc>
          <w:tcPr>
            <w:tcW w:w="1642" w:type="dxa"/>
            <w:shd w:val="clear" w:color="auto" w:fill="BEBEBE"/>
            <w:vAlign w:val="center"/>
          </w:tcPr>
          <w:p w14:paraId="760A413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管控形式</w:t>
            </w:r>
          </w:p>
        </w:tc>
        <w:tc>
          <w:tcPr>
            <w:tcW w:w="1454" w:type="dxa"/>
            <w:shd w:val="clear" w:color="auto" w:fill="BEBEBE"/>
            <w:vAlign w:val="center"/>
          </w:tcPr>
          <w:p w14:paraId="6FE9DC6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责任人</w:t>
            </w:r>
          </w:p>
        </w:tc>
        <w:tc>
          <w:tcPr>
            <w:tcW w:w="890" w:type="dxa"/>
            <w:shd w:val="clear" w:color="auto" w:fill="BEBEBE"/>
          </w:tcPr>
          <w:p w14:paraId="0C98308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备注</w:t>
            </w:r>
          </w:p>
        </w:tc>
      </w:tr>
      <w:tr w14:paraId="5F0F0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jc w:val="center"/>
        </w:trPr>
        <w:tc>
          <w:tcPr>
            <w:tcW w:w="824" w:type="dxa"/>
            <w:vAlign w:val="center"/>
          </w:tcPr>
          <w:p w14:paraId="6ADE36F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w:t>
            </w:r>
          </w:p>
        </w:tc>
        <w:tc>
          <w:tcPr>
            <w:tcW w:w="1582" w:type="dxa"/>
            <w:vMerge w:val="restart"/>
            <w:vAlign w:val="center"/>
          </w:tcPr>
          <w:p w14:paraId="77C5724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人员</w:t>
            </w:r>
          </w:p>
        </w:tc>
        <w:tc>
          <w:tcPr>
            <w:tcW w:w="3130" w:type="dxa"/>
            <w:vAlign w:val="center"/>
          </w:tcPr>
          <w:p w14:paraId="03274D4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未按规定配备安全管理人员和作业人员</w:t>
            </w:r>
          </w:p>
        </w:tc>
        <w:tc>
          <w:tcPr>
            <w:tcW w:w="4301" w:type="dxa"/>
            <w:vAlign w:val="center"/>
          </w:tcPr>
          <w:p w14:paraId="0EA4799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1.建立特种设备安全管理人员与作业人员管理制度；</w:t>
            </w:r>
          </w:p>
          <w:p w14:paraId="1D59167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2.按规定配备相关人员。</w:t>
            </w:r>
          </w:p>
        </w:tc>
        <w:tc>
          <w:tcPr>
            <w:tcW w:w="1642" w:type="dxa"/>
            <w:vAlign w:val="center"/>
          </w:tcPr>
          <w:p w14:paraId="68C01A1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月调度</w:t>
            </w:r>
          </w:p>
        </w:tc>
        <w:tc>
          <w:tcPr>
            <w:tcW w:w="1454" w:type="dxa"/>
            <w:vAlign w:val="center"/>
          </w:tcPr>
          <w:p w14:paraId="427F6DF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主要负责人</w:t>
            </w:r>
          </w:p>
        </w:tc>
        <w:tc>
          <w:tcPr>
            <w:tcW w:w="890" w:type="dxa"/>
          </w:tcPr>
          <w:p w14:paraId="70CD431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484A2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824" w:type="dxa"/>
            <w:vAlign w:val="center"/>
          </w:tcPr>
          <w:p w14:paraId="2F9EEC4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2</w:t>
            </w:r>
          </w:p>
        </w:tc>
        <w:tc>
          <w:tcPr>
            <w:tcW w:w="1582" w:type="dxa"/>
            <w:vMerge w:val="continue"/>
            <w:vAlign w:val="center"/>
          </w:tcPr>
          <w:p w14:paraId="4318D5E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1353A83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作业人员未持有相应资格证件</w:t>
            </w:r>
          </w:p>
        </w:tc>
        <w:tc>
          <w:tcPr>
            <w:tcW w:w="4301" w:type="dxa"/>
            <w:vAlign w:val="center"/>
          </w:tcPr>
          <w:p w14:paraId="7DD2CEC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配备具有相应资质的作业人员，加强资格证的换证管理</w:t>
            </w:r>
          </w:p>
        </w:tc>
        <w:tc>
          <w:tcPr>
            <w:tcW w:w="1642" w:type="dxa"/>
            <w:vAlign w:val="center"/>
          </w:tcPr>
          <w:p w14:paraId="65FA87A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400AC92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597EE57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28803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824" w:type="dxa"/>
            <w:vAlign w:val="center"/>
          </w:tcPr>
          <w:p w14:paraId="0EE60BB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3</w:t>
            </w:r>
          </w:p>
        </w:tc>
        <w:tc>
          <w:tcPr>
            <w:tcW w:w="1582" w:type="dxa"/>
            <w:vMerge w:val="continue"/>
            <w:vAlign w:val="center"/>
          </w:tcPr>
          <w:p w14:paraId="2D8263A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2FF1348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未按规定对安全管理人员和作业人员开展安全教育培训</w:t>
            </w:r>
          </w:p>
        </w:tc>
        <w:tc>
          <w:tcPr>
            <w:tcW w:w="4301" w:type="dxa"/>
            <w:vAlign w:val="center"/>
          </w:tcPr>
          <w:p w14:paraId="5827BFB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按规定开展安全教育培训</w:t>
            </w:r>
          </w:p>
        </w:tc>
        <w:tc>
          <w:tcPr>
            <w:tcW w:w="1642" w:type="dxa"/>
            <w:vAlign w:val="center"/>
          </w:tcPr>
          <w:p w14:paraId="7595EC9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1AC96CA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5FB6608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4BE35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jc w:val="center"/>
        </w:trPr>
        <w:tc>
          <w:tcPr>
            <w:tcW w:w="824" w:type="dxa"/>
            <w:vAlign w:val="center"/>
          </w:tcPr>
          <w:p w14:paraId="60F6557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4</w:t>
            </w:r>
          </w:p>
        </w:tc>
        <w:tc>
          <w:tcPr>
            <w:tcW w:w="1582" w:type="dxa"/>
            <w:vMerge w:val="continue"/>
            <w:vAlign w:val="center"/>
          </w:tcPr>
          <w:p w14:paraId="69A669B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38FB3A6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作业人员违章作业或到岗值守情况不符合要求</w:t>
            </w:r>
          </w:p>
        </w:tc>
        <w:tc>
          <w:tcPr>
            <w:tcW w:w="4301" w:type="dxa"/>
            <w:vAlign w:val="center"/>
          </w:tcPr>
          <w:p w14:paraId="6768FE2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检查客运索道作业人员到岗值守情况，纠正和制止违章作业行为</w:t>
            </w:r>
          </w:p>
        </w:tc>
        <w:tc>
          <w:tcPr>
            <w:tcW w:w="1642" w:type="dxa"/>
            <w:vAlign w:val="center"/>
          </w:tcPr>
          <w:p w14:paraId="6274982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454" w:type="dxa"/>
            <w:vAlign w:val="center"/>
          </w:tcPr>
          <w:p w14:paraId="177F01E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tcPr>
          <w:p w14:paraId="6DE3C25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3752B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824" w:type="dxa"/>
            <w:vAlign w:val="center"/>
          </w:tcPr>
          <w:p w14:paraId="6070555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5</w:t>
            </w:r>
          </w:p>
        </w:tc>
        <w:tc>
          <w:tcPr>
            <w:tcW w:w="1582" w:type="dxa"/>
            <w:vMerge w:val="restart"/>
            <w:vAlign w:val="center"/>
          </w:tcPr>
          <w:p w14:paraId="698A036E">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kern w:val="0"/>
                <w:sz w:val="24"/>
                <w:szCs w:val="22"/>
              </w:rPr>
              <w:t>管理</w:t>
            </w:r>
          </w:p>
        </w:tc>
        <w:tc>
          <w:tcPr>
            <w:tcW w:w="3130" w:type="dxa"/>
            <w:vAlign w:val="center"/>
          </w:tcPr>
          <w:p w14:paraId="26243A0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未按规定设置安全管理机构</w:t>
            </w:r>
          </w:p>
        </w:tc>
        <w:tc>
          <w:tcPr>
            <w:tcW w:w="4301" w:type="dxa"/>
            <w:vAlign w:val="center"/>
          </w:tcPr>
          <w:p w14:paraId="5315487E">
            <w:pPr>
              <w:keepNext w:val="0"/>
              <w:keepLines w:val="0"/>
              <w:pageBreakBefore w:val="0"/>
              <w:widowControl w:val="0"/>
              <w:kinsoku/>
              <w:overflowPunct/>
              <w:bidi w:val="0"/>
              <w:adjustRightInd/>
              <w:spacing w:line="280" w:lineRule="exact"/>
              <w:ind w:firstLine="0" w:firstLineChars="0"/>
              <w:jc w:val="both"/>
              <w:rPr>
                <w:rFonts w:hint="default" w:ascii="Times New Roman" w:hAnsi="Times New Roman" w:eastAsia="宋体" w:cs="Times New Roman"/>
                <w:b w:val="0"/>
                <w:bCs w:val="0"/>
                <w:color w:val="000000"/>
                <w:kern w:val="2"/>
                <w:sz w:val="24"/>
                <w:szCs w:val="22"/>
                <w:lang w:val="en-US" w:eastAsia="zh-CN" w:bidi="ar-SA"/>
              </w:rPr>
            </w:pPr>
            <w:r>
              <w:rPr>
                <w:rFonts w:hint="default" w:ascii="Times New Roman" w:hAnsi="Times New Roman" w:eastAsia="宋体" w:cs="Times New Roman"/>
                <w:b w:val="0"/>
                <w:bCs w:val="0"/>
                <w:color w:val="000000"/>
                <w:kern w:val="2"/>
                <w:sz w:val="24"/>
                <w:szCs w:val="22"/>
                <w:lang w:val="en-US" w:eastAsia="zh-CN" w:bidi="ar-SA"/>
              </w:rPr>
              <w:t>按规定设置客运索道安全管理机构。</w:t>
            </w:r>
          </w:p>
        </w:tc>
        <w:tc>
          <w:tcPr>
            <w:tcW w:w="1642" w:type="dxa"/>
            <w:vAlign w:val="center"/>
          </w:tcPr>
          <w:p w14:paraId="587B916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月调度</w:t>
            </w:r>
          </w:p>
        </w:tc>
        <w:tc>
          <w:tcPr>
            <w:tcW w:w="1454" w:type="dxa"/>
            <w:vAlign w:val="center"/>
          </w:tcPr>
          <w:p w14:paraId="2B29B76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主要负责人</w:t>
            </w:r>
          </w:p>
        </w:tc>
        <w:tc>
          <w:tcPr>
            <w:tcW w:w="890" w:type="dxa"/>
          </w:tcPr>
          <w:p w14:paraId="16E9798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23D43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824" w:type="dxa"/>
            <w:vAlign w:val="center"/>
          </w:tcPr>
          <w:p w14:paraId="54FA194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6</w:t>
            </w:r>
          </w:p>
        </w:tc>
        <w:tc>
          <w:tcPr>
            <w:tcW w:w="1582" w:type="dxa"/>
            <w:vMerge w:val="continue"/>
            <w:vAlign w:val="center"/>
          </w:tcPr>
          <w:p w14:paraId="4D0E556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2"/>
              </w:rPr>
            </w:pPr>
          </w:p>
        </w:tc>
        <w:tc>
          <w:tcPr>
            <w:tcW w:w="3130" w:type="dxa"/>
            <w:vAlign w:val="center"/>
          </w:tcPr>
          <w:p w14:paraId="3A1F419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kern w:val="0"/>
                <w:sz w:val="24"/>
                <w:szCs w:val="22"/>
              </w:rPr>
              <w:t>未</w:t>
            </w:r>
            <w:r>
              <w:rPr>
                <w:rFonts w:hint="default" w:ascii="Times New Roman" w:hAnsi="Times New Roman" w:eastAsia="宋体" w:cs="Times New Roman"/>
                <w:b w:val="0"/>
                <w:bCs w:val="0"/>
                <w:color w:val="000000"/>
                <w:sz w:val="24"/>
                <w:szCs w:val="22"/>
              </w:rPr>
              <w:t>按规定制定管理制度、操作规程</w:t>
            </w:r>
          </w:p>
        </w:tc>
        <w:tc>
          <w:tcPr>
            <w:tcW w:w="4301" w:type="dxa"/>
            <w:vAlign w:val="center"/>
          </w:tcPr>
          <w:p w14:paraId="509687F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制定客运索道安全管理机构和相关人员岗位职责；</w:t>
            </w:r>
          </w:p>
          <w:p w14:paraId="100DCCF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制定《客运索道安全总监职责》《客运索道安全员守则》《客运索道安全日管控、周排查、月调度管理制度》；</w:t>
            </w:r>
          </w:p>
          <w:p w14:paraId="7453C2D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按规定建立客运索道操作规程。</w:t>
            </w:r>
          </w:p>
        </w:tc>
        <w:tc>
          <w:tcPr>
            <w:tcW w:w="1642" w:type="dxa"/>
            <w:vAlign w:val="center"/>
          </w:tcPr>
          <w:p w14:paraId="5D3E444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7B16920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00C5FDC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73D49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 w:hRule="atLeast"/>
          <w:jc w:val="center"/>
        </w:trPr>
        <w:tc>
          <w:tcPr>
            <w:tcW w:w="824" w:type="dxa"/>
            <w:vAlign w:val="center"/>
          </w:tcPr>
          <w:p w14:paraId="7EA9A5F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7</w:t>
            </w:r>
          </w:p>
        </w:tc>
        <w:tc>
          <w:tcPr>
            <w:tcW w:w="1582" w:type="dxa"/>
            <w:vMerge w:val="continue"/>
            <w:vAlign w:val="center"/>
          </w:tcPr>
          <w:p w14:paraId="5A6D166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3E61FBA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未建立安全技术档案</w:t>
            </w:r>
          </w:p>
        </w:tc>
        <w:tc>
          <w:tcPr>
            <w:tcW w:w="4301" w:type="dxa"/>
            <w:vAlign w:val="center"/>
          </w:tcPr>
          <w:p w14:paraId="4EC01EF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b w:val="0"/>
                <w:bCs w:val="0"/>
                <w:color w:val="000000"/>
                <w:sz w:val="24"/>
                <w:szCs w:val="22"/>
                <w:lang w:val="en-US" w:eastAsia="zh-CN"/>
              </w:rPr>
              <w:t>1.建立客运索道安全技术档案管理制度，明确档案内容及管理要求；</w:t>
            </w:r>
          </w:p>
          <w:p w14:paraId="403CC65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b w:val="0"/>
                <w:bCs w:val="0"/>
                <w:color w:val="000000"/>
                <w:sz w:val="24"/>
                <w:szCs w:val="22"/>
                <w:lang w:val="en-US" w:eastAsia="zh-CN"/>
              </w:rPr>
              <w:t xml:space="preserve">2.按规定建立安全技术档案并及时更新安全技术档案。 </w:t>
            </w:r>
          </w:p>
        </w:tc>
        <w:tc>
          <w:tcPr>
            <w:tcW w:w="1642" w:type="dxa"/>
            <w:vAlign w:val="center"/>
          </w:tcPr>
          <w:p w14:paraId="5583E6A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097218D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3DDE312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10C8F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824" w:type="dxa"/>
            <w:vAlign w:val="center"/>
          </w:tcPr>
          <w:p w14:paraId="30DA4A4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8</w:t>
            </w:r>
          </w:p>
        </w:tc>
        <w:tc>
          <w:tcPr>
            <w:tcW w:w="1582" w:type="dxa"/>
            <w:vMerge w:val="continue"/>
            <w:vAlign w:val="center"/>
          </w:tcPr>
          <w:p w14:paraId="41C6335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4EC8723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未按规定办理使用登记、变更登记及停用、报废等手续</w:t>
            </w:r>
          </w:p>
        </w:tc>
        <w:tc>
          <w:tcPr>
            <w:tcW w:w="4301" w:type="dxa"/>
            <w:vAlign w:val="center"/>
          </w:tcPr>
          <w:p w14:paraId="02B6179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1.建立使用管理制度和规程，明确相关内容及安全管理要求；</w:t>
            </w:r>
          </w:p>
          <w:p w14:paraId="23AB27F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2. 按规定办理使用登记、变更登记及停用、报废手续。</w:t>
            </w:r>
          </w:p>
        </w:tc>
        <w:tc>
          <w:tcPr>
            <w:tcW w:w="1642" w:type="dxa"/>
            <w:vAlign w:val="center"/>
          </w:tcPr>
          <w:p w14:paraId="40D5CC2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477E532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17B9FE0D">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25379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jc w:val="center"/>
        </w:trPr>
        <w:tc>
          <w:tcPr>
            <w:tcW w:w="824" w:type="dxa"/>
            <w:vAlign w:val="center"/>
          </w:tcPr>
          <w:p w14:paraId="1BC92D4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9</w:t>
            </w:r>
          </w:p>
        </w:tc>
        <w:tc>
          <w:tcPr>
            <w:tcW w:w="1582" w:type="dxa"/>
            <w:vMerge w:val="continue"/>
            <w:vAlign w:val="center"/>
          </w:tcPr>
          <w:p w14:paraId="1DBD614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65E23AA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未按规定制定客运索道事故应急专项预案并定期演练</w:t>
            </w:r>
          </w:p>
        </w:tc>
        <w:tc>
          <w:tcPr>
            <w:tcW w:w="4301" w:type="dxa"/>
            <w:vAlign w:val="center"/>
          </w:tcPr>
          <w:p w14:paraId="68343C4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制定客运索道事故应急专项预案并每年至少开展1次演练</w:t>
            </w:r>
          </w:p>
        </w:tc>
        <w:tc>
          <w:tcPr>
            <w:tcW w:w="1642" w:type="dxa"/>
            <w:vAlign w:val="center"/>
          </w:tcPr>
          <w:p w14:paraId="0648C30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月调度</w:t>
            </w:r>
          </w:p>
        </w:tc>
        <w:tc>
          <w:tcPr>
            <w:tcW w:w="1454" w:type="dxa"/>
            <w:vAlign w:val="center"/>
          </w:tcPr>
          <w:p w14:paraId="67708A1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主要负责人</w:t>
            </w:r>
          </w:p>
        </w:tc>
        <w:tc>
          <w:tcPr>
            <w:tcW w:w="890" w:type="dxa"/>
          </w:tcPr>
          <w:p w14:paraId="3B33439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2185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824" w:type="dxa"/>
            <w:vAlign w:val="center"/>
          </w:tcPr>
          <w:p w14:paraId="4C04FD7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10</w:t>
            </w:r>
          </w:p>
        </w:tc>
        <w:tc>
          <w:tcPr>
            <w:tcW w:w="1582" w:type="dxa"/>
            <w:vMerge w:val="restart"/>
            <w:vAlign w:val="center"/>
          </w:tcPr>
          <w:p w14:paraId="7C71A79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客运索道</w:t>
            </w:r>
          </w:p>
          <w:p w14:paraId="666B59C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本体</w:t>
            </w:r>
          </w:p>
        </w:tc>
        <w:tc>
          <w:tcPr>
            <w:tcW w:w="3130" w:type="dxa"/>
            <w:vAlign w:val="center"/>
          </w:tcPr>
          <w:p w14:paraId="1D2F509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选用国家明令禁止或淘汰的客运索道产品</w:t>
            </w:r>
          </w:p>
        </w:tc>
        <w:tc>
          <w:tcPr>
            <w:tcW w:w="4301" w:type="dxa"/>
            <w:vAlign w:val="center"/>
          </w:tcPr>
          <w:p w14:paraId="1A70DBF6">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lang w:val="en-US" w:eastAsia="zh-CN"/>
              </w:rPr>
            </w:pPr>
            <w:r>
              <w:rPr>
                <w:rFonts w:hint="default" w:ascii="Times New Roman" w:hAnsi="Times New Roman" w:eastAsia="宋体" w:cs="Times New Roman"/>
                <w:b w:val="0"/>
                <w:bCs w:val="0"/>
                <w:color w:val="000000"/>
                <w:sz w:val="24"/>
                <w:szCs w:val="22"/>
                <w:lang w:val="en-US" w:eastAsia="zh-CN"/>
              </w:rPr>
              <w:t>建立采购管理制度，明确采购、验收要求</w:t>
            </w:r>
          </w:p>
        </w:tc>
        <w:tc>
          <w:tcPr>
            <w:tcW w:w="1642" w:type="dxa"/>
            <w:vAlign w:val="center"/>
          </w:tcPr>
          <w:p w14:paraId="6E15670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月调度</w:t>
            </w:r>
          </w:p>
        </w:tc>
        <w:tc>
          <w:tcPr>
            <w:tcW w:w="1454" w:type="dxa"/>
            <w:vAlign w:val="center"/>
          </w:tcPr>
          <w:p w14:paraId="7FC79D4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主要负责人</w:t>
            </w:r>
          </w:p>
        </w:tc>
        <w:tc>
          <w:tcPr>
            <w:tcW w:w="890" w:type="dxa"/>
          </w:tcPr>
          <w:p w14:paraId="5A58499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2A5D0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5" w:hRule="atLeast"/>
          <w:jc w:val="center"/>
        </w:trPr>
        <w:tc>
          <w:tcPr>
            <w:tcW w:w="824" w:type="dxa"/>
            <w:vAlign w:val="center"/>
          </w:tcPr>
          <w:p w14:paraId="421EC1C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11</w:t>
            </w:r>
          </w:p>
        </w:tc>
        <w:tc>
          <w:tcPr>
            <w:tcW w:w="1582" w:type="dxa"/>
            <w:vMerge w:val="continue"/>
            <w:vAlign w:val="center"/>
          </w:tcPr>
          <w:p w14:paraId="77276D98">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7C9D4BA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未按规定进行试运行和例行安全检查</w:t>
            </w:r>
          </w:p>
        </w:tc>
        <w:tc>
          <w:tcPr>
            <w:tcW w:w="4301" w:type="dxa"/>
            <w:vAlign w:val="center"/>
          </w:tcPr>
          <w:p w14:paraId="676EC2A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1.制定试运行方案，试运行过程中的技术、安全保障措施，在每日投入使用前，按规定进行试运行并做好相应记录；</w:t>
            </w:r>
          </w:p>
          <w:p w14:paraId="5EFDF41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2.在每日投入使用前，按操作规程进行例行安全检查。</w:t>
            </w:r>
          </w:p>
        </w:tc>
        <w:tc>
          <w:tcPr>
            <w:tcW w:w="1642" w:type="dxa"/>
            <w:vAlign w:val="center"/>
          </w:tcPr>
          <w:p w14:paraId="164662A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3F8E0B6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59AFA04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06AFD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824" w:type="dxa"/>
            <w:vAlign w:val="center"/>
          </w:tcPr>
          <w:p w14:paraId="573C85D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12</w:t>
            </w:r>
          </w:p>
        </w:tc>
        <w:tc>
          <w:tcPr>
            <w:tcW w:w="1582" w:type="dxa"/>
            <w:vMerge w:val="continue"/>
            <w:vAlign w:val="center"/>
          </w:tcPr>
          <w:p w14:paraId="717E844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4DB34EA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未按规定进行维护保养和自行检查</w:t>
            </w:r>
          </w:p>
        </w:tc>
        <w:tc>
          <w:tcPr>
            <w:tcW w:w="4301" w:type="dxa"/>
            <w:vAlign w:val="center"/>
          </w:tcPr>
          <w:p w14:paraId="7D007EC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按规定制定维护保养制度和定期自行检查制度，组织开展维护保养和定期自行检查并做好相应记录</w:t>
            </w:r>
          </w:p>
        </w:tc>
        <w:tc>
          <w:tcPr>
            <w:tcW w:w="1642" w:type="dxa"/>
            <w:vAlign w:val="center"/>
          </w:tcPr>
          <w:p w14:paraId="1199AD6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454" w:type="dxa"/>
            <w:vAlign w:val="center"/>
          </w:tcPr>
          <w:p w14:paraId="4C6C358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tcPr>
          <w:p w14:paraId="630AE09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6D121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824" w:type="dxa"/>
            <w:vAlign w:val="center"/>
          </w:tcPr>
          <w:p w14:paraId="2AD7C52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13</w:t>
            </w:r>
          </w:p>
        </w:tc>
        <w:tc>
          <w:tcPr>
            <w:tcW w:w="1582" w:type="dxa"/>
            <w:vMerge w:val="continue"/>
            <w:vAlign w:val="center"/>
          </w:tcPr>
          <w:p w14:paraId="5D2FA65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04F3790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 xml:space="preserve">未按规定进行定期检验、监督检验 </w:t>
            </w:r>
          </w:p>
        </w:tc>
        <w:tc>
          <w:tcPr>
            <w:tcW w:w="4301" w:type="dxa"/>
            <w:vAlign w:val="center"/>
          </w:tcPr>
          <w:p w14:paraId="73B5A13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制定定期检验、监督检验计划并组织实施，落实定期检验、监督检验的后续整改工作</w:t>
            </w:r>
          </w:p>
        </w:tc>
        <w:tc>
          <w:tcPr>
            <w:tcW w:w="1642" w:type="dxa"/>
            <w:vAlign w:val="center"/>
          </w:tcPr>
          <w:p w14:paraId="64012E50">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0E7DF302">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7E8F1F1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1C5B4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824" w:type="dxa"/>
            <w:vAlign w:val="center"/>
          </w:tcPr>
          <w:p w14:paraId="1A71194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14</w:t>
            </w:r>
          </w:p>
        </w:tc>
        <w:tc>
          <w:tcPr>
            <w:tcW w:w="1582" w:type="dxa"/>
            <w:vMerge w:val="restart"/>
            <w:vAlign w:val="center"/>
          </w:tcPr>
          <w:p w14:paraId="35C610A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安全附件、</w:t>
            </w:r>
          </w:p>
          <w:p w14:paraId="20C904F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安全保护装置和相关附属设施</w:t>
            </w:r>
          </w:p>
        </w:tc>
        <w:tc>
          <w:tcPr>
            <w:tcW w:w="3130" w:type="dxa"/>
            <w:vAlign w:val="center"/>
          </w:tcPr>
          <w:p w14:paraId="7947F6C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未将安全使用说明、安全注意事项、警示标志和乘客须知置于易于为乘客注意的显著位置</w:t>
            </w:r>
          </w:p>
        </w:tc>
        <w:tc>
          <w:tcPr>
            <w:tcW w:w="4301" w:type="dxa"/>
            <w:vAlign w:val="center"/>
          </w:tcPr>
          <w:p w14:paraId="0C204F1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1.将客运索道安全使用标志悬挂或者固定在易于乘客注意的显著位置；在上下站醒目位置设置索道乘坐须知；通过广播电视宣传乘坐索道安全注意事项；人工提醒乘客；</w:t>
            </w:r>
          </w:p>
          <w:p w14:paraId="7234323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2.在上下站台行车区设置禁止入内安全标识；提醒乘客每车乘人数；上车区、下车区域划线标识；人工提醒乘客安全注意事项；每天检查标识完整性。</w:t>
            </w:r>
          </w:p>
        </w:tc>
        <w:tc>
          <w:tcPr>
            <w:tcW w:w="1642" w:type="dxa"/>
            <w:vAlign w:val="center"/>
          </w:tcPr>
          <w:p w14:paraId="6F338BE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454" w:type="dxa"/>
            <w:vAlign w:val="center"/>
          </w:tcPr>
          <w:p w14:paraId="39D4327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tcPr>
          <w:p w14:paraId="6CE80E98">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32FBB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0" w:hRule="atLeast"/>
          <w:jc w:val="center"/>
        </w:trPr>
        <w:tc>
          <w:tcPr>
            <w:tcW w:w="824" w:type="dxa"/>
            <w:vAlign w:val="center"/>
          </w:tcPr>
          <w:p w14:paraId="2E77513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15</w:t>
            </w:r>
          </w:p>
        </w:tc>
        <w:tc>
          <w:tcPr>
            <w:tcW w:w="1582" w:type="dxa"/>
            <w:vMerge w:val="continue"/>
            <w:vAlign w:val="center"/>
          </w:tcPr>
          <w:p w14:paraId="10103D8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68D4967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安全保护装置不齐全或失效</w:t>
            </w:r>
          </w:p>
        </w:tc>
        <w:tc>
          <w:tcPr>
            <w:tcW w:w="4301" w:type="dxa"/>
            <w:vAlign w:val="center"/>
          </w:tcPr>
          <w:p w14:paraId="50257FD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1.制定安全保护装置定期试验、校验、维护保养管理制度，并严格执行；</w:t>
            </w:r>
          </w:p>
          <w:p w14:paraId="22C7498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2.落实专人每日检查安全保护装置的完好性；及时修理或恢复。</w:t>
            </w:r>
          </w:p>
        </w:tc>
        <w:tc>
          <w:tcPr>
            <w:tcW w:w="1642" w:type="dxa"/>
            <w:vAlign w:val="center"/>
          </w:tcPr>
          <w:p w14:paraId="1133B06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454" w:type="dxa"/>
            <w:vAlign w:val="center"/>
          </w:tcPr>
          <w:p w14:paraId="5A3C655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tcPr>
          <w:p w14:paraId="6F9ABD65">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p>
        </w:tc>
      </w:tr>
      <w:tr w14:paraId="675F1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824" w:type="dxa"/>
            <w:vAlign w:val="center"/>
          </w:tcPr>
          <w:p w14:paraId="7D2CD951">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16</w:t>
            </w:r>
          </w:p>
        </w:tc>
        <w:tc>
          <w:tcPr>
            <w:tcW w:w="1582" w:type="dxa"/>
            <w:vMerge w:val="continue"/>
            <w:vAlign w:val="center"/>
          </w:tcPr>
          <w:p w14:paraId="5985165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1AC1D847">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紧急驱动装置、避雷设施、风速风向仪、通讯设施、救护设备及救援通道、消防设施、隔离栏杆和活动门栏、站台防滑设施等相关附属设施未配备或不能正常使用</w:t>
            </w:r>
          </w:p>
        </w:tc>
        <w:tc>
          <w:tcPr>
            <w:tcW w:w="4301" w:type="dxa"/>
            <w:vAlign w:val="center"/>
          </w:tcPr>
          <w:p w14:paraId="6B3702F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落实专人定期开展巡回检查，发现异常，按规定进行报告和处理</w:t>
            </w:r>
          </w:p>
        </w:tc>
        <w:tc>
          <w:tcPr>
            <w:tcW w:w="1642" w:type="dxa"/>
            <w:vAlign w:val="center"/>
          </w:tcPr>
          <w:p w14:paraId="20FB925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23A721E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72C5FFB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p>
        </w:tc>
      </w:tr>
      <w:tr w14:paraId="2EB0B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824" w:type="dxa"/>
            <w:vMerge w:val="restart"/>
            <w:vAlign w:val="center"/>
          </w:tcPr>
          <w:p w14:paraId="6122D8F9">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kern w:val="0"/>
                <w:sz w:val="24"/>
                <w:szCs w:val="22"/>
              </w:rPr>
              <w:t>17</w:t>
            </w:r>
          </w:p>
        </w:tc>
        <w:tc>
          <w:tcPr>
            <w:tcW w:w="1582" w:type="dxa"/>
            <w:vMerge w:val="restart"/>
            <w:vAlign w:val="center"/>
          </w:tcPr>
          <w:p w14:paraId="43B2364B">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环境因素</w:t>
            </w:r>
          </w:p>
        </w:tc>
        <w:tc>
          <w:tcPr>
            <w:tcW w:w="3130" w:type="dxa"/>
            <w:vAlign w:val="center"/>
          </w:tcPr>
          <w:p w14:paraId="5FEEC9C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客运索道线路和站址建在下列地区：山地风口，并与主导风向正交的地段上；</w:t>
            </w:r>
            <w:r>
              <w:rPr>
                <w:rFonts w:hint="default" w:ascii="Times New Roman" w:hAnsi="Times New Roman" w:eastAsia="宋体" w:cs="Times New Roman"/>
                <w:b w:val="0"/>
                <w:bCs w:val="0"/>
                <w:color w:val="000000"/>
                <w:sz w:val="24"/>
                <w:szCs w:val="24"/>
              </w:rPr>
              <w:t>客运索道线路与平行和交叉设施位置关系不符合相关规定要求</w:t>
            </w:r>
          </w:p>
        </w:tc>
        <w:tc>
          <w:tcPr>
            <w:tcW w:w="4301" w:type="dxa"/>
            <w:vAlign w:val="center"/>
          </w:tcPr>
          <w:p w14:paraId="66E54521">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设计索道时按照安全技术规范进行选址，避开风险区域</w:t>
            </w:r>
          </w:p>
        </w:tc>
        <w:tc>
          <w:tcPr>
            <w:tcW w:w="1642" w:type="dxa"/>
            <w:vAlign w:val="center"/>
          </w:tcPr>
          <w:p w14:paraId="4F7FE44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631A977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48F51EB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1714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824" w:type="dxa"/>
            <w:vMerge w:val="continue"/>
            <w:vAlign w:val="center"/>
          </w:tcPr>
          <w:p w14:paraId="148226EC">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2"/>
              </w:rPr>
            </w:pPr>
          </w:p>
        </w:tc>
        <w:tc>
          <w:tcPr>
            <w:tcW w:w="1582" w:type="dxa"/>
            <w:vMerge w:val="continue"/>
            <w:vAlign w:val="center"/>
          </w:tcPr>
          <w:p w14:paraId="17BD7C3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427183B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2"/>
              </w:rPr>
              <w:t>有雪崩、滑坡、塌方、溶洞、风暴、海啸、洪水、火灾等危及索道安全的地区，未经过主管部门批准并采取预防措施的</w:t>
            </w:r>
          </w:p>
        </w:tc>
        <w:tc>
          <w:tcPr>
            <w:tcW w:w="4301" w:type="dxa"/>
            <w:vAlign w:val="center"/>
          </w:tcPr>
          <w:p w14:paraId="0DCFF052">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定期对索道周边环境进行排查，发现危及索道安全的情况及时停运处置</w:t>
            </w:r>
          </w:p>
        </w:tc>
        <w:tc>
          <w:tcPr>
            <w:tcW w:w="1642" w:type="dxa"/>
            <w:vAlign w:val="center"/>
          </w:tcPr>
          <w:p w14:paraId="7048DABF">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周排查</w:t>
            </w:r>
          </w:p>
        </w:tc>
        <w:tc>
          <w:tcPr>
            <w:tcW w:w="1454" w:type="dxa"/>
            <w:vAlign w:val="center"/>
          </w:tcPr>
          <w:p w14:paraId="727BE556">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安全总监</w:t>
            </w:r>
          </w:p>
        </w:tc>
        <w:tc>
          <w:tcPr>
            <w:tcW w:w="890" w:type="dxa"/>
          </w:tcPr>
          <w:p w14:paraId="3599F82E">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3FF1A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824" w:type="dxa"/>
            <w:vMerge w:val="continue"/>
            <w:vAlign w:val="center"/>
          </w:tcPr>
          <w:p w14:paraId="5D391D4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2"/>
              </w:rPr>
            </w:pPr>
          </w:p>
        </w:tc>
        <w:tc>
          <w:tcPr>
            <w:tcW w:w="1582" w:type="dxa"/>
            <w:vMerge w:val="continue"/>
            <w:vAlign w:val="center"/>
          </w:tcPr>
          <w:p w14:paraId="6F7EF95A">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p>
        </w:tc>
        <w:tc>
          <w:tcPr>
            <w:tcW w:w="3130" w:type="dxa"/>
            <w:vAlign w:val="center"/>
          </w:tcPr>
          <w:p w14:paraId="6F7FE664">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存在运行过程中，设备与岩石、树木碰撞的风险</w:t>
            </w:r>
          </w:p>
        </w:tc>
        <w:tc>
          <w:tcPr>
            <w:tcW w:w="4301" w:type="dxa"/>
            <w:vAlign w:val="center"/>
          </w:tcPr>
          <w:p w14:paraId="61A4BE5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日常排查、专项排查、及时清理沿线树木及杂物，大风天气及时调整运行速度或停运</w:t>
            </w:r>
          </w:p>
        </w:tc>
        <w:tc>
          <w:tcPr>
            <w:tcW w:w="1642" w:type="dxa"/>
            <w:vAlign w:val="center"/>
          </w:tcPr>
          <w:p w14:paraId="39D00BA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日管控</w:t>
            </w:r>
          </w:p>
        </w:tc>
        <w:tc>
          <w:tcPr>
            <w:tcW w:w="1454" w:type="dxa"/>
            <w:vAlign w:val="center"/>
          </w:tcPr>
          <w:p w14:paraId="597ED28D">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安全员</w:t>
            </w:r>
          </w:p>
        </w:tc>
        <w:tc>
          <w:tcPr>
            <w:tcW w:w="890" w:type="dxa"/>
          </w:tcPr>
          <w:p w14:paraId="3B042893">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57B30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jc w:val="center"/>
        </w:trPr>
        <w:tc>
          <w:tcPr>
            <w:tcW w:w="824" w:type="dxa"/>
            <w:vAlign w:val="center"/>
          </w:tcPr>
          <w:p w14:paraId="7EA8F306">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color w:val="000000"/>
                <w:kern w:val="0"/>
                <w:sz w:val="24"/>
                <w:szCs w:val="22"/>
              </w:rPr>
            </w:pPr>
            <w:r>
              <w:rPr>
                <w:rFonts w:hint="default" w:ascii="Times New Roman" w:hAnsi="Times New Roman" w:eastAsia="宋体" w:cs="Times New Roman"/>
                <w:b w:val="0"/>
                <w:bCs w:val="0"/>
                <w:color w:val="000000"/>
                <w:kern w:val="0"/>
                <w:sz w:val="24"/>
                <w:szCs w:val="22"/>
              </w:rPr>
              <w:t>18</w:t>
            </w:r>
          </w:p>
        </w:tc>
        <w:tc>
          <w:tcPr>
            <w:tcW w:w="1582" w:type="dxa"/>
            <w:vAlign w:val="center"/>
          </w:tcPr>
          <w:p w14:paraId="7A288BC6">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kern w:val="0"/>
                <w:sz w:val="24"/>
                <w:szCs w:val="22"/>
              </w:rPr>
            </w:pPr>
            <w:r>
              <w:rPr>
                <w:rFonts w:hint="default" w:ascii="Times New Roman" w:hAnsi="Times New Roman" w:eastAsia="宋体" w:cs="Times New Roman"/>
                <w:b w:val="0"/>
                <w:bCs w:val="0"/>
                <w:color w:val="000000"/>
                <w:sz w:val="24"/>
                <w:szCs w:val="22"/>
              </w:rPr>
              <w:t>政府监督、通报、预警</w:t>
            </w:r>
          </w:p>
        </w:tc>
        <w:tc>
          <w:tcPr>
            <w:tcW w:w="3130" w:type="dxa"/>
            <w:vAlign w:val="center"/>
          </w:tcPr>
          <w:p w14:paraId="53ADFBF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发现不合格项</w:t>
            </w:r>
          </w:p>
        </w:tc>
        <w:tc>
          <w:tcPr>
            <w:tcW w:w="4301" w:type="dxa"/>
            <w:vAlign w:val="center"/>
          </w:tcPr>
          <w:p w14:paraId="78D81339">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记录，整改。</w:t>
            </w:r>
          </w:p>
        </w:tc>
        <w:tc>
          <w:tcPr>
            <w:tcW w:w="1642" w:type="dxa"/>
            <w:vAlign w:val="center"/>
          </w:tcPr>
          <w:p w14:paraId="266CF7E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月调度</w:t>
            </w:r>
          </w:p>
        </w:tc>
        <w:tc>
          <w:tcPr>
            <w:tcW w:w="1454" w:type="dxa"/>
            <w:vAlign w:val="center"/>
          </w:tcPr>
          <w:p w14:paraId="4F4EC114">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主要负责人</w:t>
            </w:r>
          </w:p>
        </w:tc>
        <w:tc>
          <w:tcPr>
            <w:tcW w:w="890" w:type="dxa"/>
          </w:tcPr>
          <w:p w14:paraId="665DA20C">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34542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824" w:type="dxa"/>
            <w:vAlign w:val="center"/>
          </w:tcPr>
          <w:p w14:paraId="1616DD99">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color w:val="000000"/>
                <w:kern w:val="0"/>
                <w:sz w:val="24"/>
                <w:szCs w:val="22"/>
              </w:rPr>
            </w:pPr>
            <w:r>
              <w:rPr>
                <w:rFonts w:hint="default" w:ascii="Times New Roman" w:hAnsi="Times New Roman" w:eastAsia="宋体" w:cs="Times New Roman"/>
                <w:b w:val="0"/>
                <w:bCs w:val="0"/>
                <w:color w:val="000000"/>
                <w:kern w:val="0"/>
                <w:sz w:val="24"/>
                <w:szCs w:val="22"/>
              </w:rPr>
              <w:t>19</w:t>
            </w:r>
          </w:p>
        </w:tc>
        <w:tc>
          <w:tcPr>
            <w:tcW w:w="1582" w:type="dxa"/>
            <w:vAlign w:val="center"/>
          </w:tcPr>
          <w:p w14:paraId="25862948">
            <w:pPr>
              <w:keepNext w:val="0"/>
              <w:keepLines w:val="0"/>
              <w:pageBreakBefore w:val="0"/>
              <w:widowControl/>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投诉举报</w:t>
            </w:r>
          </w:p>
        </w:tc>
        <w:tc>
          <w:tcPr>
            <w:tcW w:w="3130" w:type="dxa"/>
            <w:vAlign w:val="center"/>
          </w:tcPr>
          <w:p w14:paraId="1E4E82B0">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发现不合格项</w:t>
            </w:r>
          </w:p>
        </w:tc>
        <w:tc>
          <w:tcPr>
            <w:tcW w:w="4301" w:type="dxa"/>
            <w:vAlign w:val="center"/>
          </w:tcPr>
          <w:p w14:paraId="2F6373B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记录，整改，消除安全隐患。</w:t>
            </w:r>
          </w:p>
        </w:tc>
        <w:tc>
          <w:tcPr>
            <w:tcW w:w="1642" w:type="dxa"/>
            <w:vAlign w:val="center"/>
          </w:tcPr>
          <w:p w14:paraId="45FCD767">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月调度</w:t>
            </w:r>
          </w:p>
        </w:tc>
        <w:tc>
          <w:tcPr>
            <w:tcW w:w="1454" w:type="dxa"/>
            <w:vAlign w:val="center"/>
          </w:tcPr>
          <w:p w14:paraId="0683810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主要负责人</w:t>
            </w:r>
          </w:p>
        </w:tc>
        <w:tc>
          <w:tcPr>
            <w:tcW w:w="890" w:type="dxa"/>
          </w:tcPr>
          <w:p w14:paraId="2A77585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r w14:paraId="415A4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824" w:type="dxa"/>
            <w:vAlign w:val="center"/>
          </w:tcPr>
          <w:p w14:paraId="65ADBE17">
            <w:pPr>
              <w:keepNext w:val="0"/>
              <w:keepLines w:val="0"/>
              <w:pageBreakBefore w:val="0"/>
              <w:widowControl/>
              <w:kinsoku/>
              <w:overflowPunct/>
              <w:bidi w:val="0"/>
              <w:adjustRightInd/>
              <w:spacing w:line="280" w:lineRule="exact"/>
              <w:ind w:left="0" w:leftChars="0" w:firstLine="24" w:firstLineChars="10"/>
              <w:jc w:val="center"/>
              <w:rPr>
                <w:rFonts w:hint="default" w:ascii="Times New Roman" w:hAnsi="Times New Roman" w:eastAsia="宋体" w:cs="Times New Roman"/>
                <w:b w:val="0"/>
                <w:bCs w:val="0"/>
                <w:color w:val="000000"/>
                <w:kern w:val="0"/>
                <w:sz w:val="24"/>
                <w:szCs w:val="22"/>
              </w:rPr>
            </w:pPr>
            <w:r>
              <w:rPr>
                <w:rFonts w:hint="default" w:ascii="Times New Roman" w:hAnsi="Times New Roman" w:eastAsia="宋体" w:cs="Times New Roman"/>
                <w:b w:val="0"/>
                <w:bCs w:val="0"/>
                <w:color w:val="000000"/>
                <w:kern w:val="0"/>
                <w:sz w:val="24"/>
                <w:szCs w:val="22"/>
              </w:rPr>
              <w:t>20</w:t>
            </w:r>
          </w:p>
        </w:tc>
        <w:tc>
          <w:tcPr>
            <w:tcW w:w="1582" w:type="dxa"/>
            <w:vAlign w:val="center"/>
          </w:tcPr>
          <w:p w14:paraId="119873F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舆情信息</w:t>
            </w:r>
          </w:p>
        </w:tc>
        <w:tc>
          <w:tcPr>
            <w:tcW w:w="3130" w:type="dxa"/>
            <w:vAlign w:val="center"/>
          </w:tcPr>
          <w:p w14:paraId="094C94FB">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发现不合格项</w:t>
            </w:r>
          </w:p>
        </w:tc>
        <w:tc>
          <w:tcPr>
            <w:tcW w:w="4301" w:type="dxa"/>
            <w:vAlign w:val="center"/>
          </w:tcPr>
          <w:p w14:paraId="7858BD2F">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4"/>
                <w:szCs w:val="22"/>
              </w:rPr>
            </w:pPr>
            <w:r>
              <w:rPr>
                <w:rFonts w:hint="default" w:ascii="Times New Roman" w:hAnsi="Times New Roman" w:eastAsia="宋体" w:cs="Times New Roman"/>
                <w:b w:val="0"/>
                <w:bCs w:val="0"/>
                <w:color w:val="000000"/>
                <w:sz w:val="24"/>
                <w:szCs w:val="22"/>
              </w:rPr>
              <w:t>记录，整改</w:t>
            </w:r>
          </w:p>
        </w:tc>
        <w:tc>
          <w:tcPr>
            <w:tcW w:w="1642" w:type="dxa"/>
            <w:vAlign w:val="center"/>
          </w:tcPr>
          <w:p w14:paraId="057B8625">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月调度</w:t>
            </w:r>
          </w:p>
        </w:tc>
        <w:tc>
          <w:tcPr>
            <w:tcW w:w="1454" w:type="dxa"/>
            <w:vAlign w:val="center"/>
          </w:tcPr>
          <w:p w14:paraId="22BEB473">
            <w:pPr>
              <w:keepNext w:val="0"/>
              <w:keepLines w:val="0"/>
              <w:pageBreakBefore w:val="0"/>
              <w:kinsoku/>
              <w:overflowPunct/>
              <w:bidi w:val="0"/>
              <w:adjustRightInd/>
              <w:spacing w:line="280" w:lineRule="exact"/>
              <w:ind w:left="0" w:leftChars="0" w:firstLine="0" w:firstLineChars="0"/>
              <w:jc w:val="center"/>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主要负责人</w:t>
            </w:r>
          </w:p>
        </w:tc>
        <w:tc>
          <w:tcPr>
            <w:tcW w:w="890" w:type="dxa"/>
          </w:tcPr>
          <w:p w14:paraId="018A7AEA">
            <w:pPr>
              <w:keepNext w:val="0"/>
              <w:keepLines w:val="0"/>
              <w:pageBreakBefore w:val="0"/>
              <w:kinsoku/>
              <w:overflowPunct/>
              <w:bidi w:val="0"/>
              <w:adjustRightInd/>
              <w:spacing w:line="280" w:lineRule="exact"/>
              <w:ind w:left="0" w:leftChars="0" w:firstLine="0" w:firstLineChars="0"/>
              <w:jc w:val="both"/>
              <w:rPr>
                <w:rFonts w:hint="default" w:ascii="Times New Roman" w:hAnsi="Times New Roman" w:eastAsia="宋体" w:cs="Times New Roman"/>
                <w:b w:val="0"/>
                <w:bCs w:val="0"/>
                <w:color w:val="000000"/>
                <w:sz w:val="21"/>
                <w:szCs w:val="21"/>
              </w:rPr>
            </w:pPr>
          </w:p>
        </w:tc>
      </w:tr>
    </w:tbl>
    <w:p w14:paraId="4F57AE13">
      <w:pPr>
        <w:widowControl/>
        <w:spacing w:line="240" w:lineRule="auto"/>
        <w:ind w:left="0" w:leftChars="0" w:firstLine="480" w:firstLineChars="200"/>
        <w:jc w:val="both"/>
        <w:rPr>
          <w:rFonts w:hint="default" w:ascii="Times New Roman" w:hAnsi="Times New Roman" w:cs="Times New Roman"/>
          <w:b w:val="0"/>
          <w:bCs w:val="0"/>
        </w:rPr>
      </w:pPr>
      <w:r>
        <w:rPr>
          <w:rFonts w:hint="default" w:ascii="Times New Roman" w:hAnsi="Times New Roman" w:eastAsia="宋体" w:cs="Times New Roman"/>
          <w:b w:val="0"/>
          <w:bCs w:val="0"/>
          <w:color w:val="000000"/>
          <w:sz w:val="24"/>
          <w:szCs w:val="24"/>
        </w:rPr>
        <w:t>备注</w:t>
      </w:r>
      <w:r>
        <w:rPr>
          <w:rFonts w:hint="default" w:ascii="Times New Roman" w:hAnsi="Times New Roman" w:eastAsia="宋体" w:cs="Times New Roman"/>
          <w:b w:val="0"/>
          <w:bCs w:val="0"/>
          <w:color w:val="000000"/>
          <w:kern w:val="0"/>
          <w:sz w:val="24"/>
          <w:szCs w:val="24"/>
        </w:rPr>
        <w:t>：</w:t>
      </w:r>
      <w:r>
        <w:rPr>
          <w:rFonts w:hint="default" w:ascii="Times New Roman" w:hAnsi="Times New Roman" w:eastAsia="宋体" w:cs="Times New Roman"/>
          <w:b w:val="0"/>
          <w:bCs w:val="0"/>
          <w:color w:val="000000"/>
          <w:sz w:val="24"/>
          <w:szCs w:val="24"/>
        </w:rPr>
        <w:t>本清单为推荐性格式，仅规定了应当进行日管控、周排查、月调度的基本项目，客运索道使用单位应当结合本单位实际情况和具体要求，细化风险管控清单，合理调整管控形式。</w:t>
      </w:r>
    </w:p>
    <w:sectPr>
      <w:footerReference r:id="rId6"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2AF8A8-CB8F-4BB0-A5E0-0382FDE2652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2" w:fontKey="{A2CD7FAB-69CC-4AB8-951E-79D69C55CD4B}"/>
  </w:font>
  <w:font w:name="方正仿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embedRegular r:id="rId3" w:fontKey="{8ACC8E0A-C137-47E9-A830-22153DA7239C}"/>
  </w:font>
  <w:font w:name="仿宋">
    <w:panose1 w:val="02010609060101010101"/>
    <w:charset w:val="86"/>
    <w:family w:val="auto"/>
    <w:pitch w:val="default"/>
    <w:sig w:usb0="800002BF" w:usb1="38CF7CFA" w:usb2="00000016" w:usb3="00000000" w:csb0="00040001" w:csb1="00000000"/>
    <w:embedRegular r:id="rId4" w:fontKey="{BA8F62E7-43CC-41EF-9182-7A868CA0D68E}"/>
  </w:font>
  <w:font w:name="微软雅黑">
    <w:panose1 w:val="020B0503020204020204"/>
    <w:charset w:val="86"/>
    <w:family w:val="swiss"/>
    <w:pitch w:val="default"/>
    <w:sig w:usb0="80000287" w:usb1="280F3C52" w:usb2="00000016" w:usb3="00000000" w:csb0="0004001F" w:csb1="00000000"/>
    <w:embedRegular r:id="rId5" w:fontKey="{B9BC7899-B5F9-4D14-95DA-84B9E5B60A7D}"/>
  </w:font>
  <w:font w:name="WPSEMBED1">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6803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1247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24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FF9E6">
                          <w:pPr>
                            <w:pStyle w:val="9"/>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fldChar w:fldCharType="begin"/>
                          </w:r>
                          <w:r>
                            <w:rPr>
                              <w:rFonts w:hint="eastAsia" w:asciiTheme="minorEastAsia" w:hAnsiTheme="minorEastAsia" w:eastAsiaTheme="minorEastAsia" w:cstheme="minorEastAsia"/>
                              <w:b/>
                              <w:bCs/>
                              <w:sz w:val="21"/>
                              <w:szCs w:val="21"/>
                            </w:rPr>
                            <w:instrText xml:space="preserve"> PAGE  \* MERGEFORMAT </w:instrText>
                          </w:r>
                          <w:r>
                            <w:rPr>
                              <w:rFonts w:hint="eastAsia" w:asciiTheme="minorEastAsia" w:hAnsiTheme="minorEastAsia" w:eastAsiaTheme="minorEastAsia" w:cstheme="minorEastAsia"/>
                              <w:b/>
                              <w:bCs/>
                              <w:sz w:val="21"/>
                              <w:szCs w:val="21"/>
                            </w:rPr>
                            <w:fldChar w:fldCharType="separate"/>
                          </w:r>
                          <w:r>
                            <w:rPr>
                              <w:rFonts w:hint="eastAsia" w:asciiTheme="minorEastAsia" w:hAnsiTheme="minorEastAsia" w:eastAsiaTheme="minorEastAsia" w:cstheme="minorEastAsia"/>
                              <w:b/>
                              <w:bCs/>
                              <w:sz w:val="21"/>
                              <w:szCs w:val="21"/>
                            </w:rPr>
                            <w:t>1</w:t>
                          </w:r>
                          <w:r>
                            <w:rPr>
                              <w:rFonts w:hint="eastAsia" w:asciiTheme="minorEastAsia" w:hAnsiTheme="minorEastAsia" w:eastAsiaTheme="minorEastAsia" w:cstheme="minorEastAsia"/>
                              <w:b/>
                              <w:bCs/>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6.1pt;mso-position-horizontal:center;mso-position-horizontal-relative:margin;z-index:251659264;mso-width-relative:page;mso-height-relative:page;" filled="f" stroked="f" coordsize="21600,21600" o:gfxdata="UEsDBAoAAAAAAIdO4kAAAAAAAAAAAAAAAAAEAAAAZHJzL1BLAwQUAAAACACHTuJApVc6F9MAAAAF&#10;AQAADwAAAGRycy9kb3ducmV2LnhtbE2PMU/DMBCFdyT+g3VIbNROBhSFOB0QdICJFCHGa3yJ08bn&#10;KHbTwq/HZYHlpKd399531frsRrHQHAbPGrKVAkHcejNwr+F9+3xXgAgR2eDomTR8UYB1fX1VYWn8&#10;id9oaWIvUgiHEjXYGKdSytBachhWfiJOXudnhzHJuZdmxlMKd6PMlbqXDgdODRYnerTUHpqjSxgf&#10;r8ptvjv76V6wC43dLpunvda3N5l6ABHpHP+W4YKfbqBOTDt/ZBPEqCE9En/nxcvyHMROQ14UCmRd&#10;yf/09Q9QSwMEFAAAAAgAh07iQD67Tfc3AgAAYgQAAA4AAABkcnMvZTJvRG9jLnhtbK1Uy47TMBTd&#10;I/EPlvc0bYFOVTUdlamKkEbMSAWxdh2nieQXttukfAD8ASs27PmufgfHTtNBA4tZsHFv7vuce2/n&#10;162S5CCcr43O6WgwpERobopa73L68cP6xZQSH5gumDRa5PQoPL1ePH82b+xMjE1lZCEcQRLtZ43N&#10;aRWCnWWZ55VQzA+MFRrG0jjFAj7dLisca5BdyWw8HE6yxrjCOsOF99CuOiM9Z3RPSWjKsuZiZfhe&#10;CR26rE5IFgDJV7X1dJG6LUvBw11ZehGIzCmQhvSiCORtfLPFnM12jtmq5ucW2FNaeIRJsVqj6CXV&#10;igVG9q7+K5WquTPelGHAjco6IIkRoBgNH3GzqZgVCQuo9vZCuv9/afn7w70jdZHTCSWaKQz89P3b&#10;6cev08+vZBLpaayfwWtj4RfaN6bF0vR6D2VE3ZZOxV/gIbCD3OOFXNEGwqG8Go1fXcHCYRpNx9Pp&#10;MLGfPURb58NbYRSJQk4dhpc4ZYdbH9AJXHuXWEybdS1lGqDUpAGCl6+HKeBiQYTUCIwYul6jFNpt&#10;ewa2NcURuJzpFsNbvq5R/Jb5cM8cNgEN41bCHZ5SGhQxZ4mSyrgv/9JHfwwIVkoabFZO/ec9c4IS&#10;+U5jdEgZesH1wrYX9F7dGCzrCFdoeRIR4ILsxdIZ9QkntIxVYGKao1ZOQy/ehG6/cYJcLJfJaW9d&#10;vau6ACyeZeFWbyyPZSKV3i73AXQmliNFHS9n5rB6ifzzmcTd/vM7eT38N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VXOhfTAAAABQEAAA8AAAAAAAAAAQAgAAAAIgAAAGRycy9kb3ducmV2Lnht&#10;bFBLAQIUABQAAAAIAIdO4kA+u033NwIAAGIEAAAOAAAAAAAAAAEAIAAAACIBAABkcnMvZTJvRG9j&#10;LnhtbFBLBQYAAAAABgAGAFkBAADLBQAAAAA=&#10;">
              <v:fill on="f" focussize="0,0"/>
              <v:stroke on="f" weight="0.5pt"/>
              <v:imagedata o:title=""/>
              <o:lock v:ext="edit" aspectratio="f"/>
              <v:textbox inset="0mm,0mm,0mm,0mm" style="mso-fit-shape-to-text:t;">
                <w:txbxContent>
                  <w:p w14:paraId="3E8FF9E6">
                    <w:pPr>
                      <w:pStyle w:val="9"/>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fldChar w:fldCharType="begin"/>
                    </w:r>
                    <w:r>
                      <w:rPr>
                        <w:rFonts w:hint="eastAsia" w:asciiTheme="minorEastAsia" w:hAnsiTheme="minorEastAsia" w:eastAsiaTheme="minorEastAsia" w:cstheme="minorEastAsia"/>
                        <w:b/>
                        <w:bCs/>
                        <w:sz w:val="21"/>
                        <w:szCs w:val="21"/>
                      </w:rPr>
                      <w:instrText xml:space="preserve"> PAGE  \* MERGEFORMAT </w:instrText>
                    </w:r>
                    <w:r>
                      <w:rPr>
                        <w:rFonts w:hint="eastAsia" w:asciiTheme="minorEastAsia" w:hAnsiTheme="minorEastAsia" w:eastAsiaTheme="minorEastAsia" w:cstheme="minorEastAsia"/>
                        <w:b/>
                        <w:bCs/>
                        <w:sz w:val="21"/>
                        <w:szCs w:val="21"/>
                      </w:rPr>
                      <w:fldChar w:fldCharType="separate"/>
                    </w:r>
                    <w:r>
                      <w:rPr>
                        <w:rFonts w:hint="eastAsia" w:asciiTheme="minorEastAsia" w:hAnsiTheme="minorEastAsia" w:eastAsiaTheme="minorEastAsia" w:cstheme="minorEastAsia"/>
                        <w:b/>
                        <w:bCs/>
                        <w:sz w:val="21"/>
                        <w:szCs w:val="21"/>
                      </w:rPr>
                      <w:t>1</w:t>
                    </w:r>
                    <w:r>
                      <w:rPr>
                        <w:rFonts w:hint="eastAsia" w:asciiTheme="minorEastAsia" w:hAnsiTheme="minorEastAsia" w:eastAsiaTheme="minorEastAsia" w:cstheme="minorEastAsia"/>
                        <w:b/>
                        <w:bCs/>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DAB70">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1247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124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90EAA">
                          <w:pPr>
                            <w:pStyle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  \* MERGEFORMAT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1</w:t>
                          </w:r>
                          <w:r>
                            <w:rPr>
                              <w:rFonts w:hint="eastAsia" w:asciiTheme="minorEastAsia" w:hAnsiTheme="minorEastAsia" w:eastAsiaTheme="minorEastAsia" w:cstheme="minorEastAsia"/>
                              <w:b/>
                              <w:bCs/>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6.1pt;mso-position-horizontal:center;mso-position-horizontal-relative:margin;z-index:251660288;mso-width-relative:page;mso-height-relative:page;" filled="f" stroked="f" coordsize="21600,21600" o:gfxdata="UEsDBAoAAAAAAIdO4kAAAAAAAAAAAAAAAAAEAAAAZHJzL1BLAwQUAAAACACHTuJApVc6F9MAAAAF&#10;AQAADwAAAGRycy9kb3ducmV2LnhtbE2PMU/DMBCFdyT+g3VIbNROBhSFOB0QdICJFCHGa3yJ08bn&#10;KHbTwq/HZYHlpKd399531frsRrHQHAbPGrKVAkHcejNwr+F9+3xXgAgR2eDomTR8UYB1fX1VYWn8&#10;id9oaWIvUgiHEjXYGKdSytBachhWfiJOXudnhzHJuZdmxlMKd6PMlbqXDgdODRYnerTUHpqjSxgf&#10;r8ptvjv76V6wC43dLpunvda3N5l6ABHpHP+W4YKfbqBOTDt/ZBPEqCE9En/nxcvyHMROQ14UCmRd&#10;yf/09Q9QSwMEFAAAAAgAh07iQE7YUQs2AgAAYgQAAA4AAABkcnMvZTJvRG9jLnhtbK1Uy47TMBTd&#10;I/EPlvc0bYGZqmo6KlMVIVXMSAWxdh2nieQXttukfAD8ASs27PmufgfHTtpBA4tZsHFPfJ/n3OvO&#10;blolyUE4Xxud09FgSInQ3BS13uX044fViwklPjBdMGm0yOlReHozf/5s1tipGJvKyEI4giTaTxub&#10;0yoEO80yzyuhmB8YKzSMpXGKBXy6XVY41iC7ktl4OLzKGuMK6wwX3uN22Rlpn9E9JaEpy5qLpeF7&#10;JXTosjohWQAlX9XW03nqtiwFD3dl6UUgMqdgGtKJIsDbeGbzGZvuHLNVzfsW2FNaeMRJsVqj6CXV&#10;kgVG9q7+K5WquTPelGHAjco6IkkRsBgNH2mzqZgViQuk9vYiuv9/afn7w70jdYFNoEQzhYGfvn87&#10;/fh1+vmVjKI8jfVTeG0s/EL7xrTRtb/3uIys29Kp+As+BHaIe7yIK9pAOC6vR+NX17BwmEaT8WQy&#10;TOpnD9HW+fBWGEUiyKnD8JKm7LD2ARXhenaJxbRZ1VKmAUpNmpxevXw9TAEXCyKkRmDk0PUaUWi3&#10;bU9ga4ojeDnTLYa3fFWj+Jr5cM8cNgEN462EOxylNChiekRJZdyXf91HfwwIVkoabFZO/ec9c4IS&#10;+U5jdEgZzsCdwfYM9F7dGiwrxoFuEkSAC/IMS2fUJzyhRawCE9MctXIazvA2dPuNJ8jFYpGc9tbV&#10;u6oLwOJZFtZ6Y3ksE6X0drEPkDOpHCXqdOmVw+ol8ftnEnf7z+/k9fDXM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Vc6F9MAAAAFAQAADwAAAAAAAAABACAAAAAiAAAAZHJzL2Rvd25yZXYueG1s&#10;UEsBAhQAFAAAAAgAh07iQE7YUQs2AgAAYgQAAA4AAAAAAAAAAQAgAAAAIgEAAGRycy9lMm9Eb2Mu&#10;eG1sUEsFBgAAAAAGAAYAWQEAAMoFAAAAAA==&#10;">
              <v:fill on="f" focussize="0,0"/>
              <v:stroke on="f" weight="0.5pt"/>
              <v:imagedata o:title=""/>
              <o:lock v:ext="edit" aspectratio="f"/>
              <v:textbox inset="0mm,0mm,0mm,0mm" style="mso-fit-shape-to-text:t;">
                <w:txbxContent>
                  <w:p w14:paraId="1BA90EAA">
                    <w:pPr>
                      <w:pStyle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  \* MERGEFORMAT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1</w:t>
                    </w:r>
                    <w:r>
                      <w:rPr>
                        <w:rFonts w:hint="eastAsia" w:asciiTheme="minorEastAsia" w:hAnsiTheme="minorEastAsia" w:eastAsiaTheme="minorEastAsia" w:cstheme="minorEastAsia"/>
                        <w:b/>
                        <w:bCs/>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EDDCA"/>
    <w:multiLevelType w:val="singleLevel"/>
    <w:tmpl w:val="800EDDCA"/>
    <w:lvl w:ilvl="0" w:tentative="0">
      <w:start w:val="1"/>
      <w:numFmt w:val="chineseCounting"/>
      <w:suff w:val="nothing"/>
      <w:lvlText w:val="（%1）"/>
      <w:lvlJc w:val="left"/>
      <w:pPr>
        <w:ind w:left="0" w:firstLine="420"/>
      </w:pPr>
      <w:rPr>
        <w:rFonts w:hint="eastAsia"/>
      </w:rPr>
    </w:lvl>
  </w:abstractNum>
  <w:abstractNum w:abstractNumId="1">
    <w:nsid w:val="83321C9B"/>
    <w:multiLevelType w:val="singleLevel"/>
    <w:tmpl w:val="83321C9B"/>
    <w:lvl w:ilvl="0" w:tentative="0">
      <w:start w:val="1"/>
      <w:numFmt w:val="decimal"/>
      <w:suff w:val="nothing"/>
      <w:lvlText w:val="（%1）"/>
      <w:lvlJc w:val="left"/>
    </w:lvl>
  </w:abstractNum>
  <w:abstractNum w:abstractNumId="2">
    <w:nsid w:val="8662799E"/>
    <w:multiLevelType w:val="singleLevel"/>
    <w:tmpl w:val="8662799E"/>
    <w:lvl w:ilvl="0" w:tentative="0">
      <w:start w:val="1"/>
      <w:numFmt w:val="decimal"/>
      <w:suff w:val="space"/>
      <w:lvlText w:val="(%1)"/>
      <w:lvlJc w:val="left"/>
      <w:pPr>
        <w:ind w:left="425" w:hanging="425"/>
      </w:pPr>
      <w:rPr>
        <w:rFonts w:hint="default"/>
      </w:rPr>
    </w:lvl>
  </w:abstractNum>
  <w:abstractNum w:abstractNumId="3">
    <w:nsid w:val="9D04B390"/>
    <w:multiLevelType w:val="singleLevel"/>
    <w:tmpl w:val="9D04B390"/>
    <w:lvl w:ilvl="0" w:tentative="0">
      <w:start w:val="1"/>
      <w:numFmt w:val="decimal"/>
      <w:suff w:val="space"/>
      <w:lvlText w:val="(%1)"/>
      <w:lvlJc w:val="left"/>
      <w:pPr>
        <w:ind w:left="425" w:hanging="425"/>
      </w:pPr>
      <w:rPr>
        <w:rFonts w:hint="default"/>
      </w:rPr>
    </w:lvl>
  </w:abstractNum>
  <w:abstractNum w:abstractNumId="4">
    <w:nsid w:val="9D7368B7"/>
    <w:multiLevelType w:val="singleLevel"/>
    <w:tmpl w:val="9D7368B7"/>
    <w:lvl w:ilvl="0" w:tentative="0">
      <w:start w:val="1"/>
      <w:numFmt w:val="decimal"/>
      <w:lvlText w:val="%1."/>
      <w:lvlJc w:val="left"/>
      <w:pPr>
        <w:tabs>
          <w:tab w:val="left" w:pos="312"/>
        </w:tabs>
      </w:pPr>
    </w:lvl>
  </w:abstractNum>
  <w:abstractNum w:abstractNumId="5">
    <w:nsid w:val="A8315724"/>
    <w:multiLevelType w:val="singleLevel"/>
    <w:tmpl w:val="A8315724"/>
    <w:lvl w:ilvl="0" w:tentative="0">
      <w:start w:val="1"/>
      <w:numFmt w:val="chineseCounting"/>
      <w:suff w:val="nothing"/>
      <w:lvlText w:val="（%1）"/>
      <w:lvlJc w:val="left"/>
      <w:pPr>
        <w:ind w:left="0" w:firstLine="420"/>
      </w:pPr>
      <w:rPr>
        <w:rFonts w:hint="eastAsia"/>
      </w:rPr>
    </w:lvl>
  </w:abstractNum>
  <w:abstractNum w:abstractNumId="6">
    <w:nsid w:val="ABBAC4DF"/>
    <w:multiLevelType w:val="singleLevel"/>
    <w:tmpl w:val="ABBAC4DF"/>
    <w:lvl w:ilvl="0" w:tentative="0">
      <w:start w:val="1"/>
      <w:numFmt w:val="decimal"/>
      <w:lvlText w:val="%1."/>
      <w:lvlJc w:val="left"/>
      <w:pPr>
        <w:tabs>
          <w:tab w:val="left" w:pos="312"/>
        </w:tabs>
      </w:pPr>
    </w:lvl>
  </w:abstractNum>
  <w:abstractNum w:abstractNumId="7">
    <w:nsid w:val="B826E498"/>
    <w:multiLevelType w:val="singleLevel"/>
    <w:tmpl w:val="B826E498"/>
    <w:lvl w:ilvl="0" w:tentative="0">
      <w:start w:val="1"/>
      <w:numFmt w:val="decimal"/>
      <w:suff w:val="nothing"/>
      <w:lvlText w:val="（%1）"/>
      <w:lvlJc w:val="left"/>
    </w:lvl>
  </w:abstractNum>
  <w:abstractNum w:abstractNumId="8">
    <w:nsid w:val="C77450F5"/>
    <w:multiLevelType w:val="singleLevel"/>
    <w:tmpl w:val="C77450F5"/>
    <w:lvl w:ilvl="0" w:tentative="0">
      <w:start w:val="1"/>
      <w:numFmt w:val="decimal"/>
      <w:suff w:val="space"/>
      <w:lvlText w:val="(%1)"/>
      <w:lvlJc w:val="left"/>
      <w:pPr>
        <w:ind w:left="425" w:hanging="425"/>
      </w:pPr>
      <w:rPr>
        <w:rFonts w:hint="default"/>
      </w:rPr>
    </w:lvl>
  </w:abstractNum>
  <w:abstractNum w:abstractNumId="9">
    <w:nsid w:val="CBA95BD0"/>
    <w:multiLevelType w:val="singleLevel"/>
    <w:tmpl w:val="CBA95BD0"/>
    <w:lvl w:ilvl="0" w:tentative="0">
      <w:start w:val="1"/>
      <w:numFmt w:val="decimal"/>
      <w:suff w:val="space"/>
      <w:lvlText w:val="%1."/>
      <w:lvlJc w:val="left"/>
    </w:lvl>
  </w:abstractNum>
  <w:abstractNum w:abstractNumId="10">
    <w:nsid w:val="CCE21E4E"/>
    <w:multiLevelType w:val="singleLevel"/>
    <w:tmpl w:val="CCE21E4E"/>
    <w:lvl w:ilvl="0" w:tentative="0">
      <w:start w:val="1"/>
      <w:numFmt w:val="decimal"/>
      <w:pStyle w:val="4"/>
      <w:suff w:val="space"/>
      <w:lvlText w:val="%1."/>
      <w:lvlJc w:val="left"/>
    </w:lvl>
  </w:abstractNum>
  <w:abstractNum w:abstractNumId="11">
    <w:nsid w:val="E1B847AF"/>
    <w:multiLevelType w:val="singleLevel"/>
    <w:tmpl w:val="E1B847AF"/>
    <w:lvl w:ilvl="0" w:tentative="0">
      <w:start w:val="1"/>
      <w:numFmt w:val="decimal"/>
      <w:suff w:val="space"/>
      <w:lvlText w:val="(%1)"/>
      <w:lvlJc w:val="left"/>
      <w:pPr>
        <w:ind w:left="425" w:hanging="425"/>
      </w:pPr>
      <w:rPr>
        <w:rFonts w:hint="default"/>
      </w:rPr>
    </w:lvl>
  </w:abstractNum>
  <w:abstractNum w:abstractNumId="12">
    <w:nsid w:val="E80F0093"/>
    <w:multiLevelType w:val="singleLevel"/>
    <w:tmpl w:val="E80F0093"/>
    <w:lvl w:ilvl="0" w:tentative="0">
      <w:start w:val="1"/>
      <w:numFmt w:val="decimal"/>
      <w:suff w:val="space"/>
      <w:lvlText w:val="%1."/>
      <w:lvlJc w:val="left"/>
    </w:lvl>
  </w:abstractNum>
  <w:abstractNum w:abstractNumId="13">
    <w:nsid w:val="E94F006A"/>
    <w:multiLevelType w:val="singleLevel"/>
    <w:tmpl w:val="E94F006A"/>
    <w:lvl w:ilvl="0" w:tentative="0">
      <w:start w:val="1"/>
      <w:numFmt w:val="decimal"/>
      <w:suff w:val="space"/>
      <w:lvlText w:val="(%1)"/>
      <w:lvlJc w:val="left"/>
      <w:pPr>
        <w:ind w:left="425" w:hanging="425"/>
      </w:pPr>
      <w:rPr>
        <w:rFonts w:hint="default"/>
      </w:rPr>
    </w:lvl>
  </w:abstractNum>
  <w:abstractNum w:abstractNumId="14">
    <w:nsid w:val="EAC09E09"/>
    <w:multiLevelType w:val="singleLevel"/>
    <w:tmpl w:val="EAC09E09"/>
    <w:lvl w:ilvl="0" w:tentative="0">
      <w:start w:val="1"/>
      <w:numFmt w:val="decimal"/>
      <w:suff w:val="nothing"/>
      <w:lvlText w:val="%1．"/>
      <w:lvlJc w:val="left"/>
      <w:pPr>
        <w:ind w:left="0" w:firstLine="400"/>
      </w:pPr>
      <w:rPr>
        <w:rFonts w:hint="default"/>
      </w:rPr>
    </w:lvl>
  </w:abstractNum>
  <w:abstractNum w:abstractNumId="15">
    <w:nsid w:val="FAC7EF30"/>
    <w:multiLevelType w:val="singleLevel"/>
    <w:tmpl w:val="FAC7EF30"/>
    <w:lvl w:ilvl="0" w:tentative="0">
      <w:start w:val="1"/>
      <w:numFmt w:val="decimal"/>
      <w:lvlText w:val="%1."/>
      <w:lvlJc w:val="left"/>
      <w:pPr>
        <w:tabs>
          <w:tab w:val="left" w:pos="312"/>
        </w:tabs>
      </w:pPr>
    </w:lvl>
  </w:abstractNum>
  <w:abstractNum w:abstractNumId="16">
    <w:nsid w:val="02DC417C"/>
    <w:multiLevelType w:val="singleLevel"/>
    <w:tmpl w:val="02DC417C"/>
    <w:lvl w:ilvl="0" w:tentative="0">
      <w:start w:val="1"/>
      <w:numFmt w:val="chineseCounting"/>
      <w:suff w:val="nothing"/>
      <w:lvlText w:val="（%1）"/>
      <w:lvlJc w:val="left"/>
      <w:pPr>
        <w:ind w:left="0" w:firstLine="420"/>
      </w:pPr>
      <w:rPr>
        <w:rFonts w:hint="eastAsia"/>
      </w:rPr>
    </w:lvl>
  </w:abstractNum>
  <w:abstractNum w:abstractNumId="17">
    <w:nsid w:val="0CBD35D5"/>
    <w:multiLevelType w:val="singleLevel"/>
    <w:tmpl w:val="0CBD35D5"/>
    <w:lvl w:ilvl="0" w:tentative="0">
      <w:start w:val="1"/>
      <w:numFmt w:val="decimal"/>
      <w:suff w:val="space"/>
      <w:lvlText w:val="(%1)"/>
      <w:lvlJc w:val="left"/>
      <w:pPr>
        <w:ind w:left="425" w:hanging="425"/>
      </w:pPr>
      <w:rPr>
        <w:rFonts w:hint="default"/>
      </w:rPr>
    </w:lvl>
  </w:abstractNum>
  <w:abstractNum w:abstractNumId="18">
    <w:nsid w:val="1BC0E9AD"/>
    <w:multiLevelType w:val="singleLevel"/>
    <w:tmpl w:val="1BC0E9AD"/>
    <w:lvl w:ilvl="0" w:tentative="0">
      <w:start w:val="1"/>
      <w:numFmt w:val="decimal"/>
      <w:suff w:val="space"/>
      <w:lvlText w:val="%1."/>
      <w:lvlJc w:val="left"/>
    </w:lvl>
  </w:abstractNum>
  <w:abstractNum w:abstractNumId="19">
    <w:nsid w:val="1D6B3EB3"/>
    <w:multiLevelType w:val="singleLevel"/>
    <w:tmpl w:val="1D6B3EB3"/>
    <w:lvl w:ilvl="0" w:tentative="0">
      <w:start w:val="1"/>
      <w:numFmt w:val="decimal"/>
      <w:suff w:val="nothing"/>
      <w:lvlText w:val="（%1）"/>
      <w:lvlJc w:val="left"/>
    </w:lvl>
  </w:abstractNum>
  <w:abstractNum w:abstractNumId="2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22"/>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2518B747"/>
    <w:multiLevelType w:val="singleLevel"/>
    <w:tmpl w:val="2518B747"/>
    <w:lvl w:ilvl="0" w:tentative="0">
      <w:start w:val="1"/>
      <w:numFmt w:val="decimal"/>
      <w:suff w:val="space"/>
      <w:lvlText w:val="%1."/>
      <w:lvlJc w:val="left"/>
    </w:lvl>
  </w:abstractNum>
  <w:abstractNum w:abstractNumId="22">
    <w:nsid w:val="27913476"/>
    <w:multiLevelType w:val="singleLevel"/>
    <w:tmpl w:val="27913476"/>
    <w:lvl w:ilvl="0" w:tentative="0">
      <w:start w:val="1"/>
      <w:numFmt w:val="decimal"/>
      <w:suff w:val="nothing"/>
      <w:lvlText w:val="（%1）"/>
      <w:lvlJc w:val="left"/>
    </w:lvl>
  </w:abstractNum>
  <w:abstractNum w:abstractNumId="23">
    <w:nsid w:val="2C5917C3"/>
    <w:multiLevelType w:val="multilevel"/>
    <w:tmpl w:val="2C5917C3"/>
    <w:lvl w:ilvl="0" w:tentative="0">
      <w:start w:val="1"/>
      <w:numFmt w:val="none"/>
      <w:pStyle w:val="24"/>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4">
    <w:nsid w:val="4C0305EF"/>
    <w:multiLevelType w:val="singleLevel"/>
    <w:tmpl w:val="4C0305EF"/>
    <w:lvl w:ilvl="0" w:tentative="0">
      <w:start w:val="1"/>
      <w:numFmt w:val="chineseCounting"/>
      <w:suff w:val="nothing"/>
      <w:lvlText w:val="（%1）"/>
      <w:lvlJc w:val="left"/>
      <w:pPr>
        <w:ind w:left="0" w:firstLine="420"/>
      </w:pPr>
      <w:rPr>
        <w:rFonts w:hint="eastAsia"/>
      </w:rPr>
    </w:lvl>
  </w:abstractNum>
  <w:abstractNum w:abstractNumId="25">
    <w:nsid w:val="4DEEA608"/>
    <w:multiLevelType w:val="singleLevel"/>
    <w:tmpl w:val="4DEEA608"/>
    <w:lvl w:ilvl="0" w:tentative="0">
      <w:start w:val="1"/>
      <w:numFmt w:val="decimal"/>
      <w:suff w:val="space"/>
      <w:lvlText w:val="(%1)"/>
      <w:lvlJc w:val="left"/>
      <w:pPr>
        <w:ind w:left="425" w:hanging="425"/>
      </w:pPr>
      <w:rPr>
        <w:rFonts w:hint="default"/>
      </w:rPr>
    </w:lvl>
  </w:abstractNum>
  <w:abstractNum w:abstractNumId="26">
    <w:nsid w:val="62E8377A"/>
    <w:multiLevelType w:val="singleLevel"/>
    <w:tmpl w:val="62E8377A"/>
    <w:lvl w:ilvl="0" w:tentative="0">
      <w:start w:val="1"/>
      <w:numFmt w:val="decimal"/>
      <w:suff w:val="space"/>
      <w:lvlText w:val="(%1)"/>
      <w:lvlJc w:val="left"/>
      <w:pPr>
        <w:ind w:left="425" w:hanging="425"/>
      </w:pPr>
      <w:rPr>
        <w:rFonts w:hint="default"/>
      </w:rPr>
    </w:lvl>
  </w:abstractNum>
  <w:abstractNum w:abstractNumId="27">
    <w:nsid w:val="6669A103"/>
    <w:multiLevelType w:val="singleLevel"/>
    <w:tmpl w:val="6669A103"/>
    <w:lvl w:ilvl="0" w:tentative="0">
      <w:start w:val="1"/>
      <w:numFmt w:val="decimal"/>
      <w:lvlText w:val="%1."/>
      <w:lvlJc w:val="left"/>
      <w:pPr>
        <w:tabs>
          <w:tab w:val="left" w:pos="312"/>
        </w:tabs>
      </w:pPr>
    </w:lvl>
  </w:abstractNum>
  <w:abstractNum w:abstractNumId="28">
    <w:nsid w:val="66D6D396"/>
    <w:multiLevelType w:val="singleLevel"/>
    <w:tmpl w:val="66D6D396"/>
    <w:lvl w:ilvl="0" w:tentative="0">
      <w:start w:val="1"/>
      <w:numFmt w:val="decimal"/>
      <w:suff w:val="nothing"/>
      <w:lvlText w:val="（%1）"/>
      <w:lvlJc w:val="left"/>
    </w:lvl>
  </w:abstractNum>
  <w:abstractNum w:abstractNumId="29">
    <w:nsid w:val="68331B06"/>
    <w:multiLevelType w:val="singleLevel"/>
    <w:tmpl w:val="68331B06"/>
    <w:lvl w:ilvl="0" w:tentative="0">
      <w:start w:val="1"/>
      <w:numFmt w:val="decimal"/>
      <w:suff w:val="space"/>
      <w:lvlText w:val="(%1)"/>
      <w:lvlJc w:val="left"/>
      <w:pPr>
        <w:ind w:left="425" w:hanging="425"/>
      </w:pPr>
      <w:rPr>
        <w:rFonts w:hint="default"/>
      </w:rPr>
    </w:lvl>
  </w:abstractNum>
  <w:abstractNum w:abstractNumId="30">
    <w:nsid w:val="6E3C90DD"/>
    <w:multiLevelType w:val="singleLevel"/>
    <w:tmpl w:val="6E3C90DD"/>
    <w:lvl w:ilvl="0" w:tentative="0">
      <w:start w:val="1"/>
      <w:numFmt w:val="chineseCounting"/>
      <w:suff w:val="nothing"/>
      <w:lvlText w:val="（%1）"/>
      <w:lvlJc w:val="left"/>
      <w:pPr>
        <w:ind w:left="0" w:firstLine="420"/>
      </w:pPr>
      <w:rPr>
        <w:rFonts w:hint="eastAsia"/>
      </w:rPr>
    </w:lvl>
  </w:abstractNum>
  <w:abstractNum w:abstractNumId="31">
    <w:nsid w:val="7680E67B"/>
    <w:multiLevelType w:val="singleLevel"/>
    <w:tmpl w:val="7680E67B"/>
    <w:lvl w:ilvl="0" w:tentative="0">
      <w:start w:val="1"/>
      <w:numFmt w:val="decimal"/>
      <w:suff w:val="space"/>
      <w:lvlText w:val="%1."/>
      <w:lvlJc w:val="left"/>
      <w:pPr>
        <w:ind w:left="425" w:hanging="425"/>
      </w:pPr>
      <w:rPr>
        <w:rFonts w:hint="default"/>
      </w:rPr>
    </w:lvl>
  </w:abstractNum>
  <w:abstractNum w:abstractNumId="32">
    <w:nsid w:val="7E524F9C"/>
    <w:multiLevelType w:val="singleLevel"/>
    <w:tmpl w:val="7E524F9C"/>
    <w:lvl w:ilvl="0" w:tentative="0">
      <w:start w:val="1"/>
      <w:numFmt w:val="decimal"/>
      <w:lvlText w:val="%1."/>
      <w:lvlJc w:val="left"/>
      <w:pPr>
        <w:tabs>
          <w:tab w:val="left" w:pos="312"/>
        </w:tabs>
      </w:pPr>
    </w:lvl>
  </w:abstractNum>
  <w:num w:numId="1">
    <w:abstractNumId w:val="10"/>
  </w:num>
  <w:num w:numId="2">
    <w:abstractNumId w:val="20"/>
  </w:num>
  <w:num w:numId="3">
    <w:abstractNumId w:val="23"/>
  </w:num>
  <w:num w:numId="4">
    <w:abstractNumId w:val="18"/>
  </w:num>
  <w:num w:numId="5">
    <w:abstractNumId w:val="15"/>
  </w:num>
  <w:num w:numId="6">
    <w:abstractNumId w:val="28"/>
  </w:num>
  <w:num w:numId="7">
    <w:abstractNumId w:val="21"/>
  </w:num>
  <w:num w:numId="8">
    <w:abstractNumId w:val="22"/>
  </w:num>
  <w:num w:numId="9">
    <w:abstractNumId w:val="7"/>
  </w:num>
  <w:num w:numId="10">
    <w:abstractNumId w:val="1"/>
  </w:num>
  <w:num w:numId="11">
    <w:abstractNumId w:val="0"/>
  </w:num>
  <w:num w:numId="12">
    <w:abstractNumId w:val="27"/>
  </w:num>
  <w:num w:numId="13">
    <w:abstractNumId w:val="30"/>
  </w:num>
  <w:num w:numId="14">
    <w:abstractNumId w:val="24"/>
  </w:num>
  <w:num w:numId="15">
    <w:abstractNumId w:val="5"/>
  </w:num>
  <w:num w:numId="16">
    <w:abstractNumId w:val="16"/>
  </w:num>
  <w:num w:numId="17">
    <w:abstractNumId w:val="31"/>
  </w:num>
  <w:num w:numId="18">
    <w:abstractNumId w:val="12"/>
  </w:num>
  <w:num w:numId="19">
    <w:abstractNumId w:val="9"/>
  </w:num>
  <w:num w:numId="20">
    <w:abstractNumId w:val="3"/>
  </w:num>
  <w:num w:numId="21">
    <w:abstractNumId w:val="25"/>
  </w:num>
  <w:num w:numId="22">
    <w:abstractNumId w:val="26"/>
  </w:num>
  <w:num w:numId="23">
    <w:abstractNumId w:val="11"/>
  </w:num>
  <w:num w:numId="24">
    <w:abstractNumId w:val="17"/>
  </w:num>
  <w:num w:numId="25">
    <w:abstractNumId w:val="13"/>
  </w:num>
  <w:num w:numId="26">
    <w:abstractNumId w:val="2"/>
  </w:num>
  <w:num w:numId="27">
    <w:abstractNumId w:val="29"/>
  </w:num>
  <w:num w:numId="28">
    <w:abstractNumId w:val="8"/>
  </w:num>
  <w:num w:numId="29">
    <w:abstractNumId w:val="19"/>
  </w:num>
  <w:num w:numId="30">
    <w:abstractNumId w:val="6"/>
  </w:num>
  <w:num w:numId="31">
    <w:abstractNumId w:val="4"/>
  </w:num>
  <w:num w:numId="32">
    <w:abstractNumId w:val="3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8F4F4E"/>
    <w:rsid w:val="00177E6A"/>
    <w:rsid w:val="001C1815"/>
    <w:rsid w:val="0051287E"/>
    <w:rsid w:val="009C7964"/>
    <w:rsid w:val="019F79DD"/>
    <w:rsid w:val="01A03665"/>
    <w:rsid w:val="022330E8"/>
    <w:rsid w:val="0234061C"/>
    <w:rsid w:val="025907ED"/>
    <w:rsid w:val="029A3663"/>
    <w:rsid w:val="02BD75DA"/>
    <w:rsid w:val="02E9450A"/>
    <w:rsid w:val="03773C2D"/>
    <w:rsid w:val="03A208D7"/>
    <w:rsid w:val="03C525EF"/>
    <w:rsid w:val="03CB3B26"/>
    <w:rsid w:val="03D0039E"/>
    <w:rsid w:val="03D501DE"/>
    <w:rsid w:val="03EB4F9A"/>
    <w:rsid w:val="03F02307"/>
    <w:rsid w:val="03F15695"/>
    <w:rsid w:val="048B7990"/>
    <w:rsid w:val="058000F4"/>
    <w:rsid w:val="06A425EB"/>
    <w:rsid w:val="06DF0467"/>
    <w:rsid w:val="06F64817"/>
    <w:rsid w:val="072C6BD8"/>
    <w:rsid w:val="075D6115"/>
    <w:rsid w:val="07BF7184"/>
    <w:rsid w:val="081303C8"/>
    <w:rsid w:val="081F309A"/>
    <w:rsid w:val="08412974"/>
    <w:rsid w:val="08C515D0"/>
    <w:rsid w:val="08DB555F"/>
    <w:rsid w:val="08EA56A4"/>
    <w:rsid w:val="098F5327"/>
    <w:rsid w:val="09CB693C"/>
    <w:rsid w:val="09E31584"/>
    <w:rsid w:val="0A057F7C"/>
    <w:rsid w:val="0A884C87"/>
    <w:rsid w:val="0B252C4E"/>
    <w:rsid w:val="0B745EF9"/>
    <w:rsid w:val="0BE1433A"/>
    <w:rsid w:val="0BFD5093"/>
    <w:rsid w:val="0C0B7609"/>
    <w:rsid w:val="0C183C9A"/>
    <w:rsid w:val="0CDB1EAD"/>
    <w:rsid w:val="0D9660CF"/>
    <w:rsid w:val="0D991370"/>
    <w:rsid w:val="0E575708"/>
    <w:rsid w:val="0E5A2796"/>
    <w:rsid w:val="0E7C78DC"/>
    <w:rsid w:val="0EC2358C"/>
    <w:rsid w:val="0F2631D5"/>
    <w:rsid w:val="0F9E0106"/>
    <w:rsid w:val="0FB36D14"/>
    <w:rsid w:val="101E3DAE"/>
    <w:rsid w:val="10705B6A"/>
    <w:rsid w:val="10756994"/>
    <w:rsid w:val="10852834"/>
    <w:rsid w:val="1088668E"/>
    <w:rsid w:val="114E1CD3"/>
    <w:rsid w:val="115A162D"/>
    <w:rsid w:val="11E71254"/>
    <w:rsid w:val="11EF0788"/>
    <w:rsid w:val="12765A3B"/>
    <w:rsid w:val="12AC24ED"/>
    <w:rsid w:val="12EA5817"/>
    <w:rsid w:val="13603836"/>
    <w:rsid w:val="13DC07AF"/>
    <w:rsid w:val="14833A3B"/>
    <w:rsid w:val="15270F29"/>
    <w:rsid w:val="154401E2"/>
    <w:rsid w:val="155B79BB"/>
    <w:rsid w:val="15941BB3"/>
    <w:rsid w:val="15B8435D"/>
    <w:rsid w:val="15CF3330"/>
    <w:rsid w:val="15D84E8C"/>
    <w:rsid w:val="160F7CF5"/>
    <w:rsid w:val="1623663A"/>
    <w:rsid w:val="16A62408"/>
    <w:rsid w:val="17A03647"/>
    <w:rsid w:val="17CA0378"/>
    <w:rsid w:val="17FC336F"/>
    <w:rsid w:val="18397C4D"/>
    <w:rsid w:val="18CD04EF"/>
    <w:rsid w:val="193C29C9"/>
    <w:rsid w:val="195A402A"/>
    <w:rsid w:val="19D47863"/>
    <w:rsid w:val="1A4C6DBB"/>
    <w:rsid w:val="1A8C5A32"/>
    <w:rsid w:val="1A8E21EA"/>
    <w:rsid w:val="1AA16C78"/>
    <w:rsid w:val="1AA910E8"/>
    <w:rsid w:val="1AB312FB"/>
    <w:rsid w:val="1AC93BBF"/>
    <w:rsid w:val="1AFB1154"/>
    <w:rsid w:val="1B173C5D"/>
    <w:rsid w:val="1B2028BA"/>
    <w:rsid w:val="1BD30CDF"/>
    <w:rsid w:val="1C6336CC"/>
    <w:rsid w:val="1C842D60"/>
    <w:rsid w:val="1CA81259"/>
    <w:rsid w:val="1D181F30"/>
    <w:rsid w:val="1D715850"/>
    <w:rsid w:val="1D8D324C"/>
    <w:rsid w:val="1E105FD3"/>
    <w:rsid w:val="1E8666D8"/>
    <w:rsid w:val="1EE95B3A"/>
    <w:rsid w:val="1F121DD9"/>
    <w:rsid w:val="1F86727A"/>
    <w:rsid w:val="1F9C2044"/>
    <w:rsid w:val="20387CC7"/>
    <w:rsid w:val="208C266E"/>
    <w:rsid w:val="20B17452"/>
    <w:rsid w:val="20DC0B8C"/>
    <w:rsid w:val="20F034E5"/>
    <w:rsid w:val="212214E5"/>
    <w:rsid w:val="218D4612"/>
    <w:rsid w:val="21E220E0"/>
    <w:rsid w:val="225648ED"/>
    <w:rsid w:val="225D0766"/>
    <w:rsid w:val="22C30DD0"/>
    <w:rsid w:val="231057D9"/>
    <w:rsid w:val="240B5FA0"/>
    <w:rsid w:val="24AC41AC"/>
    <w:rsid w:val="24D90299"/>
    <w:rsid w:val="25617CAE"/>
    <w:rsid w:val="258C61B9"/>
    <w:rsid w:val="25A4045A"/>
    <w:rsid w:val="268C2963"/>
    <w:rsid w:val="26AA40F5"/>
    <w:rsid w:val="26BA75AF"/>
    <w:rsid w:val="26E203BA"/>
    <w:rsid w:val="26F947D6"/>
    <w:rsid w:val="27755F9B"/>
    <w:rsid w:val="27B72166"/>
    <w:rsid w:val="27E16E09"/>
    <w:rsid w:val="27E96033"/>
    <w:rsid w:val="280A05A3"/>
    <w:rsid w:val="2861638D"/>
    <w:rsid w:val="286F4C4F"/>
    <w:rsid w:val="28FC235B"/>
    <w:rsid w:val="29A05869"/>
    <w:rsid w:val="29B9619D"/>
    <w:rsid w:val="29C86816"/>
    <w:rsid w:val="29E81572"/>
    <w:rsid w:val="2A4C2E6E"/>
    <w:rsid w:val="2A62494D"/>
    <w:rsid w:val="2A71286E"/>
    <w:rsid w:val="2ABB6513"/>
    <w:rsid w:val="2ADC5000"/>
    <w:rsid w:val="2B665259"/>
    <w:rsid w:val="2B8C5C18"/>
    <w:rsid w:val="2B9D6D23"/>
    <w:rsid w:val="2BB563D7"/>
    <w:rsid w:val="2BFA5FCB"/>
    <w:rsid w:val="2C613836"/>
    <w:rsid w:val="2C7F5513"/>
    <w:rsid w:val="2D2C7D72"/>
    <w:rsid w:val="2D3619B4"/>
    <w:rsid w:val="2D4D2C4B"/>
    <w:rsid w:val="2D691A7F"/>
    <w:rsid w:val="2DC50697"/>
    <w:rsid w:val="2DCF7166"/>
    <w:rsid w:val="2E1C5A71"/>
    <w:rsid w:val="2E7A1083"/>
    <w:rsid w:val="2E7C36B4"/>
    <w:rsid w:val="2EC97183"/>
    <w:rsid w:val="2EE6429F"/>
    <w:rsid w:val="2EFD068D"/>
    <w:rsid w:val="2F063F34"/>
    <w:rsid w:val="2FE43EA3"/>
    <w:rsid w:val="30796039"/>
    <w:rsid w:val="30994E8B"/>
    <w:rsid w:val="31B81E76"/>
    <w:rsid w:val="31C77225"/>
    <w:rsid w:val="32FA25E2"/>
    <w:rsid w:val="33025CA3"/>
    <w:rsid w:val="335352A8"/>
    <w:rsid w:val="33835B53"/>
    <w:rsid w:val="33AB5B87"/>
    <w:rsid w:val="340F19FC"/>
    <w:rsid w:val="343D659C"/>
    <w:rsid w:val="347F60F0"/>
    <w:rsid w:val="34F40D1E"/>
    <w:rsid w:val="34FA64A9"/>
    <w:rsid w:val="3500053D"/>
    <w:rsid w:val="35A60FB7"/>
    <w:rsid w:val="35B5458C"/>
    <w:rsid w:val="35CC682C"/>
    <w:rsid w:val="36280C33"/>
    <w:rsid w:val="363148C3"/>
    <w:rsid w:val="366221E2"/>
    <w:rsid w:val="36F756A5"/>
    <w:rsid w:val="36F8344F"/>
    <w:rsid w:val="375C6C45"/>
    <w:rsid w:val="37A952ED"/>
    <w:rsid w:val="38005440"/>
    <w:rsid w:val="384E4297"/>
    <w:rsid w:val="39093F69"/>
    <w:rsid w:val="392B1935"/>
    <w:rsid w:val="39977642"/>
    <w:rsid w:val="39B96D28"/>
    <w:rsid w:val="3A573895"/>
    <w:rsid w:val="3AE06C64"/>
    <w:rsid w:val="3AE731AC"/>
    <w:rsid w:val="3AFE7F86"/>
    <w:rsid w:val="3B007373"/>
    <w:rsid w:val="3B2E2848"/>
    <w:rsid w:val="3B851344"/>
    <w:rsid w:val="3BA11C66"/>
    <w:rsid w:val="3BA774A2"/>
    <w:rsid w:val="3BE64C6A"/>
    <w:rsid w:val="3C25519F"/>
    <w:rsid w:val="3CD6665C"/>
    <w:rsid w:val="3D1C1061"/>
    <w:rsid w:val="3D4D37A6"/>
    <w:rsid w:val="3D655158"/>
    <w:rsid w:val="3D687B67"/>
    <w:rsid w:val="3DA512EA"/>
    <w:rsid w:val="3DAC2788"/>
    <w:rsid w:val="3E0E2BCD"/>
    <w:rsid w:val="3E432AAE"/>
    <w:rsid w:val="3E977202"/>
    <w:rsid w:val="3E9F14EA"/>
    <w:rsid w:val="3EDA2151"/>
    <w:rsid w:val="3EE168B7"/>
    <w:rsid w:val="3EE53ED9"/>
    <w:rsid w:val="3F0B540F"/>
    <w:rsid w:val="3F412864"/>
    <w:rsid w:val="3FA84B3B"/>
    <w:rsid w:val="40BD744D"/>
    <w:rsid w:val="4166606D"/>
    <w:rsid w:val="41784C94"/>
    <w:rsid w:val="417A15A1"/>
    <w:rsid w:val="42393071"/>
    <w:rsid w:val="42410BC9"/>
    <w:rsid w:val="429107E7"/>
    <w:rsid w:val="42A938CE"/>
    <w:rsid w:val="431C56A7"/>
    <w:rsid w:val="43290586"/>
    <w:rsid w:val="436A0CD3"/>
    <w:rsid w:val="43F96489"/>
    <w:rsid w:val="44016C35"/>
    <w:rsid w:val="442D183B"/>
    <w:rsid w:val="44380C9F"/>
    <w:rsid w:val="44914242"/>
    <w:rsid w:val="44EB17AA"/>
    <w:rsid w:val="450563A0"/>
    <w:rsid w:val="45196317"/>
    <w:rsid w:val="45236D61"/>
    <w:rsid w:val="45413BF8"/>
    <w:rsid w:val="459331A5"/>
    <w:rsid w:val="459A0BA5"/>
    <w:rsid w:val="45A7047E"/>
    <w:rsid w:val="45A93F8C"/>
    <w:rsid w:val="45BB63E7"/>
    <w:rsid w:val="45CB571D"/>
    <w:rsid w:val="460123B2"/>
    <w:rsid w:val="4607616F"/>
    <w:rsid w:val="46366A55"/>
    <w:rsid w:val="463F7A4A"/>
    <w:rsid w:val="46DB6CE2"/>
    <w:rsid w:val="47115EDC"/>
    <w:rsid w:val="482B6D2B"/>
    <w:rsid w:val="486125F2"/>
    <w:rsid w:val="488060F8"/>
    <w:rsid w:val="48884595"/>
    <w:rsid w:val="48C673BE"/>
    <w:rsid w:val="49072A2C"/>
    <w:rsid w:val="4A2A68D0"/>
    <w:rsid w:val="4B0D2026"/>
    <w:rsid w:val="4B8C0EC4"/>
    <w:rsid w:val="4BD941E8"/>
    <w:rsid w:val="4C1A51E9"/>
    <w:rsid w:val="4C431988"/>
    <w:rsid w:val="4C60438C"/>
    <w:rsid w:val="4C9176A6"/>
    <w:rsid w:val="4CD45776"/>
    <w:rsid w:val="4DF629F6"/>
    <w:rsid w:val="4E8F13F8"/>
    <w:rsid w:val="4FFE18CB"/>
    <w:rsid w:val="50A2107E"/>
    <w:rsid w:val="5146601D"/>
    <w:rsid w:val="518F1B9E"/>
    <w:rsid w:val="52145A27"/>
    <w:rsid w:val="52472762"/>
    <w:rsid w:val="52866541"/>
    <w:rsid w:val="52A92354"/>
    <w:rsid w:val="52D5675D"/>
    <w:rsid w:val="52EF725B"/>
    <w:rsid w:val="52F47AC0"/>
    <w:rsid w:val="53D31D87"/>
    <w:rsid w:val="53FA7FA7"/>
    <w:rsid w:val="540B5493"/>
    <w:rsid w:val="5433532D"/>
    <w:rsid w:val="543970FC"/>
    <w:rsid w:val="543F11CA"/>
    <w:rsid w:val="54AA461F"/>
    <w:rsid w:val="54AB4379"/>
    <w:rsid w:val="54AB64CF"/>
    <w:rsid w:val="54BA1837"/>
    <w:rsid w:val="54C326B4"/>
    <w:rsid w:val="54CA08E7"/>
    <w:rsid w:val="54D55042"/>
    <w:rsid w:val="54FC3915"/>
    <w:rsid w:val="550A3B96"/>
    <w:rsid w:val="557D01FC"/>
    <w:rsid w:val="55830AF0"/>
    <w:rsid w:val="55923C06"/>
    <w:rsid w:val="55C478D2"/>
    <w:rsid w:val="561C5099"/>
    <w:rsid w:val="563E0DDF"/>
    <w:rsid w:val="56813D1C"/>
    <w:rsid w:val="56A82C83"/>
    <w:rsid w:val="572A56EB"/>
    <w:rsid w:val="572E4D14"/>
    <w:rsid w:val="573D67FA"/>
    <w:rsid w:val="57CC3781"/>
    <w:rsid w:val="57CE0F24"/>
    <w:rsid w:val="581A61D6"/>
    <w:rsid w:val="582B4F8E"/>
    <w:rsid w:val="582D143C"/>
    <w:rsid w:val="583A3D03"/>
    <w:rsid w:val="583D1FF0"/>
    <w:rsid w:val="59390824"/>
    <w:rsid w:val="593B1089"/>
    <w:rsid w:val="59823A6B"/>
    <w:rsid w:val="5A2151EA"/>
    <w:rsid w:val="5A5B578B"/>
    <w:rsid w:val="5A744D98"/>
    <w:rsid w:val="5A775329"/>
    <w:rsid w:val="5A9B74F7"/>
    <w:rsid w:val="5AD52888"/>
    <w:rsid w:val="5B4060D1"/>
    <w:rsid w:val="5B8F4F4E"/>
    <w:rsid w:val="5B930E53"/>
    <w:rsid w:val="5BCF2AA8"/>
    <w:rsid w:val="5BE32EE2"/>
    <w:rsid w:val="5C0352DB"/>
    <w:rsid w:val="5CD2613E"/>
    <w:rsid w:val="5D703072"/>
    <w:rsid w:val="5DEF65F4"/>
    <w:rsid w:val="5EAC3900"/>
    <w:rsid w:val="5EAF5A9B"/>
    <w:rsid w:val="5EC96260"/>
    <w:rsid w:val="5ECF754E"/>
    <w:rsid w:val="5F13572D"/>
    <w:rsid w:val="5F4C115D"/>
    <w:rsid w:val="5FDC0E1C"/>
    <w:rsid w:val="5FE84E0C"/>
    <w:rsid w:val="5FEF62C7"/>
    <w:rsid w:val="601030EE"/>
    <w:rsid w:val="60545D32"/>
    <w:rsid w:val="607C6FD9"/>
    <w:rsid w:val="60C33926"/>
    <w:rsid w:val="610533D3"/>
    <w:rsid w:val="611F15E5"/>
    <w:rsid w:val="615A420D"/>
    <w:rsid w:val="61B90CE9"/>
    <w:rsid w:val="61C806FB"/>
    <w:rsid w:val="61DE12EC"/>
    <w:rsid w:val="61F71539"/>
    <w:rsid w:val="62761A0E"/>
    <w:rsid w:val="63043D0B"/>
    <w:rsid w:val="63082964"/>
    <w:rsid w:val="632453C9"/>
    <w:rsid w:val="632D7CE3"/>
    <w:rsid w:val="63785B3A"/>
    <w:rsid w:val="63862AAF"/>
    <w:rsid w:val="638F1633"/>
    <w:rsid w:val="63FF7D1F"/>
    <w:rsid w:val="64203D44"/>
    <w:rsid w:val="643D34B0"/>
    <w:rsid w:val="64D12312"/>
    <w:rsid w:val="64D953BE"/>
    <w:rsid w:val="6530580C"/>
    <w:rsid w:val="65427924"/>
    <w:rsid w:val="65506C1D"/>
    <w:rsid w:val="657200D5"/>
    <w:rsid w:val="664F5CD6"/>
    <w:rsid w:val="665811E3"/>
    <w:rsid w:val="667747A1"/>
    <w:rsid w:val="66896D8D"/>
    <w:rsid w:val="66CA1717"/>
    <w:rsid w:val="66CC3F8B"/>
    <w:rsid w:val="6710610D"/>
    <w:rsid w:val="671A443C"/>
    <w:rsid w:val="67BC7A0A"/>
    <w:rsid w:val="67F41B11"/>
    <w:rsid w:val="682312A9"/>
    <w:rsid w:val="683F73B3"/>
    <w:rsid w:val="684D20A5"/>
    <w:rsid w:val="68F41A1C"/>
    <w:rsid w:val="694F2375"/>
    <w:rsid w:val="699C3086"/>
    <w:rsid w:val="69A356F7"/>
    <w:rsid w:val="69BD5DE5"/>
    <w:rsid w:val="69E10B5C"/>
    <w:rsid w:val="6A2202FA"/>
    <w:rsid w:val="6A916DE8"/>
    <w:rsid w:val="6ADE6805"/>
    <w:rsid w:val="6ADE7537"/>
    <w:rsid w:val="6B224CDC"/>
    <w:rsid w:val="6B2E7F25"/>
    <w:rsid w:val="6B714AD3"/>
    <w:rsid w:val="6BAE3784"/>
    <w:rsid w:val="6BC06C3D"/>
    <w:rsid w:val="6BC33211"/>
    <w:rsid w:val="6C5A5215"/>
    <w:rsid w:val="6D7D4479"/>
    <w:rsid w:val="6E2F77AF"/>
    <w:rsid w:val="6E477E7E"/>
    <w:rsid w:val="6E5418B1"/>
    <w:rsid w:val="6E5454ED"/>
    <w:rsid w:val="6EA2497F"/>
    <w:rsid w:val="6F2B2817"/>
    <w:rsid w:val="6F5166B1"/>
    <w:rsid w:val="6F5A691D"/>
    <w:rsid w:val="6F8D391A"/>
    <w:rsid w:val="7064403B"/>
    <w:rsid w:val="70A578B9"/>
    <w:rsid w:val="711F6D31"/>
    <w:rsid w:val="715B317C"/>
    <w:rsid w:val="71654D19"/>
    <w:rsid w:val="7166077D"/>
    <w:rsid w:val="717A1569"/>
    <w:rsid w:val="71810DC6"/>
    <w:rsid w:val="71846313"/>
    <w:rsid w:val="719C63F5"/>
    <w:rsid w:val="71BF5B06"/>
    <w:rsid w:val="722F7D00"/>
    <w:rsid w:val="73014491"/>
    <w:rsid w:val="730814C9"/>
    <w:rsid w:val="73CF5C6F"/>
    <w:rsid w:val="73F02984"/>
    <w:rsid w:val="740D27BD"/>
    <w:rsid w:val="74792A14"/>
    <w:rsid w:val="74C55E8F"/>
    <w:rsid w:val="752B3379"/>
    <w:rsid w:val="757B21FF"/>
    <w:rsid w:val="758D79E0"/>
    <w:rsid w:val="75BC229B"/>
    <w:rsid w:val="75E83570"/>
    <w:rsid w:val="762759B6"/>
    <w:rsid w:val="768E6448"/>
    <w:rsid w:val="76F93003"/>
    <w:rsid w:val="773161EA"/>
    <w:rsid w:val="775540E2"/>
    <w:rsid w:val="77B41BB7"/>
    <w:rsid w:val="782A5334"/>
    <w:rsid w:val="784159F3"/>
    <w:rsid w:val="786B03A7"/>
    <w:rsid w:val="79043094"/>
    <w:rsid w:val="79146C05"/>
    <w:rsid w:val="79904434"/>
    <w:rsid w:val="79DE5D01"/>
    <w:rsid w:val="7ABD483C"/>
    <w:rsid w:val="7AD233DE"/>
    <w:rsid w:val="7AF055DF"/>
    <w:rsid w:val="7B332082"/>
    <w:rsid w:val="7B851426"/>
    <w:rsid w:val="7BA06143"/>
    <w:rsid w:val="7BBA3910"/>
    <w:rsid w:val="7BC971DF"/>
    <w:rsid w:val="7BDA78A7"/>
    <w:rsid w:val="7BF1713B"/>
    <w:rsid w:val="7C193FC6"/>
    <w:rsid w:val="7C4A3E3B"/>
    <w:rsid w:val="7C55528C"/>
    <w:rsid w:val="7C5D0AD4"/>
    <w:rsid w:val="7D900613"/>
    <w:rsid w:val="7DF07AA7"/>
    <w:rsid w:val="7ED212B5"/>
    <w:rsid w:val="7EFE7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bidi w:val="0"/>
      <w:spacing w:line="400" w:lineRule="exact"/>
      <w:ind w:left="0" w:leftChars="0" w:firstLine="883" w:firstLineChars="200"/>
      <w:jc w:val="left"/>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Lines="0" w:afterLines="0" w:line="576" w:lineRule="auto"/>
      <w:ind w:firstLine="0" w:firstLineChars="0"/>
      <w:jc w:val="center"/>
      <w:outlineLvl w:val="0"/>
    </w:pPr>
    <w:rPr>
      <w:rFonts w:eastAsia="黑体"/>
      <w:sz w:val="28"/>
    </w:rPr>
  </w:style>
  <w:style w:type="paragraph" w:styleId="2">
    <w:name w:val="heading 2"/>
    <w:basedOn w:val="1"/>
    <w:next w:val="1"/>
    <w:unhideWhenUsed/>
    <w:qFormat/>
    <w:uiPriority w:val="0"/>
    <w:pPr>
      <w:keepNext/>
      <w:keepLines/>
      <w:spacing w:before="200" w:beforeLines="0" w:after="200" w:afterLines="0" w:line="240" w:lineRule="auto"/>
      <w:ind w:firstLine="640"/>
      <w:outlineLvl w:val="1"/>
    </w:pPr>
    <w:rPr>
      <w:rFonts w:ascii="Times New Roman" w:hAnsi="Times New Roman" w:eastAsia="黑体" w:cs="Times New Roman"/>
    </w:rPr>
  </w:style>
  <w:style w:type="paragraph" w:styleId="4">
    <w:name w:val="heading 3"/>
    <w:basedOn w:val="1"/>
    <w:next w:val="1"/>
    <w:unhideWhenUsed/>
    <w:qFormat/>
    <w:uiPriority w:val="0"/>
    <w:pPr>
      <w:keepNext/>
      <w:keepLines/>
      <w:numPr>
        <w:ilvl w:val="0"/>
        <w:numId w:val="1"/>
      </w:numPr>
      <w:spacing w:before="100" w:beforeLines="0" w:after="100" w:afterLines="0"/>
      <w:outlineLvl w:val="2"/>
    </w:pPr>
    <w:rPr>
      <w:rFonts w:eastAsia="方正楷体简体"/>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spacing w:line="360" w:lineRule="auto"/>
      <w:ind w:firstLine="420" w:firstLineChars="200"/>
    </w:pPr>
    <w:rPr>
      <w:rFonts w:ascii="Times New Roman" w:hAnsi="Times New Roman"/>
      <w:sz w:val="24"/>
    </w:rPr>
  </w:style>
  <w:style w:type="paragraph" w:styleId="6">
    <w:name w:val="Body Text"/>
    <w:basedOn w:val="1"/>
    <w:next w:val="1"/>
    <w:qFormat/>
    <w:uiPriority w:val="0"/>
    <w:pPr>
      <w:spacing w:before="0" w:after="140" w:line="276" w:lineRule="auto"/>
    </w:pPr>
    <w:rPr>
      <w:rFonts w:ascii="Times New Roman" w:hAnsi="Times New Roman" w:eastAsia="宋体" w:cs="Times New Roman"/>
    </w:rPr>
  </w:style>
  <w:style w:type="paragraph" w:styleId="7">
    <w:name w:val="Body Text Indent"/>
    <w:basedOn w:val="1"/>
    <w:next w:val="5"/>
    <w:unhideWhenUsed/>
    <w:qFormat/>
    <w:uiPriority w:val="99"/>
    <w:pPr>
      <w:spacing w:after="120"/>
      <w:ind w:left="420" w:leftChars="200"/>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Body Text First Indent"/>
    <w:basedOn w:val="6"/>
    <w:qFormat/>
    <w:uiPriority w:val="0"/>
    <w:pPr>
      <w:ind w:firstLine="420" w:firstLineChars="100"/>
    </w:pPr>
    <w:rPr>
      <w:rFonts w:ascii="Times New Roman" w:hAnsi="Times New Roman" w:eastAsia="宋体" w:cs="Times New Roman"/>
      <w:szCs w:val="24"/>
    </w:rPr>
  </w:style>
  <w:style w:type="paragraph" w:styleId="15">
    <w:name w:val="Body Text First Indent 2"/>
    <w:basedOn w:val="7"/>
    <w:next w:val="14"/>
    <w:unhideWhenUsed/>
    <w:qFormat/>
    <w:uiPriority w:val="99"/>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节"/>
    <w:basedOn w:val="2"/>
    <w:qFormat/>
    <w:uiPriority w:val="0"/>
    <w:pPr>
      <w:adjustRightInd w:val="0"/>
      <w:snapToGrid w:val="0"/>
      <w:spacing w:after="35" w:afterLines="35" w:line="460" w:lineRule="exact"/>
      <w:ind w:firstLine="200" w:firstLineChars="200"/>
      <w:jc w:val="left"/>
    </w:pPr>
    <w:rPr>
      <w:rFonts w:ascii="黑体" w:hAnsi="黑体"/>
      <w:bCs/>
      <w:color w:val="auto"/>
      <w:spacing w:val="4"/>
      <w:w w:val="100"/>
      <w:sz w:val="24"/>
      <w:szCs w:val="21"/>
      <w:lang w:val="zh-CN"/>
    </w:rPr>
  </w:style>
  <w:style w:type="paragraph" w:customStyle="1" w:styleId="20">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1">
    <w:name w:val="二级无"/>
    <w:basedOn w:val="22"/>
    <w:qFormat/>
    <w:uiPriority w:val="0"/>
    <w:pPr>
      <w:spacing w:before="0" w:beforeLines="0" w:after="0" w:afterLines="0"/>
      <w:ind w:left="0" w:firstLine="0"/>
    </w:pPr>
    <w:rPr>
      <w:rFonts w:ascii="宋体" w:eastAsia="宋体"/>
    </w:rPr>
  </w:style>
  <w:style w:type="paragraph" w:customStyle="1" w:styleId="22">
    <w:name w:val="二级条标题"/>
    <w:basedOn w:val="23"/>
    <w:next w:val="20"/>
    <w:qFormat/>
    <w:uiPriority w:val="0"/>
    <w:pPr>
      <w:numPr>
        <w:ilvl w:val="2"/>
        <w:numId w:val="2"/>
      </w:numPr>
      <w:spacing w:before="50" w:after="50"/>
      <w:outlineLvl w:val="3"/>
    </w:pPr>
  </w:style>
  <w:style w:type="paragraph" w:customStyle="1" w:styleId="23">
    <w:name w:val="一级条标题"/>
    <w:next w:val="20"/>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4">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25">
    <w:name w:val="Heading #2|1"/>
    <w:basedOn w:val="1"/>
    <w:qFormat/>
    <w:uiPriority w:val="0"/>
    <w:pPr>
      <w:widowControl w:val="0"/>
      <w:shd w:val="clear" w:color="auto" w:fill="auto"/>
      <w:spacing w:after="160"/>
      <w:jc w:val="center"/>
      <w:outlineLvl w:val="1"/>
    </w:pPr>
    <w:rPr>
      <w:rFonts w:ascii="宋体" w:hAnsi="宋体" w:eastAsia="宋体" w:cs="宋体"/>
      <w:sz w:val="36"/>
      <w:szCs w:val="36"/>
      <w:u w:val="none"/>
      <w:shd w:val="clear" w:color="auto" w:fill="auto"/>
      <w:lang w:val="zh-TW" w:eastAsia="zh-TW" w:bidi="zh-TW"/>
    </w:rPr>
  </w:style>
  <w:style w:type="paragraph" w:customStyle="1" w:styleId="26">
    <w:name w:val="Body text|1"/>
    <w:basedOn w:val="1"/>
    <w:qFormat/>
    <w:uiPriority w:val="0"/>
    <w:pPr>
      <w:widowControl w:val="0"/>
      <w:shd w:val="clear" w:color="auto" w:fill="auto"/>
      <w:spacing w:line="338" w:lineRule="auto"/>
    </w:pPr>
    <w:rPr>
      <w:rFonts w:ascii="宋体" w:hAnsi="宋体" w:eastAsia="宋体" w:cs="宋体"/>
      <w:sz w:val="30"/>
      <w:szCs w:val="30"/>
      <w:u w:val="none"/>
      <w:shd w:val="clear" w:color="auto" w:fill="auto"/>
      <w:lang w:val="zh-TW" w:eastAsia="zh-TW" w:bidi="zh-TW"/>
    </w:rPr>
  </w:style>
  <w:style w:type="paragraph" w:customStyle="1" w:styleId="27">
    <w:name w:val="Heading #1|1"/>
    <w:basedOn w:val="1"/>
    <w:qFormat/>
    <w:uiPriority w:val="0"/>
    <w:pPr>
      <w:widowControl w:val="0"/>
      <w:shd w:val="clear" w:color="auto" w:fill="auto"/>
      <w:spacing w:after="3820"/>
      <w:jc w:val="center"/>
      <w:outlineLvl w:val="0"/>
    </w:pPr>
    <w:rPr>
      <w:rFonts w:ascii="宋体" w:hAnsi="宋体" w:eastAsia="宋体" w:cs="宋体"/>
      <w:sz w:val="46"/>
      <w:szCs w:val="46"/>
      <w:u w:val="none"/>
      <w:shd w:val="clear" w:color="auto" w:fill="auto"/>
      <w:lang w:val="zh-TW" w:eastAsia="zh-TW" w:bidi="zh-TW"/>
    </w:rPr>
  </w:style>
  <w:style w:type="paragraph" w:customStyle="1" w:styleId="28">
    <w:name w:val="Other|1"/>
    <w:basedOn w:val="1"/>
    <w:qFormat/>
    <w:uiPriority w:val="0"/>
    <w:pPr>
      <w:widowControl w:val="0"/>
      <w:shd w:val="clear" w:color="auto" w:fill="auto"/>
      <w:spacing w:line="338" w:lineRule="auto"/>
    </w:pPr>
    <w:rPr>
      <w:rFonts w:ascii="宋体" w:hAnsi="宋体" w:eastAsia="宋体" w:cs="宋体"/>
      <w:sz w:val="30"/>
      <w:szCs w:val="30"/>
      <w:u w:val="none"/>
      <w:shd w:val="clear" w:color="auto" w:fill="auto"/>
      <w:lang w:val="zh-TW" w:eastAsia="zh-TW" w:bidi="zh-TW"/>
    </w:rPr>
  </w:style>
  <w:style w:type="paragraph" w:customStyle="1" w:styleId="29">
    <w:name w:val="Table caption|1"/>
    <w:basedOn w:val="1"/>
    <w:qFormat/>
    <w:uiPriority w:val="0"/>
    <w:pPr>
      <w:widowControl w:val="0"/>
      <w:shd w:val="clear" w:color="auto" w:fill="auto"/>
      <w:spacing w:line="322" w:lineRule="exact"/>
    </w:pPr>
    <w:rPr>
      <w:rFonts w:ascii="宋体" w:hAnsi="宋体" w:eastAsia="宋体" w:cs="宋体"/>
      <w:u w:val="none"/>
      <w:shd w:val="clear" w:color="auto" w:fill="auto"/>
      <w:lang w:val="zh-TW" w:eastAsia="zh-TW" w:bidi="zh-TW"/>
    </w:rPr>
  </w:style>
  <w:style w:type="paragraph" w:styleId="3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8413</Words>
  <Characters>8772</Characters>
  <Lines>0</Lines>
  <Paragraphs>0</Paragraphs>
  <TotalTime>1</TotalTime>
  <ScaleCrop>false</ScaleCrop>
  <LinksUpToDate>false</LinksUpToDate>
  <CharactersWithSpaces>9127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2025-10-28T01:06:00Z</dcterms:created>
  <dc:creator>王小军</dc:creator>
  <cp:lastModifiedBy>王小军</cp:lastModifiedBy>
  <cp:lastPrinted>2025-11-10T02:51:00Z</cp:lastPrinted>
  <dcterms:modified xsi:type="dcterms:W3CDTF">2026-04-27T09:12:05Z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135F5AB569FB499CAB8E79E500A0D157_11</vt:lpwstr>
  </property>
  <property fmtid="{D5CDD505-2E9C-101B-9397-08002B2CF9AE}" pid="4" name="KSOTemplateDocerSaveRecord">
    <vt:lpwstr>eyJoZGlkIjoiOThhMjNjNWZiYTM1NTc4YTA3N2E2ZGRkNmFiN2Y0MzEiLCJ1c2VySWQiOiIxNDc5NTc0Mzk2In0=</vt:lpwstr>
  </property>
</Properties>
</file>