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3D28D15">
      <w:pPr>
        <w:rPr>
          <w:rFonts w:hint="eastAsia" w:ascii="黑体" w:hAnsi="黑体" w:eastAsia="黑体" w:cs="黑体"/>
          <w:color w:val="auto"/>
          <w:lang w:val="en-US" w:eastAsia="zh-CN"/>
        </w:rPr>
      </w:pPr>
      <w:r>
        <w:rPr>
          <w:rFonts w:ascii="Times New Roman"/>
          <w:color w:val="000000"/>
        </w:rPr>
        <mc:AlternateContent>
          <mc:Choice Requires="wps">
            <w:drawing>
              <wp:anchor distT="0" distB="0" distL="114300" distR="114300" simplePos="0" relativeHeight="251664384" behindDoc="0" locked="0" layoutInCell="1" allowOverlap="1">
                <wp:simplePos x="0" y="0"/>
                <wp:positionH relativeFrom="column">
                  <wp:posOffset>-6985</wp:posOffset>
                </wp:positionH>
                <wp:positionV relativeFrom="paragraph">
                  <wp:posOffset>15240</wp:posOffset>
                </wp:positionV>
                <wp:extent cx="1828800" cy="569595"/>
                <wp:effectExtent l="0" t="0" r="0" b="1905"/>
                <wp:wrapNone/>
                <wp:docPr id="9" name="文本框 9"/>
                <wp:cNvGraphicFramePr/>
                <a:graphic xmlns:a="http://schemas.openxmlformats.org/drawingml/2006/main">
                  <a:graphicData uri="http://schemas.microsoft.com/office/word/2010/wordprocessingShape">
                    <wps:wsp>
                      <wps:cNvSpPr txBox="1">
                        <a:spLocks noChangeArrowheads="1"/>
                      </wps:cNvSpPr>
                      <wps:spPr bwMode="auto">
                        <a:xfrm>
                          <a:off x="915035" y="246380"/>
                          <a:ext cx="1828800" cy="569595"/>
                        </a:xfrm>
                        <a:prstGeom prst="rect">
                          <a:avLst/>
                        </a:prstGeom>
                        <a:solidFill>
                          <a:srgbClr val="FFFFFF"/>
                        </a:solidFill>
                        <a:ln>
                          <a:noFill/>
                        </a:ln>
                        <a:effectLst/>
                      </wps:spPr>
                      <wps:txbx>
                        <w:txbxContent>
                          <w:p w14:paraId="5C536F83">
                            <w:pPr>
                              <w:pStyle w:val="42"/>
                              <w:rPr>
                                <w:rFonts w:hint="default" w:eastAsia="黑体"/>
                                <w:lang w:val="en-US" w:eastAsia="zh-CN"/>
                              </w:rPr>
                            </w:pPr>
                            <w:r>
                              <w:t>ICS 13.0</w:t>
                            </w:r>
                            <w:r>
                              <w:rPr>
                                <w:rFonts w:hint="eastAsia"/>
                                <w:lang w:val="en-US" w:eastAsia="zh-CN"/>
                              </w:rPr>
                              <w:t>2</w:t>
                            </w:r>
                            <w:r>
                              <w:t>0.</w:t>
                            </w:r>
                            <w:r>
                              <w:rPr>
                                <w:rFonts w:hint="eastAsia"/>
                                <w:lang w:val="en-US" w:eastAsia="zh-CN"/>
                              </w:rPr>
                              <w:t>40</w:t>
                            </w:r>
                          </w:p>
                          <w:p w14:paraId="2775ADD9">
                            <w:pPr>
                              <w:pStyle w:val="42"/>
                              <w:rPr>
                                <w:rFonts w:hint="eastAsia" w:eastAsia="黑体"/>
                                <w:lang w:eastAsia="zh-CN"/>
                              </w:rPr>
                            </w:pPr>
                            <w:r>
                              <w:t xml:space="preserve">CCS </w:t>
                            </w:r>
                            <w:r>
                              <w:rPr>
                                <w:rFonts w:hint="eastAsia"/>
                              </w:rPr>
                              <w:t>Z</w:t>
                            </w:r>
                            <w:r>
                              <w:rPr>
                                <w:rFonts w:hint="eastAsia"/>
                                <w:lang w:val="en-US" w:eastAsia="zh-CN"/>
                              </w:rPr>
                              <w:t xml:space="preserve"> </w:t>
                            </w:r>
                            <w:r>
                              <w:rPr>
                                <w:rFonts w:hint="eastAsia"/>
                              </w:rPr>
                              <w:t>0</w:t>
                            </w:r>
                            <w:r>
                              <w:rPr>
                                <w:rFonts w:hint="eastAsia"/>
                                <w:lang w:val="en-US" w:eastAsia="zh-CN"/>
                              </w:rPr>
                              <w:t>5</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0.55pt;margin-top:1.2pt;height:44.85pt;width:144pt;z-index:251664384;mso-width-relative:page;mso-height-relative:page;" fillcolor="#FFFFFF" filled="t" stroked="f" coordsize="21600,21600" o:gfxdata="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N/VG1TWAAAABwEAAA8AAAAAAAAAAQAgAAAAIgAAAGRycy9kb3ducmV2LnhtbFBL&#10;AQIUABQAAAAIAIdO4kDWBgkUMQIAAEYEAAAOAAAAAAAAAAEAIAAAACUBAABkcnMvZTJvRG9jLnht&#10;bFBLBQYAAAAABgAGAFkBAADIBQAAAAA=&#10;">
                <v:fill on="t" focussize="0,0"/>
                <v:stroke on="f"/>
                <v:imagedata o:title=""/>
                <o:lock v:ext="edit" aspectratio="f"/>
                <v:textbox inset="0mm,0mm,0mm,0mm">
                  <w:txbxContent>
                    <w:p w14:paraId="5C536F83">
                      <w:pPr>
                        <w:pStyle w:val="42"/>
                        <w:rPr>
                          <w:rFonts w:hint="default" w:eastAsia="黑体"/>
                          <w:lang w:val="en-US" w:eastAsia="zh-CN"/>
                        </w:rPr>
                      </w:pPr>
                      <w:r>
                        <w:t>ICS 13.0</w:t>
                      </w:r>
                      <w:r>
                        <w:rPr>
                          <w:rFonts w:hint="eastAsia"/>
                          <w:lang w:val="en-US" w:eastAsia="zh-CN"/>
                        </w:rPr>
                        <w:t>2</w:t>
                      </w:r>
                      <w:r>
                        <w:t>0.</w:t>
                      </w:r>
                      <w:r>
                        <w:rPr>
                          <w:rFonts w:hint="eastAsia"/>
                          <w:lang w:val="en-US" w:eastAsia="zh-CN"/>
                        </w:rPr>
                        <w:t>40</w:t>
                      </w:r>
                    </w:p>
                    <w:p w14:paraId="2775ADD9">
                      <w:pPr>
                        <w:pStyle w:val="42"/>
                        <w:rPr>
                          <w:rFonts w:hint="eastAsia" w:eastAsia="黑体"/>
                          <w:lang w:eastAsia="zh-CN"/>
                        </w:rPr>
                      </w:pPr>
                      <w:r>
                        <w:t xml:space="preserve">CCS </w:t>
                      </w:r>
                      <w:r>
                        <w:rPr>
                          <w:rFonts w:hint="eastAsia"/>
                        </w:rPr>
                        <w:t>Z</w:t>
                      </w:r>
                      <w:r>
                        <w:rPr>
                          <w:rFonts w:hint="eastAsia"/>
                          <w:lang w:val="en-US" w:eastAsia="zh-CN"/>
                        </w:rPr>
                        <w:t xml:space="preserve"> </w:t>
                      </w:r>
                      <w:r>
                        <w:rPr>
                          <w:rFonts w:hint="eastAsia"/>
                        </w:rPr>
                        <w:t>0</w:t>
                      </w:r>
                      <w:r>
                        <w:rPr>
                          <w:rFonts w:hint="eastAsia"/>
                          <w:lang w:val="en-US" w:eastAsia="zh-CN"/>
                        </w:rPr>
                        <w:t>5</w:t>
                      </w:r>
                    </w:p>
                  </w:txbxContent>
                </v:textbox>
              </v:shape>
            </w:pict>
          </mc:Fallback>
        </mc:AlternateContent>
      </w:r>
    </w:p>
    <w:p w14:paraId="03171F52">
      <w:pPr>
        <w:rPr>
          <w:rFonts w:hint="eastAsia" w:ascii="黑体" w:hAnsi="黑体" w:eastAsia="黑体" w:cs="黑体"/>
          <w:color w:val="auto"/>
          <w:lang w:val="en-US" w:eastAsia="zh-CN"/>
        </w:rPr>
      </w:pPr>
    </w:p>
    <w:p w14:paraId="0EE1B2BC">
      <w:pPr>
        <w:pStyle w:val="18"/>
        <w:rPr>
          <w:rFonts w:hint="eastAsia" w:ascii="黑体" w:hAnsi="黑体" w:eastAsia="黑体" w:cs="黑体"/>
          <w:color w:val="auto"/>
          <w:lang w:val="en-US" w:eastAsia="zh-CN"/>
        </w:rPr>
      </w:pPr>
    </w:p>
    <w:p w14:paraId="632A51A0">
      <w:pPr>
        <w:pStyle w:val="18"/>
        <w:rPr>
          <w:rFonts w:hint="eastAsia" w:ascii="黑体" w:hAnsi="黑体" w:eastAsia="黑体" w:cs="黑体"/>
          <w:color w:val="auto"/>
          <w:lang w:val="en-US" w:eastAsia="zh-CN"/>
        </w:rPr>
      </w:pPr>
    </w:p>
    <w:p w14:paraId="642DB739">
      <w:pPr>
        <w:pStyle w:val="19"/>
        <w:framePr w:w="6100" w:h="1389" w:hRule="exact" w:hSpace="181" w:vSpace="181" w:x="4536" w:y="1150"/>
        <w:tabs>
          <w:tab w:val="left" w:pos="142"/>
        </w:tabs>
        <w:rPr>
          <w:color w:val="000000"/>
        </w:rPr>
      </w:pPr>
      <w:r>
        <w:t>DB3708</w:t>
      </w:r>
    </w:p>
    <w:tbl>
      <w:tblPr>
        <w:tblStyle w:val="15"/>
        <w:tblW w:w="93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356"/>
      </w:tblGrid>
      <w:tr w14:paraId="3CD1C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noWrap w:val="0"/>
            <w:vAlign w:val="top"/>
          </w:tcPr>
          <w:tbl>
            <w:tblPr>
              <w:tblStyle w:val="15"/>
              <w:tblW w:w="93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356"/>
            </w:tblGrid>
            <w:tr w14:paraId="05D1B5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noWrap w:val="0"/>
                  <w:vAlign w:val="top"/>
                </w:tcPr>
                <w:p w14:paraId="40DA4DBF">
                  <w:pPr>
                    <w:pStyle w:val="21"/>
                    <w:framePr w:w="9139" w:h="618" w:hRule="exact" w:hSpace="283" w:x="1702" w:y="2836"/>
                    <w:tabs>
                      <w:tab w:val="left" w:pos="142"/>
                    </w:tabs>
                    <w:rPr>
                      <w:rFonts w:hint="eastAsia" w:ascii="方正黑体简体" w:eastAsia="方正黑体简体"/>
                      <w:color w:val="000000"/>
                      <w:sz w:val="28"/>
                      <w:szCs w:val="28"/>
                      <w:lang w:val="en-US" w:eastAsia="zh-CN"/>
                    </w:rPr>
                  </w:pPr>
                  <w:r>
                    <w:rPr>
                      <w:rFonts w:hint="eastAsia" w:ascii="方正黑体简体" w:eastAsia="方正黑体简体"/>
                      <w:color w:val="000000"/>
                      <w:sz w:val="28"/>
                      <w:szCs w:val="28"/>
                    </w:rPr>
                    <w:t xml:space="preserve">DB3708/T </w:t>
                  </w:r>
                  <w:r>
                    <w:rPr>
                      <w:rFonts w:hint="eastAsia" w:ascii="方正黑体简体" w:eastAsia="方正黑体简体"/>
                      <w:color w:val="000000"/>
                      <w:sz w:val="28"/>
                      <w:szCs w:val="28"/>
                      <w:lang w:val="en-US" w:eastAsia="zh-CN"/>
                    </w:rPr>
                    <w:t>**</w:t>
                  </w:r>
                  <w:r>
                    <w:rPr>
                      <w:rFonts w:hint="eastAsia" w:ascii="方正黑体简体" w:eastAsia="方正黑体简体"/>
                      <w:color w:val="000000"/>
                      <w:sz w:val="28"/>
                      <w:szCs w:val="28"/>
                    </w:rPr>
                    <w:t>—</w:t>
                  </w:r>
                  <w:r>
                    <w:rPr>
                      <w:rFonts w:hint="eastAsia" w:ascii="方正黑体简体" w:eastAsia="方正黑体简体"/>
                      <w:color w:val="000000"/>
                      <w:sz w:val="28"/>
                      <w:szCs w:val="28"/>
                    </w:rPr>
                    <mc:AlternateContent>
                      <mc:Choice Requires="wps">
                        <w:drawing>
                          <wp:anchor distT="0" distB="0" distL="114300" distR="114300" simplePos="0" relativeHeight="251660288" behindDoc="1" locked="0" layoutInCell="1" allowOverlap="1">
                            <wp:simplePos x="0" y="0"/>
                            <wp:positionH relativeFrom="column">
                              <wp:posOffset>4734560</wp:posOffset>
                            </wp:positionH>
                            <wp:positionV relativeFrom="paragraph">
                              <wp:posOffset>34290</wp:posOffset>
                            </wp:positionV>
                            <wp:extent cx="1143000" cy="228600"/>
                            <wp:effectExtent l="0" t="0" r="0" b="0"/>
                            <wp:wrapNone/>
                            <wp:docPr id="8" name="矩形 8"/>
                            <wp:cNvGraphicFramePr/>
                            <a:graphic xmlns:a="http://schemas.openxmlformats.org/drawingml/2006/main">
                              <a:graphicData uri="http://schemas.microsoft.com/office/word/2010/wordprocessingShape">
                                <wps:wsp>
                                  <wps:cNvSpPr>
                                    <a:spLocks noChangeArrowheads="1"/>
                                  </wps:cNvSpPr>
                                  <wps:spPr bwMode="auto">
                                    <a:xfrm>
                                      <a:off x="0" y="0"/>
                                      <a:ext cx="1143000" cy="228600"/>
                                    </a:xfrm>
                                    <a:prstGeom prst="rect">
                                      <a:avLst/>
                                    </a:prstGeom>
                                    <a:solidFill>
                                      <a:srgbClr val="FFFFFF"/>
                                    </a:solidFill>
                                    <a:ln>
                                      <a:noFill/>
                                    </a:ln>
                                    <a:effectLst/>
                                  </wps:spPr>
                                  <wps:txbx>
                                    <w:txbxContent>
                                      <w:p w14:paraId="49D9483A"/>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72.8pt;margin-top:2.7pt;height:18pt;width:90pt;z-index:-251656192;mso-width-relative:page;mso-height-relative:page;" fillcolor="#FFFFFF" filled="t" stroked="f" coordsize="21600,21600" o:gfxdata="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B5g8svW&#10;AAAACAEAAA8AAAAAAAAAAQAgAAAAIgAAAGRycy9kb3ducmV2LnhtbFBLAQIUABQAAAAIAIdO4kDb&#10;FdN6IgIAAD8EAAAOAAAAAAAAAAEAIAAAACUBAABkcnMvZTJvRG9jLnhtbFBLBQYAAAAABgAGAFkB&#10;AAC5BQAAAAA=&#10;">
                            <v:fill on="t" focussize="0,0"/>
                            <v:stroke on="f"/>
                            <v:imagedata o:title=""/>
                            <o:lock v:ext="edit" aspectratio="f"/>
                            <v:textbox>
                              <w:txbxContent>
                                <w:p w14:paraId="49D9483A"/>
                              </w:txbxContent>
                            </v:textbox>
                          </v:rect>
                        </w:pict>
                      </mc:Fallback>
                    </mc:AlternateContent>
                  </w:r>
                  <w:r>
                    <w:rPr>
                      <w:rFonts w:hint="eastAsia" w:ascii="方正黑体简体" w:eastAsia="方正黑体简体"/>
                      <w:color w:val="000000"/>
                      <w:sz w:val="28"/>
                      <w:szCs w:val="28"/>
                    </w:rPr>
                    <w:t>202</w:t>
                  </w:r>
                  <w:r>
                    <w:rPr>
                      <w:rFonts w:hint="eastAsia" w:ascii="方正黑体简体" w:eastAsia="方正黑体简体"/>
                      <w:color w:val="000000"/>
                      <w:sz w:val="28"/>
                      <w:szCs w:val="28"/>
                      <w:lang w:val="en-US" w:eastAsia="zh-CN"/>
                    </w:rPr>
                    <w:t>4</w:t>
                  </w:r>
                </w:p>
              </w:tc>
            </w:tr>
          </w:tbl>
          <w:p w14:paraId="39C93593">
            <w:pPr>
              <w:pStyle w:val="22"/>
              <w:framePr w:w="9139" w:h="618" w:hRule="exact" w:hSpace="283" w:x="1702" w:y="2836"/>
              <w:tabs>
                <w:tab w:val="left" w:pos="142"/>
              </w:tabs>
              <w:jc w:val="both"/>
              <w:rPr>
                <w:rFonts w:ascii="Times New Roman"/>
                <w:color w:val="000000"/>
              </w:rPr>
            </w:pPr>
            <w:r>
              <w:rPr>
                <w:rFonts w:hint="eastAsia" w:ascii="Times New Roman"/>
                <w:color w:val="000000"/>
              </w:rPr>
              <w:t>编号编号编号编号</w:t>
            </w:r>
          </w:p>
          <w:p w14:paraId="088BA3AC">
            <w:pPr>
              <w:pStyle w:val="21"/>
              <w:framePr w:w="9139" w:h="618" w:hRule="exact" w:hSpace="283" w:x="1702" w:y="2836"/>
              <w:tabs>
                <w:tab w:val="left" w:pos="142"/>
              </w:tabs>
              <w:rPr>
                <w:rFonts w:ascii="方正黑体简体" w:eastAsia="方正黑体简体"/>
                <w:color w:val="000000"/>
                <w:sz w:val="28"/>
                <w:szCs w:val="28"/>
              </w:rPr>
            </w:pPr>
            <w:r>
              <w:rPr>
                <w:rFonts w:hint="eastAsia" w:ascii="方正黑体简体" w:eastAsia="方正黑体简体"/>
                <w:color w:val="000000"/>
                <w:sz w:val="28"/>
                <w:szCs w:val="28"/>
              </w:rPr>
              <w:t xml:space="preserve">DB3708/T </w:t>
            </w:r>
            <w:r>
              <w:rPr>
                <w:rFonts w:hint="default" w:ascii="方正黑体简体" w:eastAsia="方正黑体简体"/>
                <w:color w:val="000000"/>
                <w:sz w:val="28"/>
                <w:szCs w:val="28"/>
                <w:lang w:val="en"/>
              </w:rPr>
              <w:t>44</w:t>
            </w:r>
            <w:r>
              <w:rPr>
                <w:rFonts w:hint="eastAsia" w:ascii="方正黑体简体" w:eastAsia="方正黑体简体"/>
                <w:color w:val="000000"/>
                <w:sz w:val="28"/>
                <w:szCs w:val="28"/>
              </w:rPr>
              <w:t>—</w:t>
            </w:r>
            <w:r>
              <w:rPr>
                <w:rFonts w:hint="eastAsia" w:ascii="方正黑体简体" w:eastAsia="方正黑体简体"/>
                <w:color w:val="000000"/>
                <w:sz w:val="28"/>
                <w:szCs w:val="28"/>
              </w:rPr>
              <mc:AlternateContent>
                <mc:Choice Requires="wps">
                  <w:drawing>
                    <wp:anchor distT="0" distB="0" distL="114300" distR="114300" simplePos="0" relativeHeight="251659264" behindDoc="1" locked="0" layoutInCell="1" allowOverlap="1">
                      <wp:simplePos x="0" y="0"/>
                      <wp:positionH relativeFrom="column">
                        <wp:posOffset>4734560</wp:posOffset>
                      </wp:positionH>
                      <wp:positionV relativeFrom="paragraph">
                        <wp:posOffset>34290</wp:posOffset>
                      </wp:positionV>
                      <wp:extent cx="1143000" cy="228600"/>
                      <wp:effectExtent l="0" t="0" r="0" b="0"/>
                      <wp:wrapNone/>
                      <wp:docPr id="5" name="矩形 5"/>
                      <wp:cNvGraphicFramePr/>
                      <a:graphic xmlns:a="http://schemas.openxmlformats.org/drawingml/2006/main">
                        <a:graphicData uri="http://schemas.microsoft.com/office/word/2010/wordprocessingShape">
                          <wps:wsp>
                            <wps:cNvSpPr>
                              <a:spLocks noChangeArrowheads="1"/>
                            </wps:cNvSpPr>
                            <wps:spPr bwMode="auto">
                              <a:xfrm>
                                <a:off x="0" y="0"/>
                                <a:ext cx="1143000" cy="228600"/>
                              </a:xfrm>
                              <a:prstGeom prst="rect">
                                <a:avLst/>
                              </a:prstGeom>
                              <a:solidFill>
                                <a:srgbClr val="FFFFFF"/>
                              </a:solidFill>
                              <a:ln>
                                <a:noFill/>
                              </a:ln>
                              <a:effectLst/>
                            </wps:spPr>
                            <wps:txbx>
                              <w:txbxContent>
                                <w:p w14:paraId="17C0033B"/>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72.8pt;margin-top:2.7pt;height:18pt;width:90pt;z-index:-251657216;mso-width-relative:page;mso-height-relative:page;" fillcolor="#FFFFFF" filled="t" stroked="f" coordsize="21600,21600" o:gfxdata="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B5g8svW&#10;AAAACAEAAA8AAAAAAAAAAQAgAAAAIgAAAGRycy9kb3ducmV2LnhtbFBLAQIUABQAAAAIAIdO4kAO&#10;tbG2IgIAAD8EAAAOAAAAAAAAAAEAIAAAACUBAABkcnMvZTJvRG9jLnhtbFBLBQYAAAAABgAGAFkB&#10;AAC5BQAAAAA=&#10;">
                      <v:fill on="t" focussize="0,0"/>
                      <v:stroke on="f"/>
                      <v:imagedata o:title=""/>
                      <o:lock v:ext="edit" aspectratio="f"/>
                      <v:textbox>
                        <w:txbxContent>
                          <w:p w14:paraId="17C0033B"/>
                        </w:txbxContent>
                      </v:textbox>
                    </v:rect>
                  </w:pict>
                </mc:Fallback>
              </mc:AlternateContent>
            </w:r>
            <w:r>
              <w:rPr>
                <w:rFonts w:hint="eastAsia" w:ascii="方正黑体简体" w:eastAsia="方正黑体简体"/>
                <w:color w:val="000000"/>
                <w:sz w:val="28"/>
                <w:szCs w:val="28"/>
              </w:rPr>
              <w:t>2023</w:t>
            </w:r>
          </w:p>
        </w:tc>
      </w:tr>
    </w:tbl>
    <w:p w14:paraId="4143A049">
      <w:pPr>
        <w:jc w:val="distribute"/>
        <w:rPr>
          <w:rFonts w:hint="eastAsia" w:ascii="黑体" w:hAnsi="黑体" w:eastAsia="黑体" w:cs="黑体"/>
          <w:b/>
          <w:bCs/>
          <w:color w:val="auto"/>
          <w:sz w:val="48"/>
          <w:szCs w:val="48"/>
        </w:rPr>
      </w:pPr>
      <w:r>
        <w:rPr>
          <w:rFonts w:ascii="Times New Roman"/>
          <w:color w:val="000000"/>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ge">
                  <wp:posOffset>2274570</wp:posOffset>
                </wp:positionV>
                <wp:extent cx="6120130" cy="0"/>
                <wp:effectExtent l="0" t="0" r="0" b="0"/>
                <wp:wrapNone/>
                <wp:docPr id="3" name="直接连接符 3"/>
                <wp:cNvGraphicFramePr/>
                <a:graphic xmlns:a="http://schemas.openxmlformats.org/drawingml/2006/main">
                  <a:graphicData uri="http://schemas.microsoft.com/office/word/2010/wordprocessingShape">
                    <wps:wsp>
                      <wps:cNvCnPr>
                        <a:cxnSpLocks noChangeShapeType="1"/>
                      </wps:cNvCnPr>
                      <wps:spPr bwMode="auto">
                        <a:xfrm>
                          <a:off x="899160" y="2285365"/>
                          <a:ext cx="612013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65pt;margin-top:179.1pt;height:0pt;width:481.9pt;mso-position-horizontal-relative:margin;mso-position-vertical-relative:page;z-index:251665408;mso-width-relative:page;mso-height-relative:page;" filled="f" stroked="t" coordsize="21600,21600" o:gfxdata="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VQG/QNYAAAAJAQAADwAAAAAAAAABACAAAAAiAAAAZHJzL2Rvd25yZXYueG1sUEsB&#10;AhQAFAAAAAgAh07iQCtMMY/3AQAAwwMAAA4AAAAAAAAAAQAgAAAAJQEAAGRycy9lMm9Eb2MueG1s&#10;UEsFBgAAAAAGAAYAWQEAAI4FAAAAAA==&#10;">
                <v:fill on="f" focussize="0,0"/>
                <v:stroke color="#000000" joinstyle="round"/>
                <v:imagedata o:title=""/>
                <o:lock v:ext="edit" aspectratio="f"/>
              </v:line>
            </w:pict>
          </mc:Fallback>
        </mc:AlternateContent>
      </w:r>
    </w:p>
    <w:p w14:paraId="153B69F6">
      <w:pPr>
        <w:pStyle w:val="18"/>
        <w:rPr>
          <w:rFonts w:hint="eastAsia"/>
        </w:rPr>
      </w:pPr>
    </w:p>
    <w:p w14:paraId="5B304E00">
      <w:pPr>
        <w:pStyle w:val="23"/>
        <w:framePr w:x="1702" w:y="2269"/>
        <w:tabs>
          <w:tab w:val="left" w:pos="142"/>
        </w:tabs>
        <w:rPr>
          <w:rFonts w:ascii="Times New Roman" w:hAnsi="Times New Roman"/>
          <w:color w:val="000000"/>
        </w:rPr>
      </w:pPr>
      <w:r>
        <w:rPr>
          <w:rFonts w:ascii="Times New Roman" w:hAnsi="Times New Roman"/>
        </w:rPr>
        <w:t>济宁市地方标准</w:t>
      </w:r>
    </w:p>
    <w:p w14:paraId="42CB701F">
      <w:pPr>
        <w:pStyle w:val="24"/>
        <w:framePr w:w="10074" w:h="6916" w:hRule="exact" w:y="6237"/>
        <w:tabs>
          <w:tab w:val="left" w:pos="142"/>
        </w:tabs>
        <w:rPr>
          <w:rFonts w:ascii="Times New Roman"/>
          <w:color w:val="000000"/>
        </w:rPr>
      </w:pPr>
      <w:r>
        <w:rPr>
          <w:rFonts w:hint="eastAsia" w:ascii="Times New Roman"/>
          <w:color w:val="000000"/>
        </w:rPr>
        <w:t>港口码头污染防治技术规范</w:t>
      </w:r>
    </w:p>
    <w:p w14:paraId="3268976F">
      <w:pPr>
        <w:pStyle w:val="24"/>
        <w:framePr w:w="10074" w:h="6916" w:hRule="exact" w:y="6237"/>
        <w:tabs>
          <w:tab w:val="left" w:pos="142"/>
        </w:tabs>
        <w:rPr>
          <w:rFonts w:hAnsi="黑体"/>
          <w:color w:val="000000"/>
          <w:sz w:val="28"/>
          <w:lang w:val="en-US" w:eastAsia="zh-CN"/>
        </w:rPr>
      </w:pPr>
      <w:r>
        <w:rPr>
          <w:rFonts w:hAnsi="黑体"/>
          <w:color w:val="000000"/>
          <w:sz w:val="28"/>
          <w:lang w:val="en-US" w:eastAsia="zh-CN"/>
        </w:rPr>
        <w:t xml:space="preserve">Technical </w:t>
      </w:r>
      <w:r>
        <w:rPr>
          <w:rFonts w:hint="eastAsia" w:hAnsi="黑体"/>
          <w:color w:val="000000"/>
          <w:sz w:val="28"/>
          <w:lang w:val="en-US" w:eastAsia="zh-CN"/>
        </w:rPr>
        <w:t>s</w:t>
      </w:r>
      <w:r>
        <w:rPr>
          <w:rFonts w:hAnsi="黑体"/>
          <w:color w:val="000000"/>
          <w:sz w:val="28"/>
          <w:lang w:val="en-US" w:eastAsia="zh-CN"/>
        </w:rPr>
        <w:t xml:space="preserve">pecification for </w:t>
      </w:r>
      <w:r>
        <w:rPr>
          <w:rFonts w:hint="eastAsia" w:hAnsi="黑体"/>
          <w:color w:val="000000"/>
          <w:sz w:val="28"/>
          <w:lang w:val="en-US" w:eastAsia="zh-CN"/>
        </w:rPr>
        <w:t>p</w:t>
      </w:r>
      <w:r>
        <w:rPr>
          <w:rFonts w:hAnsi="黑体"/>
          <w:color w:val="000000"/>
          <w:sz w:val="28"/>
          <w:lang w:val="en-US" w:eastAsia="zh-CN"/>
        </w:rPr>
        <w:t xml:space="preserve">ollution </w:t>
      </w:r>
      <w:r>
        <w:rPr>
          <w:rFonts w:hint="eastAsia" w:hAnsi="黑体"/>
          <w:color w:val="000000"/>
          <w:sz w:val="28"/>
          <w:lang w:val="en-US" w:eastAsia="zh-CN"/>
        </w:rPr>
        <w:t>p</w:t>
      </w:r>
      <w:r>
        <w:rPr>
          <w:rFonts w:hAnsi="黑体"/>
          <w:color w:val="000000"/>
          <w:sz w:val="28"/>
          <w:lang w:val="en-US" w:eastAsia="zh-CN"/>
        </w:rPr>
        <w:t xml:space="preserve">revention and </w:t>
      </w:r>
      <w:r>
        <w:rPr>
          <w:rFonts w:hint="eastAsia" w:hAnsi="黑体"/>
          <w:color w:val="000000"/>
          <w:sz w:val="28"/>
          <w:lang w:val="en-US" w:eastAsia="zh-CN"/>
        </w:rPr>
        <w:t>c</w:t>
      </w:r>
      <w:r>
        <w:rPr>
          <w:rFonts w:hAnsi="黑体"/>
          <w:color w:val="000000"/>
          <w:sz w:val="28"/>
          <w:lang w:val="en-US" w:eastAsia="zh-CN"/>
        </w:rPr>
        <w:t>ontrol</w:t>
      </w:r>
    </w:p>
    <w:p w14:paraId="258A1D9A">
      <w:pPr>
        <w:pStyle w:val="24"/>
        <w:framePr w:w="10074" w:h="6916" w:hRule="exact" w:y="6237"/>
        <w:tabs>
          <w:tab w:val="left" w:pos="142"/>
        </w:tabs>
        <w:rPr>
          <w:rFonts w:hAnsi="黑体"/>
          <w:color w:val="000000"/>
          <w:sz w:val="28"/>
        </w:rPr>
      </w:pPr>
      <w:r>
        <w:rPr>
          <w:rFonts w:hAnsi="黑体"/>
          <w:color w:val="000000"/>
          <w:sz w:val="28"/>
          <w:lang w:val="en-US" w:eastAsia="zh-CN"/>
        </w:rPr>
        <w:t xml:space="preserve"> of </w:t>
      </w:r>
      <w:r>
        <w:rPr>
          <w:rFonts w:hint="eastAsia" w:hAnsi="黑体"/>
          <w:color w:val="000000"/>
          <w:sz w:val="28"/>
          <w:lang w:val="en-US" w:eastAsia="zh-CN"/>
        </w:rPr>
        <w:t>p</w:t>
      </w:r>
      <w:r>
        <w:rPr>
          <w:rFonts w:hAnsi="黑体"/>
          <w:color w:val="000000"/>
          <w:sz w:val="28"/>
          <w:lang w:val="en-US" w:eastAsia="zh-CN"/>
        </w:rPr>
        <w:t xml:space="preserve">ort </w:t>
      </w:r>
      <w:r>
        <w:rPr>
          <w:rFonts w:hint="eastAsia" w:hAnsi="黑体"/>
          <w:color w:val="000000"/>
          <w:sz w:val="28"/>
          <w:lang w:val="en-US" w:eastAsia="zh-CN"/>
        </w:rPr>
        <w:t>and w</w:t>
      </w:r>
      <w:r>
        <w:rPr>
          <w:rFonts w:hAnsi="黑体"/>
          <w:color w:val="000000"/>
          <w:sz w:val="28"/>
          <w:lang w:val="en-US" w:eastAsia="zh-CN"/>
        </w:rPr>
        <w:t>harf</w:t>
      </w:r>
    </w:p>
    <w:tbl>
      <w:tblPr>
        <w:tblStyle w:val="15"/>
        <w:tblW w:w="1971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855"/>
        <w:gridCol w:w="9855"/>
      </w:tblGrid>
      <w:tr w14:paraId="6A6D8C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noWrap w:val="0"/>
            <w:vAlign w:val="top"/>
          </w:tcPr>
          <w:p w14:paraId="0A8DB101">
            <w:pPr>
              <w:pStyle w:val="25"/>
              <w:framePr w:w="10074" w:h="6916" w:hRule="exact" w:y="6237"/>
              <w:tabs>
                <w:tab w:val="left" w:pos="142"/>
              </w:tabs>
              <w:rPr>
                <w:rFonts w:ascii="Times New Roman"/>
                <w:color w:val="000000"/>
              </w:rPr>
            </w:pPr>
          </w:p>
        </w:tc>
        <w:tc>
          <w:tcPr>
            <w:tcW w:w="9855" w:type="dxa"/>
            <w:tcBorders>
              <w:top w:val="nil"/>
              <w:left w:val="nil"/>
              <w:bottom w:val="nil"/>
              <w:right w:val="nil"/>
            </w:tcBorders>
            <w:noWrap w:val="0"/>
            <w:vAlign w:val="top"/>
          </w:tcPr>
          <w:p w14:paraId="5212BF1C">
            <w:pPr>
              <w:pStyle w:val="25"/>
              <w:framePr w:w="10074" w:h="6916" w:hRule="exact" w:y="6237"/>
              <w:tabs>
                <w:tab w:val="left" w:pos="142"/>
              </w:tabs>
              <w:rPr>
                <w:rFonts w:ascii="Times New Roman"/>
                <w:color w:val="000000"/>
              </w:rPr>
            </w:pPr>
          </w:p>
        </w:tc>
      </w:tr>
      <w:tr w14:paraId="642E5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noWrap w:val="0"/>
            <w:vAlign w:val="top"/>
          </w:tcPr>
          <w:p w14:paraId="0700DF01">
            <w:pPr>
              <w:pStyle w:val="28"/>
              <w:framePr w:w="10074" w:h="6916" w:hRule="exact" w:y="6237"/>
              <w:tabs>
                <w:tab w:val="left" w:pos="142"/>
              </w:tabs>
              <w:rPr>
                <w:rFonts w:ascii="Times New Roman"/>
                <w:color w:val="000000"/>
              </w:rPr>
            </w:pPr>
          </w:p>
        </w:tc>
        <w:tc>
          <w:tcPr>
            <w:tcW w:w="9855" w:type="dxa"/>
            <w:tcBorders>
              <w:top w:val="nil"/>
              <w:left w:val="nil"/>
              <w:bottom w:val="nil"/>
              <w:right w:val="nil"/>
            </w:tcBorders>
            <w:noWrap w:val="0"/>
            <w:vAlign w:val="top"/>
          </w:tcPr>
          <w:p w14:paraId="32271AE7">
            <w:pPr>
              <w:pStyle w:val="28"/>
              <w:framePr w:w="10074" w:h="6916" w:hRule="exact" w:y="6237"/>
              <w:tabs>
                <w:tab w:val="left" w:pos="142"/>
              </w:tabs>
              <w:rPr>
                <w:rFonts w:ascii="Times New Roman"/>
                <w:color w:val="000000"/>
              </w:rPr>
            </w:pPr>
          </w:p>
        </w:tc>
      </w:tr>
    </w:tbl>
    <w:p w14:paraId="56004EBD">
      <w:pPr>
        <w:spacing w:line="600" w:lineRule="exact"/>
        <w:jc w:val="left"/>
        <w:rPr>
          <w:rFonts w:hint="eastAsia"/>
          <w:color w:val="auto"/>
          <w:u w:val="none"/>
        </w:rPr>
      </w:pPr>
      <w:r>
        <w:rPr>
          <w:rFonts w:hint="eastAsia"/>
          <w:color w:val="auto"/>
          <w:u w:val="none"/>
        </w:rPr>
        <w:t xml:space="preserve">                                                                                          </w:t>
      </w:r>
    </w:p>
    <w:p w14:paraId="05CFF927">
      <w:pPr>
        <w:spacing w:line="600" w:lineRule="exact"/>
        <w:jc w:val="left"/>
        <w:rPr>
          <w:rFonts w:hint="eastAsia"/>
          <w:color w:val="auto"/>
        </w:rPr>
      </w:pPr>
    </w:p>
    <w:p w14:paraId="422E61DA">
      <w:pPr>
        <w:spacing w:line="600" w:lineRule="exact"/>
        <w:jc w:val="left"/>
        <w:rPr>
          <w:rFonts w:hint="eastAsia"/>
          <w:color w:val="auto"/>
        </w:rPr>
      </w:pPr>
    </w:p>
    <w:p w14:paraId="7028E7A3">
      <w:pPr>
        <w:spacing w:line="600" w:lineRule="exact"/>
        <w:jc w:val="left"/>
        <w:rPr>
          <w:rFonts w:hint="eastAsia"/>
          <w:color w:val="auto"/>
        </w:rPr>
      </w:pPr>
      <w:r>
        <w:rPr>
          <w:rFonts w:ascii="Times New Roman"/>
          <w:color w:val="000000"/>
        </w:rPr>
        <mc:AlternateContent>
          <mc:Choice Requires="wps">
            <w:drawing>
              <wp:anchor distT="0" distB="0" distL="114300" distR="114300" simplePos="0" relativeHeight="251667456" behindDoc="0" locked="0" layoutInCell="1" allowOverlap="1">
                <wp:simplePos x="0" y="0"/>
                <wp:positionH relativeFrom="margin">
                  <wp:posOffset>4445</wp:posOffset>
                </wp:positionH>
                <wp:positionV relativeFrom="paragraph">
                  <wp:posOffset>8969375</wp:posOffset>
                </wp:positionV>
                <wp:extent cx="6120130" cy="0"/>
                <wp:effectExtent l="0" t="0" r="0" b="0"/>
                <wp:wrapNone/>
                <wp:docPr id="6" name="直接连接符 6"/>
                <wp:cNvGraphicFramePr/>
                <a:graphic xmlns:a="http://schemas.openxmlformats.org/drawingml/2006/main">
                  <a:graphicData uri="http://schemas.microsoft.com/office/word/2010/wordprocessingShape">
                    <wps:wsp>
                      <wps:cNvCnPr>
                        <a:cxnSpLocks noChangeShapeType="1"/>
                      </wps:cNvCnPr>
                      <wps:spPr bwMode="auto">
                        <a:xfrm>
                          <a:off x="899795" y="9324975"/>
                          <a:ext cx="612013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35pt;margin-top:706.25pt;height:0pt;width:481.9pt;mso-position-horizontal-relative:margin;z-index:251667456;mso-width-relative:page;mso-height-relative:page;" filled="f" stroked="t" coordsize="21600,21600" o:gfxdata="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KFHVbWAAAACgEAAA8AAAAAAAAAAQAgAAAAIgAAAGRycy9kb3ducmV2LnhtbFBL&#10;AQIUABQAAAAIAIdO4kBr45DZ+AEAAMMDAAAOAAAAAAAAAAEAIAAAACUBAABkcnMvZTJvRG9jLnht&#10;bFBLBQYAAAAABgAGAFkBAACPBQAAAAA=&#10;">
                <v:fill on="f" focussize="0,0"/>
                <v:stroke color="#000000" joinstyle="round"/>
                <v:imagedata o:title=""/>
                <o:lock v:ext="edit" aspectratio="f"/>
              </v:line>
            </w:pict>
          </mc:Fallback>
        </mc:AlternateContent>
      </w:r>
    </w:p>
    <w:p w14:paraId="2F6ED4F0">
      <w:pPr>
        <w:pStyle w:val="29"/>
        <w:tabs>
          <w:tab w:val="left" w:pos="142"/>
        </w:tabs>
        <w:rPr>
          <w:rFonts w:hint="eastAsia" w:ascii="黑体" w:hAnsi="黑体" w:eastAsia="黑体" w:cs="黑体"/>
          <w:color w:val="000000"/>
        </w:rPr>
      </w:pPr>
      <w:r>
        <w:rPr>
          <w:rFonts w:hint="eastAsia" w:ascii="黑体" w:hAnsi="黑体" w:eastAsia="黑体" w:cs="黑体"/>
          <w:color w:val="000000"/>
        </w:rPr>
        <w:t>202</w:t>
      </w:r>
      <w:r>
        <w:rPr>
          <w:rFonts w:hint="eastAsia" w:ascii="黑体" w:hAnsi="黑体" w:cs="黑体"/>
          <w:color w:val="000000"/>
          <w:lang w:val="en-US" w:eastAsia="zh-CN"/>
        </w:rPr>
        <w:t>4</w:t>
      </w:r>
      <w:r>
        <w:rPr>
          <w:rFonts w:hint="eastAsia" w:ascii="黑体" w:hAnsi="黑体" w:eastAsia="黑体" w:cs="黑体"/>
          <w:color w:val="000000"/>
        </w:rPr>
        <w:t>-</w:t>
      </w:r>
      <w:r>
        <w:rPr>
          <w:rFonts w:hint="eastAsia" w:ascii="黑体" w:hAnsi="黑体" w:cs="黑体"/>
          <w:color w:val="000000"/>
          <w:lang w:val="en-US" w:eastAsia="zh-CN"/>
        </w:rPr>
        <w:t>**</w:t>
      </w:r>
      <w:r>
        <w:rPr>
          <w:rFonts w:hint="eastAsia" w:ascii="黑体" w:hAnsi="黑体" w:eastAsia="黑体" w:cs="黑体"/>
          <w:color w:val="000000"/>
        </w:rPr>
        <w:t>-</w:t>
      </w:r>
      <w:r>
        <w:rPr>
          <w:rFonts w:hint="eastAsia" w:ascii="黑体" w:hAnsi="黑体" w:cs="黑体"/>
          <w:color w:val="000000"/>
          <w:lang w:val="en-US" w:eastAsia="zh-CN"/>
        </w:rPr>
        <w:t>**</w:t>
      </w:r>
      <w:r>
        <w:rPr>
          <w:rFonts w:hint="eastAsia" w:ascii="黑体" w:hAnsi="黑体" w:eastAsia="黑体" w:cs="黑体"/>
          <w:color w:val="000000"/>
        </w:rPr>
        <w:t>发布</w:t>
      </w:r>
    </w:p>
    <w:p w14:paraId="0ABE2721">
      <w:pPr>
        <w:pStyle w:val="30"/>
        <w:tabs>
          <w:tab w:val="left" w:pos="142"/>
        </w:tabs>
        <w:rPr>
          <w:color w:val="000000"/>
        </w:rPr>
      </w:pPr>
      <w:r>
        <w:rPr>
          <w:rFonts w:hint="eastAsia" w:ascii="黑体" w:hAnsi="黑体" w:eastAsia="黑体" w:cs="黑体"/>
          <w:color w:val="000000"/>
        </w:rPr>
        <w:t>202</w:t>
      </w:r>
      <w:r>
        <w:rPr>
          <w:rFonts w:hint="eastAsia" w:ascii="黑体" w:hAnsi="黑体" w:cs="黑体"/>
          <w:color w:val="000000"/>
          <w:lang w:val="en-US" w:eastAsia="zh-CN"/>
        </w:rPr>
        <w:t>4</w:t>
      </w:r>
      <w:r>
        <w:rPr>
          <w:rFonts w:hint="eastAsia" w:ascii="黑体" w:hAnsi="黑体" w:eastAsia="黑体" w:cs="黑体"/>
          <w:color w:val="000000"/>
        </w:rPr>
        <w:t>-</w:t>
      </w:r>
      <w:r>
        <w:rPr>
          <w:rFonts w:hint="eastAsia" w:ascii="黑体" w:hAnsi="黑体" w:cs="黑体"/>
          <w:color w:val="000000"/>
          <w:lang w:val="en-US" w:eastAsia="zh-CN"/>
        </w:rPr>
        <w:t>**</w:t>
      </w:r>
      <w:r>
        <w:rPr>
          <w:rFonts w:hint="eastAsia" w:ascii="黑体" w:hAnsi="黑体" w:eastAsia="黑体" w:cs="黑体"/>
          <w:color w:val="000000"/>
        </w:rPr>
        <w:t>-</w:t>
      </w:r>
      <w:r>
        <w:rPr>
          <w:rFonts w:hint="eastAsia" w:ascii="黑体" w:hAnsi="黑体" w:cs="黑体"/>
          <w:color w:val="000000"/>
          <w:lang w:val="en-US" w:eastAsia="zh-CN"/>
        </w:rPr>
        <w:t>**</w:t>
      </w:r>
      <w:r>
        <w:rPr>
          <w:rFonts w:hint="eastAsia" w:ascii="黑体" w:hAnsi="黑体" w:eastAsia="黑体" w:cs="黑体"/>
          <w:color w:val="000000"/>
        </w:rPr>
        <w:t>实施</w:t>
      </w:r>
    </w:p>
    <w:p w14:paraId="3CEFDBCF">
      <w:pPr>
        <w:spacing w:line="600" w:lineRule="exact"/>
        <w:jc w:val="left"/>
        <w:rPr>
          <w:rFonts w:hint="eastAsia"/>
          <w:color w:val="auto"/>
        </w:rPr>
      </w:pPr>
    </w:p>
    <w:p w14:paraId="4AE56EBB">
      <w:pPr>
        <w:spacing w:line="600" w:lineRule="exact"/>
        <w:jc w:val="left"/>
        <w:rPr>
          <w:rFonts w:hint="eastAsia"/>
          <w:color w:val="auto"/>
        </w:rPr>
      </w:pPr>
      <w:r>
        <w:rPr>
          <w:rFonts w:ascii="Times New Roman"/>
          <w:color w:val="000000"/>
        </w:rPr>
        <mc:AlternateContent>
          <mc:Choice Requires="wps">
            <w:drawing>
              <wp:anchor distT="0" distB="0" distL="114300" distR="114300" simplePos="0" relativeHeight="251668480" behindDoc="0" locked="0" layoutInCell="1" allowOverlap="1">
                <wp:simplePos x="0" y="0"/>
                <wp:positionH relativeFrom="margin">
                  <wp:posOffset>-29845</wp:posOffset>
                </wp:positionH>
                <wp:positionV relativeFrom="page">
                  <wp:posOffset>9342120</wp:posOffset>
                </wp:positionV>
                <wp:extent cx="6120130" cy="0"/>
                <wp:effectExtent l="0" t="0" r="0" b="0"/>
                <wp:wrapNone/>
                <wp:docPr id="4" name="直接连接符 4"/>
                <wp:cNvGraphicFramePr/>
                <a:graphic xmlns:a="http://schemas.openxmlformats.org/drawingml/2006/main">
                  <a:graphicData uri="http://schemas.microsoft.com/office/word/2010/wordprocessingShape">
                    <wps:wsp>
                      <wps:cNvCnPr>
                        <a:cxnSpLocks noChangeShapeType="1"/>
                      </wps:cNvCnPr>
                      <wps:spPr bwMode="auto">
                        <a:xfrm>
                          <a:off x="899160" y="2285365"/>
                          <a:ext cx="612013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2.35pt;margin-top:735.6pt;height:0pt;width:481.9pt;mso-position-horizontal-relative:margin;mso-position-vertical-relative:page;z-index:251668480;mso-width-relative:page;mso-height-relative:page;" filled="f" stroked="t" coordsize="21600,21600" o:gfxdata="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UUIb51wAAAAwBAAAPAAAAAAAAAAEAIAAAACIAAABkcnMvZG93bnJldi54bWxQ&#10;SwECFAAUAAAACACHTuJAf77jqfgBAADDAwAADgAAAAAAAAABACAAAAAmAQAAZHJzL2Uyb0RvYy54&#10;bWxQSwUGAAAAAAYABgBZAQAAkAUAAAAA&#10;">
                <v:fill on="f" focussize="0,0"/>
                <v:stroke color="#000000" joinstyle="round"/>
                <v:imagedata o:title=""/>
                <o:lock v:ext="edit" aspectratio="f"/>
              </v:line>
            </w:pict>
          </mc:Fallback>
        </mc:AlternateContent>
      </w:r>
      <w:r>
        <w:rPr>
          <w:rFonts w:ascii="Times New Roman"/>
          <w:color w:val="000000"/>
        </w:rPr>
        <mc:AlternateContent>
          <mc:Choice Requires="wps">
            <w:drawing>
              <wp:anchor distT="0" distB="0" distL="114300" distR="114300" simplePos="0" relativeHeight="251666432" behindDoc="0" locked="0" layoutInCell="1" allowOverlap="1">
                <wp:simplePos x="0" y="0"/>
                <wp:positionH relativeFrom="margin">
                  <wp:posOffset>4445</wp:posOffset>
                </wp:positionH>
                <wp:positionV relativeFrom="paragraph">
                  <wp:posOffset>8969375</wp:posOffset>
                </wp:positionV>
                <wp:extent cx="6120130" cy="0"/>
                <wp:effectExtent l="0" t="0" r="0" b="0"/>
                <wp:wrapNone/>
                <wp:docPr id="2" name="直接连接符 2"/>
                <wp:cNvGraphicFramePr/>
                <a:graphic xmlns:a="http://schemas.openxmlformats.org/drawingml/2006/main">
                  <a:graphicData uri="http://schemas.microsoft.com/office/word/2010/wordprocessingShape">
                    <wps:wsp>
                      <wps:cNvCnPr>
                        <a:cxnSpLocks noChangeShapeType="1"/>
                      </wps:cNvCnPr>
                      <wps:spPr bwMode="auto">
                        <a:xfrm>
                          <a:off x="899795" y="9324975"/>
                          <a:ext cx="612013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35pt;margin-top:706.25pt;height:0pt;width:481.9pt;mso-position-horizontal-relative:margin;z-index:251666432;mso-width-relative:page;mso-height-relative:page;" filled="f" stroked="t" coordsize="21600,21600" o:gfxdata="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KFHVbWAAAACgEAAA8AAAAAAAAAAQAgAAAAIgAAAGRycy9kb3ducmV2LnhtbFBL&#10;AQIUABQAAAAIAIdO4kAtz3Ng+AEAAMMDAAAOAAAAAAAAAAEAIAAAACUBAABkcnMvZTJvRG9jLnht&#10;bFBLBQYAAAAABgAGAFkBAACPBQAAAAA=&#10;">
                <v:fill on="f" focussize="0,0"/>
                <v:stroke color="#000000" joinstyle="round"/>
                <v:imagedata o:title=""/>
                <o:lock v:ext="edit" aspectratio="f"/>
              </v:line>
            </w:pict>
          </mc:Fallback>
        </mc:AlternateContent>
      </w:r>
    </w:p>
    <w:p w14:paraId="5127533A">
      <w:pPr>
        <w:pStyle w:val="32"/>
        <w:framePr w:w="7937" w:x="2269" w:y="15308"/>
        <w:tabs>
          <w:tab w:val="left" w:pos="142"/>
        </w:tabs>
        <w:outlineLvl w:val="0"/>
        <w:rPr>
          <w:rFonts w:ascii="Times New Roman"/>
          <w:color w:val="000000"/>
        </w:rPr>
      </w:pPr>
      <w:bookmarkStart w:id="0" w:name="_Toc149768240"/>
      <w:bookmarkStart w:id="1" w:name="_Toc139376852"/>
      <w:bookmarkStart w:id="2" w:name="_Toc139376997"/>
      <w:bookmarkStart w:id="3" w:name="_Toc22664"/>
      <w:bookmarkStart w:id="4" w:name="_Toc143290636"/>
      <w:r>
        <w:rPr>
          <w:rFonts w:ascii="Times New Roman"/>
          <w:color w:val="000000"/>
        </w:rPr>
        <w:t xml:space="preserve">济宁市市场监督管理局 </w:t>
      </w:r>
      <w:r>
        <w:rPr>
          <w:rStyle w:val="35"/>
          <w:rFonts w:ascii="Times New Roman"/>
          <w:color w:val="000000"/>
        </w:rPr>
        <w:t xml:space="preserve"> 发布</w:t>
      </w:r>
      <w:bookmarkEnd w:id="0"/>
      <w:bookmarkEnd w:id="1"/>
      <w:bookmarkEnd w:id="2"/>
      <w:bookmarkEnd w:id="3"/>
      <w:bookmarkEnd w:id="4"/>
    </w:p>
    <w:p w14:paraId="0FF75281">
      <w:pPr>
        <w:jc w:val="center"/>
        <w:rPr>
          <w:rFonts w:hint="eastAsia" w:ascii="方正小标宋简体" w:hAnsi="方正小标宋简体" w:eastAsia="方正小标宋简体" w:cs="方正小标宋简体"/>
          <w:kern w:val="21"/>
          <w:position w:val="6"/>
          <w:sz w:val="44"/>
          <w:szCs w:val="44"/>
          <w:lang w:eastAsia="zh-CN"/>
        </w:rPr>
        <w:sectPr>
          <w:footerReference r:id="rId3" w:type="default"/>
          <w:pgSz w:w="11906" w:h="16838"/>
          <w:pgMar w:top="567" w:right="1134" w:bottom="1134" w:left="1417" w:header="851" w:footer="992" w:gutter="0"/>
          <w:pgNumType w:fmt="decimal"/>
          <w:cols w:space="720" w:num="1"/>
          <w:docGrid w:type="lines" w:linePitch="312" w:charSpace="0"/>
        </w:sectPr>
      </w:pPr>
    </w:p>
    <w:p w14:paraId="4BBFDE29">
      <w:pPr>
        <w:jc w:val="center"/>
        <w:rPr>
          <w:rFonts w:hint="eastAsia" w:ascii="黑体" w:hAnsi="黑体" w:eastAsia="黑体" w:cs="黑体"/>
          <w:kern w:val="21"/>
          <w:position w:val="6"/>
          <w:sz w:val="32"/>
          <w:szCs w:val="32"/>
          <w:lang w:eastAsia="zh-CN"/>
        </w:rPr>
      </w:pPr>
      <w:r>
        <w:rPr>
          <w:rFonts w:hint="eastAsia" w:ascii="黑体" w:hAnsi="黑体" w:eastAsia="黑体" w:cs="黑体"/>
          <w:kern w:val="21"/>
          <w:position w:val="6"/>
          <w:sz w:val="32"/>
          <w:szCs w:val="32"/>
          <w:lang w:eastAsia="zh-CN"/>
        </w:rPr>
        <w:t>目</w:t>
      </w:r>
      <w:r>
        <w:rPr>
          <w:rFonts w:hint="eastAsia" w:ascii="黑体" w:hAnsi="黑体" w:eastAsia="黑体" w:cs="黑体"/>
          <w:kern w:val="21"/>
          <w:position w:val="6"/>
          <w:sz w:val="32"/>
          <w:szCs w:val="32"/>
          <w:lang w:val="en-US" w:eastAsia="zh-CN"/>
        </w:rPr>
        <w:t xml:space="preserve">  </w:t>
      </w:r>
      <w:r>
        <w:rPr>
          <w:rFonts w:hint="eastAsia" w:ascii="黑体" w:hAnsi="黑体" w:eastAsia="黑体" w:cs="黑体"/>
          <w:kern w:val="21"/>
          <w:position w:val="6"/>
          <w:sz w:val="32"/>
          <w:szCs w:val="32"/>
          <w:lang w:eastAsia="zh-CN"/>
        </w:rPr>
        <w:t>次</w:t>
      </w:r>
    </w:p>
    <w:p w14:paraId="5FA60FA6">
      <w:pPr>
        <w:pStyle w:val="36"/>
        <w:tabs>
          <w:tab w:val="right" w:leader="dot" w:pos="9460"/>
        </w:tabs>
        <w:rPr>
          <w:rFonts w:hint="eastAsia" w:ascii="宋体" w:hAnsi="宋体" w:eastAsia="宋体" w:cs="宋体"/>
          <w:sz w:val="21"/>
          <w:szCs w:val="21"/>
        </w:rPr>
      </w:pPr>
      <w:bookmarkStart w:id="5" w:name="_Toc511696087_WPSOffice_Type3"/>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_Toc2092422513_WPSOffice_Level1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前 言</w:t>
      </w:r>
      <w:r>
        <w:rPr>
          <w:rFonts w:hint="eastAsia" w:ascii="宋体" w:hAnsi="宋体" w:eastAsia="宋体" w:cs="宋体"/>
          <w:sz w:val="21"/>
          <w:szCs w:val="21"/>
        </w:rPr>
        <w:tab/>
      </w: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 2 \* ROMAN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II</w:t>
      </w:r>
      <w:r>
        <w:rPr>
          <w:rFonts w:hint="eastAsia" w:ascii="宋体" w:hAnsi="宋体" w:eastAsia="宋体" w:cs="宋体"/>
          <w:sz w:val="21"/>
          <w:szCs w:val="21"/>
        </w:rPr>
        <w:fldChar w:fldCharType="end"/>
      </w:r>
      <w:r>
        <w:rPr>
          <w:rFonts w:hint="eastAsia" w:ascii="宋体" w:hAnsi="宋体" w:eastAsia="宋体" w:cs="宋体"/>
          <w:sz w:val="21"/>
          <w:szCs w:val="21"/>
        </w:rPr>
        <w:fldChar w:fldCharType="end"/>
      </w:r>
    </w:p>
    <w:p w14:paraId="2EF1ED1E">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_Toc1813713618_WPSOffice_Level1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  范围</w:t>
      </w:r>
      <w:r>
        <w:rPr>
          <w:rFonts w:hint="eastAsia" w:ascii="宋体" w:hAnsi="宋体" w:eastAsia="宋体" w:cs="宋体"/>
          <w:sz w:val="21"/>
          <w:szCs w:val="21"/>
        </w:rPr>
        <w:tab/>
      </w:r>
      <w:bookmarkStart w:id="6" w:name="_Toc1813713618_WPSOffice_Level1Page"/>
      <w:r>
        <w:rPr>
          <w:rFonts w:hint="eastAsia" w:ascii="宋体" w:hAnsi="宋体" w:eastAsia="宋体" w:cs="宋体"/>
          <w:sz w:val="21"/>
          <w:szCs w:val="21"/>
        </w:rPr>
        <w:t>1</w:t>
      </w:r>
      <w:bookmarkEnd w:id="6"/>
      <w:r>
        <w:rPr>
          <w:rFonts w:hint="eastAsia" w:ascii="宋体" w:hAnsi="宋体" w:eastAsia="宋体" w:cs="宋体"/>
          <w:sz w:val="21"/>
          <w:szCs w:val="21"/>
        </w:rPr>
        <w:fldChar w:fldCharType="end"/>
      </w:r>
    </w:p>
    <w:p w14:paraId="6CF66419">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_Toc1073677934_WPSOffice_Level1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 xml:space="preserve">2  </w:t>
      </w:r>
      <w:r>
        <w:rPr>
          <w:rFonts w:hint="eastAsia" w:ascii="宋体" w:hAnsi="宋体" w:eastAsia="宋体" w:cs="宋体"/>
          <w:sz w:val="21"/>
          <w:szCs w:val="21"/>
          <w:lang w:eastAsia="zh-CN"/>
        </w:rPr>
        <w:t>资料性</w:t>
      </w:r>
      <w:r>
        <w:rPr>
          <w:rFonts w:hint="eastAsia" w:ascii="宋体" w:hAnsi="宋体" w:eastAsia="宋体" w:cs="宋体"/>
          <w:sz w:val="21"/>
          <w:szCs w:val="21"/>
        </w:rPr>
        <w:t>引用文件</w:t>
      </w:r>
      <w:r>
        <w:rPr>
          <w:rFonts w:hint="eastAsia" w:ascii="宋体" w:hAnsi="宋体" w:eastAsia="宋体" w:cs="宋体"/>
          <w:sz w:val="21"/>
          <w:szCs w:val="21"/>
        </w:rPr>
        <w:tab/>
      </w:r>
      <w:bookmarkStart w:id="7" w:name="_Toc1073677934_WPSOffice_Level1Page"/>
      <w:r>
        <w:rPr>
          <w:rFonts w:hint="eastAsia" w:ascii="宋体" w:hAnsi="宋体" w:eastAsia="宋体" w:cs="宋体"/>
          <w:sz w:val="21"/>
          <w:szCs w:val="21"/>
        </w:rPr>
        <w:t>1</w:t>
      </w:r>
      <w:bookmarkEnd w:id="7"/>
      <w:r>
        <w:rPr>
          <w:rFonts w:hint="eastAsia" w:ascii="宋体" w:hAnsi="宋体" w:eastAsia="宋体" w:cs="宋体"/>
          <w:sz w:val="21"/>
          <w:szCs w:val="21"/>
        </w:rPr>
        <w:fldChar w:fldCharType="end"/>
      </w:r>
    </w:p>
    <w:p w14:paraId="7DCEFFFB">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_Toc62597005_WPSOffice_Level1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3  术语和定义</w:t>
      </w:r>
      <w:r>
        <w:rPr>
          <w:rFonts w:hint="eastAsia" w:ascii="宋体" w:hAnsi="宋体" w:eastAsia="宋体" w:cs="宋体"/>
          <w:sz w:val="21"/>
          <w:szCs w:val="21"/>
        </w:rPr>
        <w:tab/>
      </w:r>
      <w:bookmarkStart w:id="8" w:name="_Toc62597005_WPSOffice_Level1Page"/>
      <w:r>
        <w:rPr>
          <w:rFonts w:hint="eastAsia" w:ascii="宋体" w:hAnsi="宋体" w:eastAsia="宋体" w:cs="宋体"/>
          <w:sz w:val="21"/>
          <w:szCs w:val="21"/>
        </w:rPr>
        <w:t>1</w:t>
      </w:r>
      <w:bookmarkEnd w:id="8"/>
      <w:r>
        <w:rPr>
          <w:rFonts w:hint="eastAsia" w:ascii="宋体" w:hAnsi="宋体" w:eastAsia="宋体" w:cs="宋体"/>
          <w:sz w:val="21"/>
          <w:szCs w:val="21"/>
        </w:rPr>
        <w:fldChar w:fldCharType="end"/>
      </w:r>
    </w:p>
    <w:p w14:paraId="4C4F20E0">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_Toc1689206721_WPSOffice_Level1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4  基本要求</w:t>
      </w:r>
      <w:r>
        <w:rPr>
          <w:rFonts w:hint="eastAsia" w:ascii="宋体" w:hAnsi="宋体" w:eastAsia="宋体" w:cs="宋体"/>
          <w:sz w:val="21"/>
          <w:szCs w:val="21"/>
        </w:rPr>
        <w:tab/>
      </w:r>
      <w:r>
        <w:rPr>
          <w:rFonts w:hint="eastAsia" w:ascii="宋体" w:hAnsi="宋体" w:eastAsia="宋体" w:cs="宋体"/>
          <w:color w:val="auto"/>
          <w:sz w:val="21"/>
          <w:szCs w:val="21"/>
          <w:lang w:val="en-US" w:eastAsia="zh-CN"/>
        </w:rPr>
        <w:t>3</w:t>
      </w:r>
      <w:r>
        <w:rPr>
          <w:rFonts w:hint="eastAsia" w:ascii="宋体" w:hAnsi="宋体" w:eastAsia="宋体" w:cs="宋体"/>
          <w:sz w:val="21"/>
          <w:szCs w:val="21"/>
        </w:rPr>
        <w:fldChar w:fldCharType="end"/>
      </w:r>
    </w:p>
    <w:p w14:paraId="1114BD72">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_Toc1735892720_WPSOffice_Level1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5  堆场防尘</w:t>
      </w:r>
      <w:r>
        <w:rPr>
          <w:rFonts w:hint="eastAsia" w:ascii="宋体" w:hAnsi="宋体" w:eastAsia="宋体" w:cs="宋体"/>
          <w:sz w:val="21"/>
          <w:szCs w:val="21"/>
        </w:rPr>
        <w:tab/>
      </w:r>
      <w:bookmarkStart w:id="9" w:name="_Toc1735892720_WPSOffice_Level1Page"/>
      <w:r>
        <w:rPr>
          <w:rFonts w:hint="eastAsia" w:ascii="宋体" w:hAnsi="宋体" w:eastAsia="宋体" w:cs="宋体"/>
          <w:sz w:val="21"/>
          <w:szCs w:val="21"/>
        </w:rPr>
        <w:t>4</w:t>
      </w:r>
      <w:bookmarkEnd w:id="9"/>
      <w:r>
        <w:rPr>
          <w:rFonts w:hint="eastAsia" w:ascii="宋体" w:hAnsi="宋体" w:eastAsia="宋体" w:cs="宋体"/>
          <w:sz w:val="21"/>
          <w:szCs w:val="21"/>
        </w:rPr>
        <w:fldChar w:fldCharType="end"/>
      </w:r>
    </w:p>
    <w:p w14:paraId="7C945F56">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_Toc75717777_WPSOffice_Level1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6  装卸工艺设备</w:t>
      </w:r>
      <w:r>
        <w:rPr>
          <w:rFonts w:hint="eastAsia" w:ascii="宋体" w:hAnsi="宋体" w:eastAsia="宋体" w:cs="宋体"/>
          <w:sz w:val="21"/>
          <w:szCs w:val="21"/>
        </w:rPr>
        <w:tab/>
      </w:r>
      <w:bookmarkStart w:id="10" w:name="_Toc75717777_WPSOffice_Level1Page"/>
      <w:r>
        <w:rPr>
          <w:rFonts w:hint="eastAsia" w:ascii="宋体" w:hAnsi="宋体" w:eastAsia="宋体" w:cs="宋体"/>
          <w:sz w:val="21"/>
          <w:szCs w:val="21"/>
        </w:rPr>
        <w:t>5</w:t>
      </w:r>
      <w:bookmarkEnd w:id="10"/>
      <w:r>
        <w:rPr>
          <w:rFonts w:hint="eastAsia" w:ascii="宋体" w:hAnsi="宋体" w:eastAsia="宋体" w:cs="宋体"/>
          <w:sz w:val="21"/>
          <w:szCs w:val="21"/>
        </w:rPr>
        <w:fldChar w:fldCharType="end"/>
      </w:r>
    </w:p>
    <w:p w14:paraId="531BCDAC">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_Toc1476109916_WPSOffice_Level1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7  进出港车辆防尘</w:t>
      </w:r>
      <w:r>
        <w:rPr>
          <w:rFonts w:hint="eastAsia" w:ascii="宋体" w:hAnsi="宋体" w:eastAsia="宋体" w:cs="宋体"/>
          <w:sz w:val="21"/>
          <w:szCs w:val="21"/>
        </w:rPr>
        <w:tab/>
      </w:r>
      <w:bookmarkStart w:id="11" w:name="_Toc1476109916_WPSOffice_Level1Page"/>
      <w:r>
        <w:rPr>
          <w:rFonts w:hint="eastAsia" w:ascii="宋体" w:hAnsi="宋体" w:eastAsia="宋体" w:cs="宋体"/>
          <w:sz w:val="21"/>
          <w:szCs w:val="21"/>
        </w:rPr>
        <w:t>5</w:t>
      </w:r>
      <w:bookmarkEnd w:id="11"/>
      <w:r>
        <w:rPr>
          <w:rFonts w:hint="eastAsia" w:ascii="宋体" w:hAnsi="宋体" w:eastAsia="宋体" w:cs="宋体"/>
          <w:sz w:val="21"/>
          <w:szCs w:val="21"/>
        </w:rPr>
        <w:fldChar w:fldCharType="end"/>
      </w:r>
    </w:p>
    <w:p w14:paraId="21E05285">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_Toc2096233745_WPSOffice_Level1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8  移动源大气污染防治</w:t>
      </w:r>
      <w:r>
        <w:rPr>
          <w:rFonts w:hint="eastAsia" w:ascii="宋体" w:hAnsi="宋体" w:eastAsia="宋体" w:cs="宋体"/>
          <w:sz w:val="21"/>
          <w:szCs w:val="21"/>
        </w:rPr>
        <w:tab/>
      </w:r>
      <w:bookmarkStart w:id="12" w:name="_Toc2096233745_WPSOffice_Level1Page"/>
      <w:r>
        <w:rPr>
          <w:rFonts w:hint="eastAsia" w:ascii="宋体" w:hAnsi="宋体" w:eastAsia="宋体" w:cs="宋体"/>
          <w:sz w:val="21"/>
          <w:szCs w:val="21"/>
        </w:rPr>
        <w:t>6</w:t>
      </w:r>
      <w:bookmarkEnd w:id="12"/>
      <w:r>
        <w:rPr>
          <w:rFonts w:hint="eastAsia" w:ascii="宋体" w:hAnsi="宋体" w:eastAsia="宋体" w:cs="宋体"/>
          <w:sz w:val="21"/>
          <w:szCs w:val="21"/>
        </w:rPr>
        <w:fldChar w:fldCharType="end"/>
      </w:r>
    </w:p>
    <w:p w14:paraId="0CE1F3B7">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_Toc1862589009_WPSOffice_Level1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9  疏港道路及港区道路防尘</w:t>
      </w:r>
      <w:r>
        <w:rPr>
          <w:rFonts w:hint="eastAsia" w:ascii="宋体" w:hAnsi="宋体" w:eastAsia="宋体" w:cs="宋体"/>
          <w:sz w:val="21"/>
          <w:szCs w:val="21"/>
        </w:rPr>
        <w:tab/>
      </w:r>
      <w:bookmarkStart w:id="13" w:name="_Toc1862589009_WPSOffice_Level1Page"/>
      <w:r>
        <w:rPr>
          <w:rFonts w:hint="eastAsia" w:ascii="宋体" w:hAnsi="宋体" w:eastAsia="宋体" w:cs="宋体"/>
          <w:sz w:val="21"/>
          <w:szCs w:val="21"/>
        </w:rPr>
        <w:t>6</w:t>
      </w:r>
      <w:bookmarkEnd w:id="13"/>
      <w:r>
        <w:rPr>
          <w:rFonts w:hint="eastAsia" w:ascii="宋体" w:hAnsi="宋体" w:eastAsia="宋体" w:cs="宋体"/>
          <w:sz w:val="21"/>
          <w:szCs w:val="21"/>
        </w:rPr>
        <w:fldChar w:fldCharType="end"/>
      </w:r>
    </w:p>
    <w:p w14:paraId="4170E771">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_Toc372784283_WPSOffice_Level1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10  防尘林带种植</w:t>
      </w:r>
      <w:r>
        <w:rPr>
          <w:rFonts w:hint="eastAsia" w:ascii="宋体" w:hAnsi="宋体" w:eastAsia="宋体" w:cs="宋体"/>
          <w:sz w:val="21"/>
          <w:szCs w:val="21"/>
        </w:rPr>
        <w:tab/>
      </w:r>
      <w:bookmarkStart w:id="14" w:name="_Toc372784283_WPSOffice_Level1Page"/>
      <w:r>
        <w:rPr>
          <w:rFonts w:hint="eastAsia" w:ascii="宋体" w:hAnsi="宋体" w:eastAsia="宋体" w:cs="宋体"/>
          <w:sz w:val="21"/>
          <w:szCs w:val="21"/>
        </w:rPr>
        <w:t>6</w:t>
      </w:r>
      <w:bookmarkEnd w:id="14"/>
      <w:r>
        <w:rPr>
          <w:rFonts w:hint="eastAsia" w:ascii="宋体" w:hAnsi="宋体" w:eastAsia="宋体" w:cs="宋体"/>
          <w:sz w:val="21"/>
          <w:szCs w:val="21"/>
        </w:rPr>
        <w:fldChar w:fldCharType="end"/>
      </w:r>
    </w:p>
    <w:p w14:paraId="01410E82">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_Toc972713327_WPSOffice_Level1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11  智能监管</w:t>
      </w:r>
      <w:r>
        <w:rPr>
          <w:rFonts w:hint="eastAsia" w:ascii="宋体" w:hAnsi="宋体" w:eastAsia="宋体" w:cs="宋体"/>
          <w:sz w:val="21"/>
          <w:szCs w:val="21"/>
        </w:rPr>
        <w:tab/>
      </w:r>
      <w:bookmarkStart w:id="15" w:name="_Toc972713327_WPSOffice_Level1Page"/>
      <w:r>
        <w:rPr>
          <w:rFonts w:hint="eastAsia" w:ascii="宋体" w:hAnsi="宋体" w:eastAsia="宋体" w:cs="宋体"/>
          <w:sz w:val="21"/>
          <w:szCs w:val="21"/>
        </w:rPr>
        <w:t>7</w:t>
      </w:r>
      <w:bookmarkEnd w:id="15"/>
      <w:r>
        <w:rPr>
          <w:rFonts w:hint="eastAsia" w:ascii="宋体" w:hAnsi="宋体" w:eastAsia="宋体" w:cs="宋体"/>
          <w:sz w:val="21"/>
          <w:szCs w:val="21"/>
        </w:rPr>
        <w:fldChar w:fldCharType="end"/>
      </w:r>
    </w:p>
    <w:p w14:paraId="7E0CBC28">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_Toc1175229665_WPSOffice_Level1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12  生产污水处理</w:t>
      </w:r>
      <w:r>
        <w:rPr>
          <w:rFonts w:hint="eastAsia" w:ascii="宋体" w:hAnsi="宋体" w:eastAsia="宋体" w:cs="宋体"/>
          <w:sz w:val="21"/>
          <w:szCs w:val="21"/>
        </w:rPr>
        <w:tab/>
      </w:r>
      <w:bookmarkStart w:id="16" w:name="_Toc1175229665_WPSOffice_Level1Page"/>
      <w:r>
        <w:rPr>
          <w:rFonts w:hint="eastAsia" w:ascii="宋体" w:hAnsi="宋体" w:eastAsia="宋体" w:cs="宋体"/>
          <w:sz w:val="21"/>
          <w:szCs w:val="21"/>
        </w:rPr>
        <w:t>8</w:t>
      </w:r>
      <w:bookmarkEnd w:id="16"/>
      <w:r>
        <w:rPr>
          <w:rFonts w:hint="eastAsia" w:ascii="宋体" w:hAnsi="宋体" w:eastAsia="宋体" w:cs="宋体"/>
          <w:sz w:val="21"/>
          <w:szCs w:val="21"/>
        </w:rPr>
        <w:fldChar w:fldCharType="end"/>
      </w:r>
    </w:p>
    <w:p w14:paraId="10750D70">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_Toc1839750999_WPSOffice_Level1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13  生活污水处理</w:t>
      </w:r>
      <w:r>
        <w:rPr>
          <w:rFonts w:hint="eastAsia" w:ascii="宋体" w:hAnsi="宋体" w:eastAsia="宋体" w:cs="宋体"/>
          <w:sz w:val="21"/>
          <w:szCs w:val="21"/>
        </w:rPr>
        <w:tab/>
      </w:r>
      <w:bookmarkStart w:id="17" w:name="_Toc1839750999_WPSOffice_Level1Page"/>
      <w:r>
        <w:rPr>
          <w:rFonts w:hint="eastAsia" w:ascii="宋体" w:hAnsi="宋体" w:eastAsia="宋体" w:cs="宋体"/>
          <w:sz w:val="21"/>
          <w:szCs w:val="21"/>
        </w:rPr>
        <w:t>9</w:t>
      </w:r>
      <w:bookmarkEnd w:id="17"/>
      <w:r>
        <w:rPr>
          <w:rFonts w:hint="eastAsia" w:ascii="宋体" w:hAnsi="宋体" w:eastAsia="宋体" w:cs="宋体"/>
          <w:sz w:val="21"/>
          <w:szCs w:val="21"/>
        </w:rPr>
        <w:fldChar w:fldCharType="end"/>
      </w:r>
    </w:p>
    <w:p w14:paraId="6F146766">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_Toc190982762_WPSOffice_Level1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14  雨污分流处理</w:t>
      </w:r>
      <w:r>
        <w:rPr>
          <w:rFonts w:hint="eastAsia" w:ascii="宋体" w:hAnsi="宋体" w:eastAsia="宋体" w:cs="宋体"/>
          <w:sz w:val="21"/>
          <w:szCs w:val="21"/>
        </w:rPr>
        <w:tab/>
      </w:r>
      <w:bookmarkStart w:id="18" w:name="_Toc190982762_WPSOffice_Level1Page"/>
      <w:r>
        <w:rPr>
          <w:rFonts w:hint="eastAsia" w:ascii="宋体" w:hAnsi="宋体" w:eastAsia="宋体" w:cs="宋体"/>
          <w:sz w:val="21"/>
          <w:szCs w:val="21"/>
        </w:rPr>
        <w:t>9</w:t>
      </w:r>
      <w:bookmarkEnd w:id="18"/>
      <w:r>
        <w:rPr>
          <w:rFonts w:hint="eastAsia" w:ascii="宋体" w:hAnsi="宋体" w:eastAsia="宋体" w:cs="宋体"/>
          <w:sz w:val="21"/>
          <w:szCs w:val="21"/>
        </w:rPr>
        <w:fldChar w:fldCharType="end"/>
      </w:r>
    </w:p>
    <w:p w14:paraId="61D89752">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_Toc81359038_WPSOffice_Level1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15  污水再生利用</w:t>
      </w:r>
      <w:r>
        <w:rPr>
          <w:rFonts w:hint="eastAsia" w:ascii="宋体" w:hAnsi="宋体" w:eastAsia="宋体" w:cs="宋体"/>
          <w:sz w:val="21"/>
          <w:szCs w:val="21"/>
        </w:rPr>
        <w:tab/>
      </w:r>
      <w:bookmarkStart w:id="19" w:name="_Toc81359038_WPSOffice_Level1Page"/>
      <w:r>
        <w:rPr>
          <w:rFonts w:hint="eastAsia" w:ascii="宋体" w:hAnsi="宋体" w:eastAsia="宋体" w:cs="宋体"/>
          <w:sz w:val="21"/>
          <w:szCs w:val="21"/>
        </w:rPr>
        <w:t>9</w:t>
      </w:r>
      <w:bookmarkEnd w:id="19"/>
      <w:r>
        <w:rPr>
          <w:rFonts w:hint="eastAsia" w:ascii="宋体" w:hAnsi="宋体" w:eastAsia="宋体" w:cs="宋体"/>
          <w:sz w:val="21"/>
          <w:szCs w:val="21"/>
        </w:rPr>
        <w:fldChar w:fldCharType="end"/>
      </w:r>
    </w:p>
    <w:p w14:paraId="18DB17CB">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_Toc2045663933_WPSOffice_Level1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16  维护保养</w:t>
      </w:r>
      <w:r>
        <w:rPr>
          <w:rFonts w:hint="eastAsia" w:ascii="宋体" w:hAnsi="宋体" w:eastAsia="宋体" w:cs="宋体"/>
          <w:sz w:val="21"/>
          <w:szCs w:val="21"/>
        </w:rPr>
        <w:tab/>
      </w:r>
      <w:bookmarkStart w:id="20" w:name="_Toc2045663933_WPSOffice_Level1Page"/>
      <w:r>
        <w:rPr>
          <w:rFonts w:hint="eastAsia" w:ascii="宋体" w:hAnsi="宋体" w:eastAsia="宋体" w:cs="宋体"/>
          <w:sz w:val="21"/>
          <w:szCs w:val="21"/>
        </w:rPr>
        <w:t>9</w:t>
      </w:r>
      <w:bookmarkEnd w:id="20"/>
      <w:r>
        <w:rPr>
          <w:rFonts w:hint="eastAsia" w:ascii="宋体" w:hAnsi="宋体" w:eastAsia="宋体" w:cs="宋体"/>
          <w:sz w:val="21"/>
          <w:szCs w:val="21"/>
        </w:rPr>
        <w:fldChar w:fldCharType="end"/>
      </w:r>
    </w:p>
    <w:p w14:paraId="1B9DFD19">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_Toc1209599561_WPSOffice_Level1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17  固体废物</w:t>
      </w:r>
      <w:r>
        <w:rPr>
          <w:rFonts w:hint="eastAsia" w:ascii="宋体" w:hAnsi="宋体" w:eastAsia="宋体" w:cs="宋体"/>
          <w:sz w:val="21"/>
          <w:szCs w:val="21"/>
        </w:rPr>
        <w:tab/>
      </w:r>
      <w:bookmarkStart w:id="21" w:name="_Toc1209599561_WPSOffice_Level1Page"/>
      <w:r>
        <w:rPr>
          <w:rFonts w:hint="eastAsia" w:ascii="宋体" w:hAnsi="宋体" w:eastAsia="宋体" w:cs="宋体"/>
          <w:sz w:val="21"/>
          <w:szCs w:val="21"/>
        </w:rPr>
        <w:t>10</w:t>
      </w:r>
      <w:bookmarkEnd w:id="21"/>
      <w:r>
        <w:rPr>
          <w:rFonts w:hint="eastAsia" w:ascii="宋体" w:hAnsi="宋体" w:eastAsia="宋体" w:cs="宋体"/>
          <w:sz w:val="21"/>
          <w:szCs w:val="21"/>
        </w:rPr>
        <w:fldChar w:fldCharType="end"/>
      </w:r>
    </w:p>
    <w:p w14:paraId="03A91427">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_Toc1139667437_WPSOffice_Level1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18  噪声</w:t>
      </w:r>
      <w:r>
        <w:rPr>
          <w:rFonts w:hint="eastAsia" w:ascii="宋体" w:hAnsi="宋体" w:eastAsia="宋体" w:cs="宋体"/>
          <w:sz w:val="21"/>
          <w:szCs w:val="21"/>
        </w:rPr>
        <w:tab/>
      </w:r>
      <w:bookmarkStart w:id="22" w:name="_Toc1139667437_WPSOffice_Level1Page"/>
      <w:r>
        <w:rPr>
          <w:rFonts w:hint="eastAsia" w:ascii="宋体" w:hAnsi="宋体" w:eastAsia="宋体" w:cs="宋体"/>
          <w:sz w:val="21"/>
          <w:szCs w:val="21"/>
        </w:rPr>
        <w:t>10</w:t>
      </w:r>
      <w:bookmarkEnd w:id="22"/>
      <w:r>
        <w:rPr>
          <w:rFonts w:hint="eastAsia" w:ascii="宋体" w:hAnsi="宋体" w:eastAsia="宋体" w:cs="宋体"/>
          <w:sz w:val="21"/>
          <w:szCs w:val="21"/>
        </w:rPr>
        <w:fldChar w:fldCharType="end"/>
      </w:r>
    </w:p>
    <w:p w14:paraId="2F12B098">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_Toc1253616977_WPSOffice_Level1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附录A（</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3" w:name="_Toc1253616977_WPSOffice_Level1Page"/>
      <w:r>
        <w:rPr>
          <w:rFonts w:hint="eastAsia" w:ascii="宋体" w:hAnsi="宋体" w:eastAsia="宋体" w:cs="宋体"/>
          <w:sz w:val="21"/>
          <w:szCs w:val="21"/>
        </w:rPr>
        <w:t>11</w:t>
      </w:r>
      <w:bookmarkEnd w:id="23"/>
      <w:r>
        <w:rPr>
          <w:rFonts w:hint="eastAsia" w:ascii="宋体" w:hAnsi="宋体" w:eastAsia="宋体" w:cs="宋体"/>
          <w:sz w:val="21"/>
          <w:szCs w:val="21"/>
        </w:rPr>
        <w:fldChar w:fldCharType="end"/>
      </w:r>
    </w:p>
    <w:p w14:paraId="317EE026">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_Toc1215385214_WPSOffice_Level1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附录B（</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4" w:name="_Toc1215385214_WPSOffice_Level1Page"/>
      <w:r>
        <w:rPr>
          <w:rFonts w:hint="eastAsia" w:ascii="宋体" w:hAnsi="宋体" w:eastAsia="宋体" w:cs="宋体"/>
          <w:sz w:val="21"/>
          <w:szCs w:val="21"/>
        </w:rPr>
        <w:t>13</w:t>
      </w:r>
      <w:bookmarkEnd w:id="24"/>
      <w:r>
        <w:rPr>
          <w:rFonts w:hint="eastAsia" w:ascii="宋体" w:hAnsi="宋体" w:eastAsia="宋体" w:cs="宋体"/>
          <w:sz w:val="21"/>
          <w:szCs w:val="21"/>
        </w:rPr>
        <w:fldChar w:fldCharType="end"/>
      </w:r>
    </w:p>
    <w:p w14:paraId="011C5408">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_Toc523877355_WPSOffice_Level1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附录C（</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5" w:name="_Toc523877355_WPSOffice_Level1Page"/>
      <w:r>
        <w:rPr>
          <w:rFonts w:hint="eastAsia" w:ascii="宋体" w:hAnsi="宋体" w:eastAsia="宋体" w:cs="宋体"/>
          <w:sz w:val="21"/>
          <w:szCs w:val="21"/>
        </w:rPr>
        <w:t>14</w:t>
      </w:r>
      <w:bookmarkEnd w:id="25"/>
      <w:r>
        <w:rPr>
          <w:rFonts w:hint="eastAsia" w:ascii="宋体" w:hAnsi="宋体" w:eastAsia="宋体" w:cs="宋体"/>
          <w:sz w:val="21"/>
          <w:szCs w:val="21"/>
        </w:rPr>
        <w:fldChar w:fldCharType="end"/>
      </w:r>
    </w:p>
    <w:p w14:paraId="05681A2E">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_Toc1823597230_WPSOffice_Level1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附录D（</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6" w:name="_Toc1823597230_WPSOffice_Level1Page"/>
      <w:r>
        <w:rPr>
          <w:rFonts w:hint="eastAsia" w:ascii="宋体" w:hAnsi="宋体" w:eastAsia="宋体" w:cs="宋体"/>
          <w:sz w:val="21"/>
          <w:szCs w:val="21"/>
        </w:rPr>
        <w:t>14</w:t>
      </w:r>
      <w:bookmarkEnd w:id="26"/>
      <w:r>
        <w:rPr>
          <w:rFonts w:hint="eastAsia" w:ascii="宋体" w:hAnsi="宋体" w:eastAsia="宋体" w:cs="宋体"/>
          <w:sz w:val="21"/>
          <w:szCs w:val="21"/>
        </w:rPr>
        <w:fldChar w:fldCharType="end"/>
      </w:r>
    </w:p>
    <w:p w14:paraId="7D9E9BDD">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_Toc721630062_WPSOffice_Level1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附录E（</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7" w:name="_Toc721630062_WPSOffice_Level1Page"/>
      <w:r>
        <w:rPr>
          <w:rFonts w:hint="eastAsia" w:ascii="宋体" w:hAnsi="宋体" w:eastAsia="宋体" w:cs="宋体"/>
          <w:sz w:val="21"/>
          <w:szCs w:val="21"/>
        </w:rPr>
        <w:t>15</w:t>
      </w:r>
      <w:bookmarkEnd w:id="27"/>
      <w:r>
        <w:rPr>
          <w:rFonts w:hint="eastAsia" w:ascii="宋体" w:hAnsi="宋体" w:eastAsia="宋体" w:cs="宋体"/>
          <w:sz w:val="21"/>
          <w:szCs w:val="21"/>
        </w:rPr>
        <w:fldChar w:fldCharType="end"/>
      </w:r>
    </w:p>
    <w:p w14:paraId="1D2872DE">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_Toc174519207_WPSOffice_Level1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附录F（</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8" w:name="_Toc174519207_WPSOffice_Level1Page"/>
      <w:r>
        <w:rPr>
          <w:rFonts w:hint="eastAsia" w:ascii="宋体" w:hAnsi="宋体" w:eastAsia="宋体" w:cs="宋体"/>
          <w:sz w:val="21"/>
          <w:szCs w:val="21"/>
        </w:rPr>
        <w:t>16</w:t>
      </w:r>
      <w:bookmarkEnd w:id="28"/>
      <w:r>
        <w:rPr>
          <w:rFonts w:hint="eastAsia" w:ascii="宋体" w:hAnsi="宋体" w:eastAsia="宋体" w:cs="宋体"/>
          <w:sz w:val="21"/>
          <w:szCs w:val="21"/>
        </w:rPr>
        <w:fldChar w:fldCharType="end"/>
      </w:r>
    </w:p>
    <w:p w14:paraId="6C3B0052">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_Toc309913256_WPSOffice_Level1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附录G（</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29" w:name="_Toc309913256_WPSOffice_Level1Page"/>
      <w:r>
        <w:rPr>
          <w:rFonts w:hint="eastAsia" w:ascii="宋体" w:hAnsi="宋体" w:eastAsia="宋体" w:cs="宋体"/>
          <w:sz w:val="21"/>
          <w:szCs w:val="21"/>
        </w:rPr>
        <w:t>17</w:t>
      </w:r>
      <w:bookmarkEnd w:id="29"/>
      <w:r>
        <w:rPr>
          <w:rFonts w:hint="eastAsia" w:ascii="宋体" w:hAnsi="宋体" w:eastAsia="宋体" w:cs="宋体"/>
          <w:sz w:val="21"/>
          <w:szCs w:val="21"/>
        </w:rPr>
        <w:fldChar w:fldCharType="end"/>
      </w:r>
    </w:p>
    <w:p w14:paraId="10A1C05A">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_Toc404661648_WPSOffice_Level1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附录H（</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30" w:name="_Toc404661648_WPSOffice_Level1Page"/>
      <w:r>
        <w:rPr>
          <w:rFonts w:hint="eastAsia" w:ascii="宋体" w:hAnsi="宋体" w:eastAsia="宋体" w:cs="宋体"/>
          <w:sz w:val="21"/>
          <w:szCs w:val="21"/>
        </w:rPr>
        <w:t>18</w:t>
      </w:r>
      <w:bookmarkEnd w:id="30"/>
      <w:r>
        <w:rPr>
          <w:rFonts w:hint="eastAsia" w:ascii="宋体" w:hAnsi="宋体" w:eastAsia="宋体" w:cs="宋体"/>
          <w:sz w:val="21"/>
          <w:szCs w:val="21"/>
        </w:rPr>
        <w:fldChar w:fldCharType="end"/>
      </w:r>
    </w:p>
    <w:p w14:paraId="5BE8DE35">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_Toc522147322_WPSOffice_Level1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附录I（</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31" w:name="_Toc522147322_WPSOffice_Level1Page"/>
      <w:r>
        <w:rPr>
          <w:rFonts w:hint="eastAsia" w:ascii="宋体" w:hAnsi="宋体" w:eastAsia="宋体" w:cs="宋体"/>
          <w:sz w:val="21"/>
          <w:szCs w:val="21"/>
        </w:rPr>
        <w:t>20</w:t>
      </w:r>
      <w:bookmarkEnd w:id="31"/>
      <w:r>
        <w:rPr>
          <w:rFonts w:hint="eastAsia" w:ascii="宋体" w:hAnsi="宋体" w:eastAsia="宋体" w:cs="宋体"/>
          <w:sz w:val="21"/>
          <w:szCs w:val="21"/>
        </w:rPr>
        <w:fldChar w:fldCharType="end"/>
      </w:r>
    </w:p>
    <w:p w14:paraId="4623D3B3">
      <w:pPr>
        <w:pStyle w:val="36"/>
        <w:tabs>
          <w:tab w:val="right" w:leader="dot" w:pos="9460"/>
        </w:tabs>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\l _Toc1073512364_WPSOffice_Level1 </w:instrText>
      </w:r>
      <w:r>
        <w:rPr>
          <w:rFonts w:hint="eastAsia" w:ascii="宋体" w:hAnsi="宋体" w:eastAsia="宋体" w:cs="宋体"/>
          <w:sz w:val="21"/>
          <w:szCs w:val="21"/>
        </w:rPr>
        <w:fldChar w:fldCharType="separate"/>
      </w:r>
      <w:r>
        <w:rPr>
          <w:rFonts w:hint="eastAsia" w:ascii="宋体" w:hAnsi="宋体" w:eastAsia="宋体" w:cs="宋体"/>
          <w:sz w:val="21"/>
          <w:szCs w:val="21"/>
        </w:rPr>
        <w:t>附录J（</w:t>
      </w:r>
      <w:r>
        <w:rPr>
          <w:rFonts w:hint="eastAsia" w:ascii="宋体" w:hAnsi="宋体" w:eastAsia="宋体" w:cs="宋体"/>
          <w:sz w:val="21"/>
          <w:szCs w:val="21"/>
          <w:lang w:eastAsia="zh-CN"/>
        </w:rPr>
        <w:t>资料性</w:t>
      </w:r>
      <w:r>
        <w:rPr>
          <w:rFonts w:hint="eastAsia" w:ascii="宋体" w:hAnsi="宋体" w:eastAsia="宋体" w:cs="宋体"/>
          <w:sz w:val="21"/>
          <w:szCs w:val="21"/>
        </w:rPr>
        <w:t>）</w:t>
      </w:r>
      <w:r>
        <w:rPr>
          <w:rFonts w:hint="eastAsia" w:ascii="宋体" w:hAnsi="宋体" w:eastAsia="宋体" w:cs="宋体"/>
          <w:sz w:val="21"/>
          <w:szCs w:val="21"/>
        </w:rPr>
        <w:tab/>
      </w:r>
      <w:bookmarkStart w:id="32" w:name="_Toc1073512364_WPSOffice_Level1Page"/>
      <w:r>
        <w:rPr>
          <w:rFonts w:hint="eastAsia" w:ascii="宋体" w:hAnsi="宋体" w:eastAsia="宋体" w:cs="宋体"/>
          <w:sz w:val="21"/>
          <w:szCs w:val="21"/>
        </w:rPr>
        <w:t>21</w:t>
      </w:r>
      <w:bookmarkEnd w:id="32"/>
      <w:r>
        <w:rPr>
          <w:rFonts w:hint="eastAsia" w:ascii="宋体" w:hAnsi="宋体" w:eastAsia="宋体" w:cs="宋体"/>
          <w:sz w:val="21"/>
          <w:szCs w:val="21"/>
        </w:rPr>
        <w:fldChar w:fldCharType="end"/>
      </w:r>
    </w:p>
    <w:bookmarkEnd w:id="5"/>
    <w:p w14:paraId="0BB7A78E">
      <w:pPr>
        <w:pStyle w:val="3"/>
        <w:bidi w:val="0"/>
        <w:sectPr>
          <w:headerReference r:id="rId4" w:type="default"/>
          <w:footerReference r:id="rId5" w:type="default"/>
          <w:pgSz w:w="11910" w:h="16840"/>
          <w:pgMar w:top="1660" w:right="1250" w:bottom="1940" w:left="1200" w:header="1441" w:footer="1141" w:gutter="0"/>
          <w:pgNumType w:fmt="upperRoman" w:start="1"/>
          <w:cols w:space="720" w:num="1"/>
        </w:sectPr>
      </w:pPr>
      <w:bookmarkStart w:id="33" w:name="_Toc2092422513_WPSOffice_Level1"/>
    </w:p>
    <w:p w14:paraId="5EC3357F">
      <w:pPr>
        <w:pStyle w:val="3"/>
        <w:bidi w:val="0"/>
      </w:pPr>
      <w:r>
        <w:t>前</w:t>
      </w:r>
      <w:r>
        <w:tab/>
      </w:r>
      <w:r>
        <w:t>言</w:t>
      </w:r>
      <w:bookmarkEnd w:id="33"/>
    </w:p>
    <w:p w14:paraId="0EFA3F0A">
      <w:pPr>
        <w:pStyle w:val="8"/>
        <w:rPr>
          <w:rFonts w:ascii="黑体"/>
          <w:sz w:val="32"/>
        </w:rPr>
      </w:pPr>
    </w:p>
    <w:p w14:paraId="04E4CEC7">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jc w:val="left"/>
        <w:textAlignment w:val="auto"/>
        <w:rPr>
          <w:rStyle w:val="37"/>
          <w:rFonts w:hint="eastAsia" w:ascii="宋体" w:hAnsi="宋体" w:eastAsia="宋体" w:cs="宋体"/>
          <w:b w:val="0"/>
          <w:bCs w:val="0"/>
          <w:sz w:val="21"/>
          <w:szCs w:val="21"/>
          <w:lang w:val="en-US" w:eastAsia="zh-CN"/>
        </w:rPr>
      </w:pPr>
      <w:r>
        <w:rPr>
          <w:rStyle w:val="37"/>
          <w:rFonts w:hint="eastAsia" w:ascii="宋体" w:hAnsi="宋体" w:eastAsia="宋体" w:cs="宋体"/>
          <w:b w:val="0"/>
          <w:bCs w:val="0"/>
          <w:sz w:val="21"/>
          <w:szCs w:val="21"/>
          <w:lang w:val="en-US" w:eastAsia="zh-CN"/>
        </w:rPr>
        <w:t>本文件按照GB/T 1.1-2020《标准化工作导则 第1部分：标准化文件的结构和起草规则》的规定起草。</w:t>
      </w:r>
    </w:p>
    <w:p w14:paraId="11B082D7">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jc w:val="left"/>
        <w:textAlignment w:val="auto"/>
        <w:rPr>
          <w:rStyle w:val="37"/>
          <w:rFonts w:hint="eastAsia" w:ascii="宋体" w:hAnsi="宋体" w:eastAsia="宋体" w:cs="宋体"/>
          <w:b w:val="0"/>
          <w:bCs w:val="0"/>
          <w:sz w:val="21"/>
          <w:szCs w:val="21"/>
          <w:lang w:val="en-US" w:eastAsia="zh-CN"/>
        </w:rPr>
      </w:pPr>
      <w:r>
        <w:rPr>
          <w:rStyle w:val="37"/>
          <w:rFonts w:hint="eastAsia" w:ascii="宋体" w:hAnsi="宋体" w:eastAsia="宋体" w:cs="宋体"/>
          <w:b w:val="0"/>
          <w:bCs w:val="0"/>
          <w:sz w:val="21"/>
          <w:szCs w:val="21"/>
          <w:lang w:val="en-US" w:eastAsia="zh-CN"/>
        </w:rPr>
        <w:t>请注意本文件的某些内容可能涉及专利。本文件的发布机构不承担识别专利的责任。</w:t>
      </w:r>
    </w:p>
    <w:p w14:paraId="4E5DDA53">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jc w:val="left"/>
        <w:textAlignment w:val="auto"/>
        <w:rPr>
          <w:rStyle w:val="37"/>
          <w:rFonts w:hint="eastAsia" w:ascii="宋体" w:hAnsi="宋体" w:eastAsia="宋体" w:cs="宋体"/>
          <w:b w:val="0"/>
          <w:bCs w:val="0"/>
          <w:sz w:val="21"/>
          <w:szCs w:val="21"/>
          <w:lang w:val="en-US" w:eastAsia="zh-CN"/>
        </w:rPr>
      </w:pPr>
      <w:r>
        <w:rPr>
          <w:rStyle w:val="37"/>
          <w:rFonts w:hint="eastAsia" w:ascii="宋体" w:hAnsi="宋体" w:eastAsia="宋体" w:cs="宋体"/>
          <w:b w:val="0"/>
          <w:bCs w:val="0"/>
          <w:sz w:val="21"/>
          <w:szCs w:val="21"/>
          <w:lang w:val="en-US" w:eastAsia="zh-CN"/>
        </w:rPr>
        <w:t>本文件由济宁市生态环境局提出、归口并组织实施。</w:t>
      </w:r>
    </w:p>
    <w:p w14:paraId="3E57CFD0">
      <w:pPr>
        <w:pStyle w:val="18"/>
        <w:rPr>
          <w:rFonts w:hint="eastAsia"/>
        </w:rPr>
        <w:sectPr>
          <w:footerReference r:id="rId6" w:type="default"/>
          <w:pgSz w:w="11910" w:h="16840"/>
          <w:pgMar w:top="1660" w:right="1250" w:bottom="1940" w:left="1200" w:header="1441" w:footer="1141" w:gutter="0"/>
          <w:pgNumType w:fmt="upperRoman"/>
          <w:cols w:space="720" w:num="1"/>
        </w:sectPr>
      </w:pPr>
    </w:p>
    <w:p w14:paraId="3CB80576">
      <w:pPr>
        <w:keepNext w:val="0"/>
        <w:keepLines w:val="0"/>
        <w:pageBreakBefore w:val="0"/>
        <w:widowControl w:val="0"/>
        <w:kinsoku/>
        <w:wordWrap/>
        <w:overflowPunct/>
        <w:topLinePunct w:val="0"/>
        <w:autoSpaceDE/>
        <w:autoSpaceDN/>
        <w:bidi w:val="0"/>
        <w:adjustRightInd/>
        <w:snapToGrid/>
        <w:spacing w:line="240" w:lineRule="auto"/>
        <w:ind w:right="0"/>
        <w:jc w:val="center"/>
        <w:textAlignment w:val="auto"/>
        <w:rPr>
          <w:rFonts w:hint="eastAsia" w:ascii="黑体" w:hAnsi="黑体" w:eastAsia="黑体" w:cs="黑体"/>
          <w:b w:val="0"/>
          <w:bCs w:val="0"/>
          <w:sz w:val="32"/>
          <w:szCs w:val="32"/>
          <w:lang w:val="en-US" w:eastAsia="zh-CN"/>
        </w:rPr>
      </w:pPr>
      <w:bookmarkStart w:id="34" w:name="_Toc670093877_WPSOffice_Level1"/>
      <w:bookmarkStart w:id="35" w:name="_Toc995711393_WPSOffice_Level1"/>
      <w:bookmarkStart w:id="36" w:name="_Toc1169292639_WPSOffice_Level1"/>
      <w:bookmarkStart w:id="37" w:name="_Toc57774865_WPSOffice_Level1"/>
      <w:r>
        <w:rPr>
          <w:rFonts w:hint="eastAsia" w:ascii="黑体" w:hAnsi="黑体" w:eastAsia="黑体" w:cs="黑体"/>
          <w:b w:val="0"/>
          <w:bCs w:val="0"/>
          <w:sz w:val="32"/>
          <w:szCs w:val="32"/>
          <w:lang w:val="en-US" w:eastAsia="zh-CN"/>
        </w:rPr>
        <w:t>港口码头污染防治技术规范</w:t>
      </w:r>
      <w:bookmarkEnd w:id="34"/>
      <w:bookmarkEnd w:id="35"/>
      <w:bookmarkEnd w:id="36"/>
      <w:bookmarkEnd w:id="37"/>
    </w:p>
    <w:p w14:paraId="503D7EB7">
      <w:pPr>
        <w:pStyle w:val="2"/>
        <w:bidi w:val="0"/>
        <w:rPr>
          <w:rFonts w:hint="eastAsia"/>
          <w:lang w:val="en-US" w:eastAsia="zh-CN"/>
        </w:rPr>
      </w:pPr>
      <w:bookmarkStart w:id="38" w:name="_Toc1813713618_WPSOffice_Level1"/>
      <w:r>
        <w:rPr>
          <w:rFonts w:hint="eastAsia"/>
          <w:lang w:val="en-US" w:eastAsia="zh-CN"/>
        </w:rPr>
        <w:t>1   范围</w:t>
      </w:r>
      <w:bookmarkEnd w:id="38"/>
    </w:p>
    <w:p w14:paraId="772ADEB4">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jc w:val="left"/>
        <w:textAlignment w:val="auto"/>
        <w:rPr>
          <w:rStyle w:val="37"/>
          <w:rFonts w:hint="eastAsia" w:ascii="宋体" w:hAnsi="宋体" w:eastAsia="宋体" w:cs="宋体"/>
          <w:b w:val="0"/>
          <w:bCs w:val="0"/>
          <w:sz w:val="21"/>
          <w:szCs w:val="21"/>
          <w:lang w:val="en-US" w:eastAsia="zh-CN"/>
        </w:rPr>
      </w:pPr>
      <w:r>
        <w:rPr>
          <w:rStyle w:val="37"/>
          <w:rFonts w:hint="eastAsia" w:ascii="宋体" w:hAnsi="宋体" w:eastAsia="宋体" w:cs="宋体"/>
          <w:b w:val="0"/>
          <w:bCs w:val="0"/>
          <w:sz w:val="21"/>
          <w:szCs w:val="21"/>
          <w:lang w:val="en-US" w:eastAsia="zh-CN"/>
        </w:rPr>
        <w:t>本文件规定了港口码头污染防治的</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_Toc1689206721_WPSOffice_Level1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基本要求</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_Toc1735892720_WPSOffice_Level1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和</w:t>
      </w:r>
      <w:r>
        <w:rPr>
          <w:rStyle w:val="37"/>
          <w:rFonts w:hint="eastAsia" w:ascii="宋体" w:hAnsi="宋体" w:eastAsia="宋体" w:cs="宋体"/>
          <w:b w:val="0"/>
          <w:bCs w:val="0"/>
          <w:sz w:val="21"/>
          <w:szCs w:val="21"/>
          <w:lang w:val="en-US" w:eastAsia="zh-CN"/>
        </w:rPr>
        <w:t>堆场防尘</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_Toc75717777_WPSOffice_Level1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、装卸工艺设备</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_Toc1476109916_WPSOffice_Level1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进出港车辆防尘</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_Toc2096233745_WPSOffice_Level1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移动源大气污染防治</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_Toc1862589009_WPSOffice_Level1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疏港道路及港区道路防尘</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_Toc372784283_WPSOffice_Level1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 xml:space="preserve"> 防尘林带种植</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_Toc972713327_WPSOffice_Level1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、智能监管</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_Toc1175229665_WPSOffice_Level1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生产污水处理</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_Toc1839750999_WPSOffice_Level1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生活污水处理</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_Toc190982762_WPSOffice_Level1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雨污分流处理</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_Toc81359038_WPSOffice_Level1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污水再生利用</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_Toc2045663933_WPSOffice_Level1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维护保养</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_Toc1209599561_WPSOffice_Level1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固体废物</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w:t>
      </w:r>
      <w:r>
        <w:rPr>
          <w:rStyle w:val="37"/>
          <w:rFonts w:hint="eastAsia" w:ascii="宋体" w:hAnsi="宋体" w:eastAsia="宋体" w:cs="宋体"/>
          <w:b w:val="0"/>
          <w:bCs w:val="0"/>
          <w:sz w:val="21"/>
          <w:szCs w:val="21"/>
          <w:lang w:val="en-US" w:eastAsia="zh-CN"/>
        </w:rPr>
        <w:fldChar w:fldCharType="begin"/>
      </w:r>
      <w:r>
        <w:rPr>
          <w:rStyle w:val="37"/>
          <w:rFonts w:hint="eastAsia" w:ascii="宋体" w:hAnsi="宋体" w:eastAsia="宋体" w:cs="宋体"/>
          <w:b w:val="0"/>
          <w:bCs w:val="0"/>
          <w:sz w:val="21"/>
          <w:szCs w:val="21"/>
          <w:lang w:val="en-US" w:eastAsia="zh-CN"/>
        </w:rPr>
        <w:instrText xml:space="preserve"> HYPERLINK \l _Toc1139667437_WPSOffice_Level1 </w:instrText>
      </w:r>
      <w:r>
        <w:rPr>
          <w:rStyle w:val="37"/>
          <w:rFonts w:hint="eastAsia" w:ascii="宋体" w:hAnsi="宋体" w:eastAsia="宋体" w:cs="宋体"/>
          <w:b w:val="0"/>
          <w:bCs w:val="0"/>
          <w:sz w:val="21"/>
          <w:szCs w:val="21"/>
          <w:lang w:val="en-US" w:eastAsia="zh-CN"/>
        </w:rPr>
        <w:fldChar w:fldCharType="separate"/>
      </w:r>
      <w:r>
        <w:rPr>
          <w:rStyle w:val="37"/>
          <w:rFonts w:hint="eastAsia" w:ascii="宋体" w:hAnsi="宋体" w:eastAsia="宋体" w:cs="宋体"/>
          <w:b w:val="0"/>
          <w:bCs w:val="0"/>
          <w:sz w:val="21"/>
          <w:szCs w:val="21"/>
          <w:lang w:val="en-US" w:eastAsia="zh-CN"/>
        </w:rPr>
        <w:t>噪声</w:t>
      </w:r>
      <w:r>
        <w:rPr>
          <w:rStyle w:val="37"/>
          <w:rFonts w:hint="eastAsia" w:ascii="宋体" w:hAnsi="宋体" w:eastAsia="宋体" w:cs="宋体"/>
          <w:b w:val="0"/>
          <w:bCs w:val="0"/>
          <w:sz w:val="21"/>
          <w:szCs w:val="21"/>
          <w:lang w:val="en-US" w:eastAsia="zh-CN"/>
        </w:rPr>
        <w:fldChar w:fldCharType="end"/>
      </w:r>
      <w:r>
        <w:rPr>
          <w:rStyle w:val="37"/>
          <w:rFonts w:hint="eastAsia" w:ascii="宋体" w:hAnsi="宋体" w:eastAsia="宋体" w:cs="宋体"/>
          <w:b w:val="0"/>
          <w:bCs w:val="0"/>
          <w:sz w:val="21"/>
          <w:szCs w:val="21"/>
          <w:lang w:val="en-US" w:eastAsia="zh-CN"/>
        </w:rPr>
        <w:t>等技术要求。</w:t>
      </w:r>
    </w:p>
    <w:p w14:paraId="51274187">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jc w:val="left"/>
        <w:textAlignment w:val="auto"/>
        <w:rPr>
          <w:rStyle w:val="37"/>
          <w:rFonts w:hint="eastAsia" w:ascii="宋体" w:hAnsi="宋体" w:eastAsia="宋体" w:cs="宋体"/>
          <w:b w:val="0"/>
          <w:bCs w:val="0"/>
          <w:sz w:val="21"/>
          <w:szCs w:val="21"/>
          <w:lang w:val="en-US" w:eastAsia="zh-CN"/>
        </w:rPr>
      </w:pPr>
      <w:r>
        <w:rPr>
          <w:rStyle w:val="37"/>
          <w:rFonts w:hint="eastAsia" w:ascii="宋体" w:hAnsi="宋体" w:eastAsia="宋体" w:cs="宋体"/>
          <w:b w:val="0"/>
          <w:bCs w:val="0"/>
          <w:sz w:val="21"/>
          <w:szCs w:val="21"/>
          <w:lang w:val="en-US" w:eastAsia="zh-CN"/>
        </w:rPr>
        <w:t>本文件适用于济宁市辖区内取得经营许可证的港口码头污染防治工作。</w:t>
      </w:r>
    </w:p>
    <w:p w14:paraId="684335B9">
      <w:pPr>
        <w:pStyle w:val="2"/>
        <w:bidi w:val="0"/>
        <w:rPr>
          <w:rFonts w:hint="eastAsia"/>
          <w:lang w:val="en-US" w:eastAsia="zh-CN"/>
        </w:rPr>
      </w:pPr>
      <w:bookmarkStart w:id="39" w:name="_Toc1073677934_WPSOffice_Level1"/>
      <w:r>
        <w:rPr>
          <w:rFonts w:hint="eastAsia"/>
          <w:lang w:val="en-US" w:eastAsia="zh-CN"/>
        </w:rPr>
        <w:t>2   资料性引用文件</w:t>
      </w:r>
      <w:bookmarkEnd w:id="39"/>
    </w:p>
    <w:p w14:paraId="3B22604A">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下列文件中的内容通过文中的资料性引用而构成本文件必不可少的条款。其中，注日期的引用文件，仅该日期对应的版本适用于本文件；不注日期的引用文件，其最新版本（包括所有的修改单）适用于本文件。</w:t>
      </w:r>
    </w:p>
    <w:p w14:paraId="3BFA614F">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GB 3552  船舶水污染物排放控制标准</w:t>
      </w:r>
    </w:p>
    <w:p w14:paraId="2AEFEFD8">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default"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GB 12348  工业企业厂界环境噪声排放标准</w:t>
      </w:r>
    </w:p>
    <w:p w14:paraId="137C8D2A">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GB 18597  危险废物贮存污染控制标准</w:t>
      </w:r>
    </w:p>
    <w:p w14:paraId="0392202C">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GB/T 18920  城市污水再生利用 城市杂用水水质</w:t>
      </w:r>
    </w:p>
    <w:p w14:paraId="76C1D3D1">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JTS 149  水运工程环境保护设计规范</w:t>
      </w:r>
    </w:p>
    <w:p w14:paraId="76D38889">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JTS 156  煤炭矿石码头粉尘控制设计规范</w:t>
      </w:r>
    </w:p>
    <w:p w14:paraId="14DE36FE">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JTS 166  河港总体设计规范</w:t>
      </w:r>
    </w:p>
    <w:p w14:paraId="17C878A9">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JT/T 451  港口码头水上污染事故应急防备能力要求</w:t>
      </w:r>
    </w:p>
    <w:p w14:paraId="4CC8C583">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DB37 2376  区域性大气污染物综合排放标准</w:t>
      </w:r>
    </w:p>
    <w:p w14:paraId="672597C4">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val="en-US" w:eastAsia="zh-CN"/>
        </w:rPr>
      </w:pPr>
      <w:r>
        <w:rPr>
          <w:rFonts w:hint="eastAsia" w:ascii="宋体" w:hAnsi="宋体" w:eastAsia="宋体" w:cs="宋体"/>
          <w:b w:val="0"/>
          <w:bCs w:val="0"/>
          <w:color w:val="auto"/>
          <w:sz w:val="21"/>
          <w:szCs w:val="21"/>
          <w:lang w:val="en-US" w:eastAsia="zh-CN"/>
        </w:rPr>
        <w:t>DB37 3416.1  流域水污染物综合排放标准  第1部分：南四湖东平湖流域</w:t>
      </w:r>
    </w:p>
    <w:p w14:paraId="10BE9E79">
      <w:pPr>
        <w:pStyle w:val="2"/>
        <w:bidi w:val="0"/>
        <w:rPr>
          <w:rFonts w:hint="eastAsia"/>
          <w:lang w:val="en-US" w:eastAsia="zh-CN"/>
        </w:rPr>
      </w:pPr>
      <w:bookmarkStart w:id="40" w:name="_Toc21534960"/>
      <w:bookmarkStart w:id="41" w:name="_Toc27227"/>
      <w:bookmarkStart w:id="42" w:name="_Toc20321489"/>
      <w:bookmarkStart w:id="43" w:name="_Toc24158"/>
      <w:bookmarkStart w:id="44" w:name="_Toc9778"/>
      <w:bookmarkStart w:id="45" w:name="_Toc17596"/>
      <w:bookmarkStart w:id="46" w:name="_Toc9262"/>
      <w:bookmarkStart w:id="47" w:name="_Toc4702"/>
      <w:bookmarkStart w:id="48" w:name="_Toc9796"/>
      <w:bookmarkStart w:id="49" w:name="_Toc20318087"/>
      <w:bookmarkStart w:id="50" w:name="_Toc16529"/>
      <w:bookmarkStart w:id="51" w:name="_Toc30270"/>
      <w:bookmarkStart w:id="52" w:name="_Toc62597005_WPSOffice_Level1"/>
      <w:r>
        <w:rPr>
          <w:rFonts w:hint="eastAsia"/>
          <w:lang w:val="en-US" w:eastAsia="zh-CN"/>
        </w:rPr>
        <w:t xml:space="preserve">3  </w:t>
      </w:r>
      <w:bookmarkEnd w:id="40"/>
      <w:bookmarkEnd w:id="41"/>
      <w:bookmarkEnd w:id="42"/>
      <w:bookmarkEnd w:id="43"/>
      <w:bookmarkEnd w:id="44"/>
      <w:bookmarkEnd w:id="45"/>
      <w:bookmarkEnd w:id="46"/>
      <w:bookmarkEnd w:id="47"/>
      <w:bookmarkEnd w:id="48"/>
      <w:bookmarkEnd w:id="49"/>
      <w:bookmarkEnd w:id="50"/>
      <w:bookmarkEnd w:id="51"/>
      <w:r>
        <w:rPr>
          <w:rFonts w:hint="eastAsia"/>
          <w:lang w:val="en-US" w:eastAsia="zh-CN"/>
        </w:rPr>
        <w:t>术语和定义</w:t>
      </w:r>
      <w:bookmarkEnd w:id="52"/>
    </w:p>
    <w:p w14:paraId="6C77B3F6">
      <w:pPr>
        <w:pStyle w:val="34"/>
        <w:rPr>
          <w:rFonts w:hint="eastAsia"/>
          <w:color w:val="auto"/>
        </w:rPr>
      </w:pPr>
      <w:r>
        <w:rPr>
          <w:rFonts w:hint="eastAsia"/>
          <w:color w:val="auto"/>
        </w:rPr>
        <w:t>下列术语和定义适用于本文件。</w:t>
      </w:r>
    </w:p>
    <w:p w14:paraId="769CFFB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.1</w:t>
      </w:r>
    </w:p>
    <w:p w14:paraId="374F76F4">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散货堆场</w:t>
      </w:r>
      <w:r>
        <w:rPr>
          <w:rFonts w:hint="eastAsia" w:ascii="黑体" w:hAnsi="黑体" w:eastAsia="黑体" w:cs="黑体"/>
          <w:b w:val="0"/>
          <w:bCs w:val="0"/>
          <w:color w:val="auto"/>
          <w:sz w:val="21"/>
          <w:szCs w:val="21"/>
          <w:lang w:val="en-US" w:eastAsia="zh-CN"/>
        </w:rPr>
        <w:t xml:space="preserve"> bulk storage yard</w:t>
      </w:r>
    </w:p>
    <w:p w14:paraId="6E7E2213">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rPr>
      </w:pPr>
      <w:r>
        <w:rPr>
          <w:rFonts w:hint="eastAsia" w:ascii="宋体" w:hAnsi="宋体" w:eastAsia="宋体" w:cs="宋体"/>
          <w:b w:val="0"/>
          <w:bCs w:val="0"/>
          <w:color w:val="auto"/>
          <w:sz w:val="21"/>
          <w:szCs w:val="21"/>
          <w:lang w:val="en-US" w:eastAsia="zh-CN"/>
        </w:rPr>
        <w:t>指用于堆存煤炭、砂石等散货的专用露天场地。</w:t>
      </w:r>
    </w:p>
    <w:p w14:paraId="0C126844">
      <w:pPr>
        <w:pStyle w:val="18"/>
        <w:rPr>
          <w:rFonts w:hint="eastAsia"/>
        </w:rPr>
      </w:pPr>
    </w:p>
    <w:p w14:paraId="6ED9689E">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2</w:t>
      </w:r>
    </w:p>
    <w:p w14:paraId="1A8B920C">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防风抑尘网</w:t>
      </w:r>
      <w:r>
        <w:rPr>
          <w:rFonts w:hint="eastAsia" w:ascii="黑体" w:hAnsi="黑体" w:eastAsia="黑体" w:cs="黑体"/>
          <w:b w:val="0"/>
          <w:bCs w:val="0"/>
          <w:color w:val="auto"/>
          <w:sz w:val="21"/>
          <w:szCs w:val="21"/>
          <w:lang w:val="en-US" w:eastAsia="zh-CN"/>
        </w:rPr>
        <w:t xml:space="preserve"> windproof dust suppression net</w:t>
      </w:r>
    </w:p>
    <w:p w14:paraId="24FEC16F">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lang w:val="en-US" w:eastAsia="zh-CN"/>
        </w:rPr>
        <w:t>指利用空气动力学原理，按照实施现场环境风洞实验结果加工成一定几何形状、开孔率和不同孔形组合的挡风抑尘设施。</w:t>
      </w:r>
    </w:p>
    <w:p w14:paraId="0821C047">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p>
    <w:p w14:paraId="628CBF5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3</w:t>
      </w:r>
    </w:p>
    <w:p w14:paraId="7833AC04">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封闭料口</w:t>
      </w:r>
      <w:r>
        <w:rPr>
          <w:rFonts w:hint="eastAsia" w:ascii="黑体" w:hAnsi="黑体" w:eastAsia="黑体" w:cs="黑体"/>
          <w:b w:val="0"/>
          <w:bCs w:val="0"/>
          <w:color w:val="auto"/>
          <w:sz w:val="21"/>
          <w:szCs w:val="21"/>
          <w:lang w:val="en-US" w:eastAsia="zh-CN"/>
        </w:rPr>
        <w:t xml:space="preserve"> closed material outlet</w:t>
      </w:r>
    </w:p>
    <w:p w14:paraId="5EF759D8">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eastAsia="zh-CN"/>
        </w:rPr>
        <w:t>指对</w:t>
      </w:r>
      <w:r>
        <w:rPr>
          <w:rFonts w:hint="eastAsia" w:ascii="宋体" w:hAnsi="宋体" w:eastAsia="宋体" w:cs="宋体"/>
          <w:b w:val="0"/>
          <w:bCs w:val="0"/>
          <w:color w:val="auto"/>
          <w:sz w:val="21"/>
          <w:szCs w:val="21"/>
        </w:rPr>
        <w:t>散货堆场作业料口进行全封闭的构筑物</w:t>
      </w:r>
      <w:r>
        <w:rPr>
          <w:rFonts w:hint="eastAsia" w:ascii="宋体" w:hAnsi="宋体" w:eastAsia="宋体" w:cs="宋体"/>
          <w:b w:val="0"/>
          <w:bCs w:val="0"/>
          <w:color w:val="auto"/>
          <w:sz w:val="21"/>
          <w:szCs w:val="21"/>
          <w:lang w:eastAsia="zh-CN"/>
        </w:rPr>
        <w:t>。</w:t>
      </w:r>
    </w:p>
    <w:p w14:paraId="4AECC23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4</w:t>
      </w:r>
    </w:p>
    <w:p w14:paraId="00E9360E">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rPr>
      </w:pPr>
      <w:r>
        <w:rPr>
          <w:rFonts w:hint="eastAsia" w:ascii="黑体" w:hAnsi="黑体" w:eastAsia="黑体" w:cs="黑体"/>
          <w:b w:val="0"/>
          <w:bCs w:val="0"/>
          <w:color w:val="auto"/>
          <w:sz w:val="21"/>
          <w:szCs w:val="21"/>
        </w:rPr>
        <w:t xml:space="preserve">颗粒捕集器 </w:t>
      </w:r>
      <w:r>
        <w:rPr>
          <w:rFonts w:hint="eastAsia" w:ascii="黑体" w:hAnsi="黑体" w:eastAsia="黑体" w:cs="黑体"/>
          <w:b w:val="0"/>
          <w:bCs w:val="0"/>
          <w:color w:val="auto"/>
          <w:sz w:val="21"/>
          <w:szCs w:val="21"/>
          <w:lang w:val="en-US" w:eastAsia="zh-CN"/>
        </w:rPr>
        <w:t>particle trap</w:t>
      </w:r>
    </w:p>
    <w:p w14:paraId="3DFA1AED">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宋体" w:hAnsi="宋体" w:eastAsia="宋体" w:cs="宋体"/>
          <w:b w:val="0"/>
          <w:bCs w:val="0"/>
          <w:color w:val="auto"/>
          <w:sz w:val="21"/>
          <w:szCs w:val="21"/>
          <w:lang w:eastAsia="zh-CN"/>
        </w:rPr>
        <w:t>指</w:t>
      </w:r>
      <w:r>
        <w:rPr>
          <w:rFonts w:hint="eastAsia" w:ascii="宋体" w:hAnsi="宋体" w:eastAsia="宋体" w:cs="宋体"/>
          <w:b w:val="0"/>
          <w:bCs w:val="0"/>
          <w:color w:val="auto"/>
          <w:sz w:val="21"/>
          <w:szCs w:val="21"/>
        </w:rPr>
        <w:t>安装在柴油发动机排放系统中</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在微粒排放物质进入大气之前将其捕捉的陶瓷过滤器</w:t>
      </w:r>
      <w:r>
        <w:rPr>
          <w:rFonts w:hint="eastAsia" w:ascii="宋体" w:hAnsi="宋体" w:eastAsia="宋体" w:cs="宋体"/>
          <w:b w:val="0"/>
          <w:bCs w:val="0"/>
          <w:color w:val="auto"/>
          <w:sz w:val="21"/>
          <w:szCs w:val="21"/>
          <w:lang w:eastAsia="zh-CN"/>
        </w:rPr>
        <w:t>。</w:t>
      </w:r>
    </w:p>
    <w:p w14:paraId="6AB33D8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5</w:t>
      </w:r>
    </w:p>
    <w:p w14:paraId="27D5FDBB">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default"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智能喷淋</w:t>
      </w:r>
      <w:r>
        <w:rPr>
          <w:rFonts w:hint="eastAsia" w:ascii="黑体" w:hAnsi="黑体" w:eastAsia="黑体" w:cs="黑体"/>
          <w:b w:val="0"/>
          <w:bCs w:val="0"/>
          <w:color w:val="auto"/>
          <w:sz w:val="21"/>
          <w:szCs w:val="21"/>
          <w:lang w:eastAsia="zh-CN"/>
        </w:rPr>
        <w:t>系统</w:t>
      </w:r>
      <w:r>
        <w:rPr>
          <w:rFonts w:hint="eastAsia" w:ascii="黑体" w:hAnsi="黑体" w:eastAsia="黑体" w:cs="黑体"/>
          <w:b w:val="0"/>
          <w:bCs w:val="0"/>
          <w:color w:val="auto"/>
          <w:sz w:val="21"/>
          <w:szCs w:val="21"/>
          <w:lang w:val="en-US" w:eastAsia="zh-CN"/>
        </w:rPr>
        <w:t xml:space="preserve"> i</w:t>
      </w:r>
      <w:r>
        <w:rPr>
          <w:rFonts w:hint="default" w:ascii="黑体" w:hAnsi="黑体" w:eastAsia="黑体" w:cs="黑体"/>
          <w:b w:val="0"/>
          <w:bCs w:val="0"/>
          <w:color w:val="auto"/>
          <w:sz w:val="21"/>
          <w:szCs w:val="21"/>
          <w:lang w:val="en-US" w:eastAsia="zh-CN"/>
        </w:rPr>
        <w:t xml:space="preserve">ntelligent spray </w:t>
      </w:r>
      <w:r>
        <w:rPr>
          <w:rFonts w:hint="eastAsia" w:ascii="黑体" w:hAnsi="黑体" w:eastAsia="黑体" w:cs="黑体"/>
          <w:b w:val="0"/>
          <w:bCs w:val="0"/>
          <w:color w:val="auto"/>
          <w:sz w:val="21"/>
          <w:szCs w:val="21"/>
          <w:lang w:val="en-US" w:eastAsia="zh-CN"/>
        </w:rPr>
        <w:t>system</w:t>
      </w:r>
    </w:p>
    <w:p w14:paraId="5180DE34">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eastAsia="zh-CN"/>
        </w:rPr>
        <w:t>指</w:t>
      </w:r>
      <w:r>
        <w:rPr>
          <w:rFonts w:hint="eastAsia" w:ascii="宋体" w:hAnsi="宋体" w:eastAsia="宋体" w:cs="宋体"/>
          <w:b w:val="0"/>
          <w:bCs w:val="0"/>
          <w:color w:val="auto"/>
          <w:sz w:val="21"/>
          <w:szCs w:val="21"/>
        </w:rPr>
        <w:t>通过物联网技术</w:t>
      </w:r>
      <w:r>
        <w:rPr>
          <w:rFonts w:hint="eastAsia" w:ascii="宋体" w:hAnsi="宋体" w:eastAsia="宋体" w:cs="宋体"/>
          <w:b w:val="0"/>
          <w:bCs w:val="0"/>
          <w:color w:val="auto"/>
          <w:sz w:val="21"/>
          <w:szCs w:val="21"/>
          <w:lang w:eastAsia="zh-CN"/>
        </w:rPr>
        <w:t>，根据现场扬尘浓度和位置，</w:t>
      </w:r>
      <w:r>
        <w:rPr>
          <w:rFonts w:hint="eastAsia" w:ascii="宋体" w:hAnsi="宋体" w:eastAsia="宋体" w:cs="宋体"/>
          <w:b w:val="0"/>
          <w:bCs w:val="0"/>
          <w:color w:val="auto"/>
          <w:sz w:val="21"/>
          <w:szCs w:val="21"/>
          <w:lang w:val="en-US" w:eastAsia="zh-CN"/>
        </w:rPr>
        <w:t>自动</w:t>
      </w:r>
      <w:r>
        <w:rPr>
          <w:rFonts w:hint="eastAsia" w:ascii="宋体" w:hAnsi="宋体" w:eastAsia="宋体" w:cs="宋体"/>
          <w:b w:val="0"/>
          <w:bCs w:val="0"/>
          <w:color w:val="auto"/>
          <w:sz w:val="21"/>
          <w:szCs w:val="21"/>
          <w:lang w:eastAsia="zh-CN"/>
        </w:rPr>
        <w:t>开启和关闭喷淋设施的智能化系统。</w:t>
      </w:r>
    </w:p>
    <w:p w14:paraId="36AF589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6</w:t>
      </w:r>
    </w:p>
    <w:p w14:paraId="1587B302">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固体废物</w:t>
      </w:r>
      <w:r>
        <w:rPr>
          <w:rFonts w:hint="eastAsia" w:ascii="黑体" w:hAnsi="黑体" w:eastAsia="黑体" w:cs="黑体"/>
          <w:b w:val="0"/>
          <w:bCs w:val="0"/>
          <w:color w:val="auto"/>
          <w:sz w:val="21"/>
          <w:szCs w:val="21"/>
          <w:lang w:val="en-US" w:eastAsia="zh-CN"/>
        </w:rPr>
        <w:t xml:space="preserve"> solid waste</w:t>
      </w:r>
    </w:p>
    <w:p w14:paraId="59257E98">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指在生产、生活和其他活动中产生的丧失原有利用价值或者虽未丧失利用价值但被抛弃或者放弃的固态、半固态和置于容器中的气态的物品、物质以及法律、行政法规规定纳入固体废物管理的物品、物质。经无害化加工处理，并且符合强制性国家产品质量标准，不会危害公众健康和生态安全，或者根据固体废物鉴别标准和鉴别程序认定为不属于固体废物的除外。</w:t>
      </w:r>
    </w:p>
    <w:p w14:paraId="3DC8A65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7</w:t>
      </w:r>
    </w:p>
    <w:p w14:paraId="1B847D61">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危险废物</w:t>
      </w:r>
      <w:r>
        <w:rPr>
          <w:rFonts w:hint="eastAsia" w:ascii="黑体" w:hAnsi="黑体" w:eastAsia="黑体" w:cs="黑体"/>
          <w:b w:val="0"/>
          <w:bCs w:val="0"/>
          <w:color w:val="auto"/>
          <w:sz w:val="21"/>
          <w:szCs w:val="21"/>
          <w:lang w:val="en-US" w:eastAsia="zh-CN"/>
        </w:rPr>
        <w:t xml:space="preserve"> hazardous waste</w:t>
      </w:r>
    </w:p>
    <w:p w14:paraId="65650795">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指列入国家危险废物名录或者根据国家规定的危险废物鉴别标准和鉴别方法认定的具有危险特性的固体废物。</w:t>
      </w:r>
    </w:p>
    <w:p w14:paraId="529FB4B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8</w:t>
      </w:r>
    </w:p>
    <w:p w14:paraId="34BF62DD">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生产污水</w:t>
      </w:r>
      <w:r>
        <w:rPr>
          <w:rFonts w:hint="eastAsia" w:ascii="黑体" w:hAnsi="黑体" w:eastAsia="黑体" w:cs="黑体"/>
          <w:b w:val="0"/>
          <w:bCs w:val="0"/>
          <w:color w:val="auto"/>
          <w:sz w:val="21"/>
          <w:szCs w:val="21"/>
          <w:lang w:val="en-US" w:eastAsia="zh-CN"/>
        </w:rPr>
        <w:t xml:space="preserve"> production wastewater</w:t>
      </w:r>
    </w:p>
    <w:p w14:paraId="544404D8">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val="en-US" w:eastAsia="zh-CN"/>
        </w:rPr>
        <w:t>指在生产作业过程中产生的污水，</w:t>
      </w:r>
      <w:r>
        <w:rPr>
          <w:rFonts w:hint="eastAsia" w:ascii="宋体" w:hAnsi="宋体" w:eastAsia="宋体" w:cs="宋体"/>
          <w:b w:val="0"/>
          <w:bCs w:val="0"/>
          <w:color w:val="auto"/>
          <w:sz w:val="21"/>
          <w:szCs w:val="21"/>
        </w:rPr>
        <w:t>包括</w:t>
      </w:r>
      <w:r>
        <w:rPr>
          <w:rFonts w:hint="eastAsia" w:ascii="宋体" w:hAnsi="宋体" w:eastAsia="宋体" w:cs="宋体"/>
          <w:b w:val="0"/>
          <w:bCs w:val="0"/>
          <w:color w:val="auto"/>
          <w:sz w:val="21"/>
          <w:szCs w:val="21"/>
          <w:lang w:val="en-US" w:eastAsia="zh-CN"/>
        </w:rPr>
        <w:t>但不限于</w:t>
      </w:r>
      <w:r>
        <w:rPr>
          <w:rFonts w:hint="eastAsia" w:ascii="宋体" w:hAnsi="宋体" w:eastAsia="宋体" w:cs="宋体"/>
          <w:b w:val="0"/>
          <w:bCs w:val="0"/>
          <w:color w:val="auto"/>
          <w:sz w:val="21"/>
          <w:szCs w:val="21"/>
        </w:rPr>
        <w:t>径流雨污水、冲洗</w:t>
      </w:r>
      <w:r>
        <w:rPr>
          <w:rFonts w:hint="eastAsia" w:ascii="宋体" w:hAnsi="宋体" w:eastAsia="宋体" w:cs="宋体"/>
          <w:b w:val="0"/>
          <w:bCs w:val="0"/>
          <w:color w:val="auto"/>
          <w:sz w:val="21"/>
          <w:szCs w:val="21"/>
          <w:lang w:val="en-US" w:eastAsia="zh-CN"/>
        </w:rPr>
        <w:t>废</w:t>
      </w:r>
      <w:r>
        <w:rPr>
          <w:rFonts w:hint="eastAsia" w:ascii="宋体" w:hAnsi="宋体" w:eastAsia="宋体" w:cs="宋体"/>
          <w:b w:val="0"/>
          <w:bCs w:val="0"/>
          <w:color w:val="auto"/>
          <w:sz w:val="21"/>
          <w:szCs w:val="21"/>
        </w:rPr>
        <w:t>水、洗车</w:t>
      </w:r>
      <w:r>
        <w:rPr>
          <w:rFonts w:hint="eastAsia" w:ascii="宋体" w:hAnsi="宋体" w:eastAsia="宋体" w:cs="宋体"/>
          <w:b w:val="0"/>
          <w:bCs w:val="0"/>
          <w:color w:val="auto"/>
          <w:sz w:val="21"/>
          <w:szCs w:val="21"/>
          <w:lang w:val="en-US" w:eastAsia="zh-CN"/>
        </w:rPr>
        <w:t>废</w:t>
      </w:r>
      <w:r>
        <w:rPr>
          <w:rFonts w:hint="eastAsia" w:ascii="宋体" w:hAnsi="宋体" w:eastAsia="宋体" w:cs="宋体"/>
          <w:b w:val="0"/>
          <w:bCs w:val="0"/>
          <w:color w:val="auto"/>
          <w:sz w:val="21"/>
          <w:szCs w:val="21"/>
        </w:rPr>
        <w:t>水、含油污水、洗箱废水</w:t>
      </w:r>
      <w:r>
        <w:rPr>
          <w:rFonts w:hint="eastAsia" w:ascii="宋体" w:hAnsi="宋体" w:eastAsia="宋体" w:cs="宋体"/>
          <w:b w:val="0"/>
          <w:bCs w:val="0"/>
          <w:color w:val="auto"/>
          <w:sz w:val="21"/>
          <w:szCs w:val="21"/>
          <w:lang w:val="en-US" w:eastAsia="zh-CN"/>
        </w:rPr>
        <w:t>等</w:t>
      </w:r>
      <w:r>
        <w:rPr>
          <w:rFonts w:hint="eastAsia" w:ascii="宋体" w:hAnsi="宋体" w:eastAsia="宋体" w:cs="宋体"/>
          <w:b w:val="0"/>
          <w:bCs w:val="0"/>
          <w:color w:val="auto"/>
          <w:sz w:val="21"/>
          <w:szCs w:val="21"/>
        </w:rPr>
        <w:t>。</w:t>
      </w:r>
    </w:p>
    <w:p w14:paraId="74ABE7B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default"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3.9</w:t>
      </w:r>
    </w:p>
    <w:p w14:paraId="35E55875">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生活污水</w:t>
      </w:r>
      <w:r>
        <w:rPr>
          <w:rFonts w:hint="eastAsia" w:ascii="黑体" w:hAnsi="黑体" w:eastAsia="黑体" w:cs="黑体"/>
          <w:b w:val="0"/>
          <w:bCs w:val="0"/>
          <w:color w:val="auto"/>
          <w:sz w:val="21"/>
          <w:szCs w:val="21"/>
          <w:lang w:val="en-US" w:eastAsia="zh-CN"/>
        </w:rPr>
        <w:t xml:space="preserve"> domestic sewage</w:t>
      </w:r>
    </w:p>
    <w:p w14:paraId="2220D396">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主要包括办公场所、食堂、厕所等排放的污水以及港口码头接收的船舶生活污水。</w:t>
      </w:r>
    </w:p>
    <w:p w14:paraId="019E3C2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default"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10</w:t>
      </w:r>
    </w:p>
    <w:p w14:paraId="3547E020">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船舶污染物</w:t>
      </w:r>
      <w:r>
        <w:rPr>
          <w:rFonts w:hint="eastAsia" w:ascii="黑体" w:hAnsi="黑体" w:eastAsia="黑体" w:cs="黑体"/>
          <w:b w:val="0"/>
          <w:bCs w:val="0"/>
          <w:color w:val="auto"/>
          <w:sz w:val="21"/>
          <w:szCs w:val="21"/>
          <w:lang w:val="en-US" w:eastAsia="zh-CN"/>
        </w:rPr>
        <w:t xml:space="preserve"> pollutant from ship</w:t>
      </w:r>
    </w:p>
    <w:p w14:paraId="6BC71CAA">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主要指船舶含油污水、生活污水和</w:t>
      </w:r>
      <w:r>
        <w:rPr>
          <w:rFonts w:hint="eastAsia" w:ascii="宋体" w:hAnsi="宋体" w:eastAsia="宋体" w:cs="宋体"/>
          <w:b w:val="0"/>
          <w:bCs w:val="0"/>
          <w:color w:val="auto"/>
          <w:sz w:val="21"/>
          <w:szCs w:val="21"/>
          <w:lang w:val="en-US" w:eastAsia="zh-CN"/>
        </w:rPr>
        <w:t>生活</w:t>
      </w:r>
      <w:r>
        <w:rPr>
          <w:rFonts w:hint="eastAsia" w:ascii="宋体" w:hAnsi="宋体" w:eastAsia="宋体" w:cs="宋体"/>
          <w:b w:val="0"/>
          <w:bCs w:val="0"/>
          <w:color w:val="auto"/>
          <w:sz w:val="21"/>
          <w:szCs w:val="21"/>
        </w:rPr>
        <w:t>垃圾等由于船舶活动产生的污染物。</w:t>
      </w:r>
    </w:p>
    <w:p w14:paraId="5AC2B00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default"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11</w:t>
      </w:r>
    </w:p>
    <w:p w14:paraId="1A7C0F4A">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洗箱废水</w:t>
      </w:r>
      <w:r>
        <w:rPr>
          <w:rFonts w:hint="eastAsia" w:ascii="黑体" w:hAnsi="黑体" w:eastAsia="黑体" w:cs="黑体"/>
          <w:b w:val="0"/>
          <w:bCs w:val="0"/>
          <w:color w:val="auto"/>
          <w:sz w:val="21"/>
          <w:szCs w:val="21"/>
          <w:lang w:val="en-US" w:eastAsia="zh-CN"/>
        </w:rPr>
        <w:t xml:space="preserve"> tank washing wastewater</w:t>
      </w:r>
    </w:p>
    <w:p w14:paraId="3DD3DE45">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指清洗集装箱产生的污水。</w:t>
      </w:r>
    </w:p>
    <w:p w14:paraId="6FD0150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default"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12</w:t>
      </w:r>
    </w:p>
    <w:p w14:paraId="718E0190">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雨污分流系统</w:t>
      </w:r>
      <w:r>
        <w:rPr>
          <w:rFonts w:hint="eastAsia" w:ascii="黑体" w:hAnsi="黑体" w:eastAsia="黑体" w:cs="黑体"/>
          <w:b w:val="0"/>
          <w:bCs w:val="0"/>
          <w:color w:val="auto"/>
          <w:sz w:val="21"/>
          <w:szCs w:val="21"/>
          <w:lang w:val="en-US" w:eastAsia="zh-CN"/>
        </w:rPr>
        <w:t xml:space="preserve"> rain and sewage diversion system</w:t>
      </w:r>
    </w:p>
    <w:p w14:paraId="081EAE18">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黑体" w:hAnsi="黑体" w:eastAsia="黑体" w:cs="黑体"/>
          <w:b w:val="0"/>
          <w:bCs w:val="0"/>
          <w:sz w:val="21"/>
          <w:szCs w:val="21"/>
          <w:lang w:val="en-US" w:eastAsia="zh-CN"/>
        </w:rPr>
      </w:pPr>
      <w:r>
        <w:rPr>
          <w:rFonts w:hint="eastAsia" w:ascii="宋体" w:hAnsi="宋体" w:eastAsia="宋体" w:cs="宋体"/>
          <w:b w:val="0"/>
          <w:bCs w:val="0"/>
          <w:color w:val="auto"/>
          <w:sz w:val="21"/>
          <w:szCs w:val="21"/>
        </w:rPr>
        <w:t>雨污分流系统是一种将雨水和</w:t>
      </w:r>
      <w:r>
        <w:rPr>
          <w:rFonts w:hint="eastAsia" w:ascii="宋体" w:hAnsi="宋体" w:eastAsia="宋体" w:cs="宋体"/>
          <w:b w:val="0"/>
          <w:bCs w:val="0"/>
          <w:color w:val="auto"/>
          <w:sz w:val="21"/>
          <w:szCs w:val="21"/>
        </w:rPr>
        <w:fldChar w:fldCharType="begin"/>
      </w:r>
      <w:r>
        <w:rPr>
          <w:rFonts w:hint="eastAsia" w:ascii="宋体" w:hAnsi="宋体" w:eastAsia="宋体" w:cs="宋体"/>
          <w:b w:val="0"/>
          <w:bCs w:val="0"/>
          <w:color w:val="auto"/>
          <w:sz w:val="21"/>
          <w:szCs w:val="21"/>
        </w:rPr>
        <w:instrText xml:space="preserve"> HYPERLINK "https://baike.so.com/doc/3372319-3550375.html" \t "/home/user/文档\\x/_blank" </w:instrText>
      </w:r>
      <w:r>
        <w:rPr>
          <w:rFonts w:hint="eastAsia" w:ascii="宋体" w:hAnsi="宋体" w:eastAsia="宋体" w:cs="宋体"/>
          <w:b w:val="0"/>
          <w:bCs w:val="0"/>
          <w:color w:val="auto"/>
          <w:sz w:val="21"/>
          <w:szCs w:val="21"/>
        </w:rPr>
        <w:fldChar w:fldCharType="separate"/>
      </w:r>
      <w:r>
        <w:rPr>
          <w:rFonts w:hint="eastAsia" w:ascii="宋体" w:hAnsi="宋体" w:eastAsia="宋体" w:cs="宋体"/>
          <w:b w:val="0"/>
          <w:bCs w:val="0"/>
          <w:color w:val="auto"/>
          <w:sz w:val="21"/>
          <w:szCs w:val="21"/>
        </w:rPr>
        <w:t>污水</w:t>
      </w:r>
      <w:r>
        <w:rPr>
          <w:rFonts w:hint="eastAsia" w:ascii="宋体" w:hAnsi="宋体" w:eastAsia="宋体" w:cs="宋体"/>
          <w:b w:val="0"/>
          <w:bCs w:val="0"/>
          <w:color w:val="auto"/>
          <w:sz w:val="21"/>
          <w:szCs w:val="21"/>
        </w:rPr>
        <w:fldChar w:fldCharType="end"/>
      </w:r>
      <w:r>
        <w:rPr>
          <w:rFonts w:hint="eastAsia" w:ascii="宋体" w:hAnsi="宋体" w:eastAsia="宋体" w:cs="宋体"/>
          <w:b w:val="0"/>
          <w:bCs w:val="0"/>
          <w:color w:val="auto"/>
          <w:sz w:val="21"/>
          <w:szCs w:val="21"/>
        </w:rPr>
        <w:t>分开，各用一条管道输送，进行排放或后续处理的</w:t>
      </w:r>
      <w:r>
        <w:rPr>
          <w:rFonts w:hint="eastAsia" w:ascii="宋体" w:hAnsi="宋体" w:eastAsia="宋体" w:cs="宋体"/>
          <w:b w:val="0"/>
          <w:bCs w:val="0"/>
          <w:color w:val="auto"/>
          <w:sz w:val="21"/>
          <w:szCs w:val="21"/>
        </w:rPr>
        <w:fldChar w:fldCharType="begin"/>
      </w:r>
      <w:r>
        <w:rPr>
          <w:rFonts w:hint="eastAsia" w:ascii="宋体" w:hAnsi="宋体" w:eastAsia="宋体" w:cs="宋体"/>
          <w:b w:val="0"/>
          <w:bCs w:val="0"/>
          <w:color w:val="auto"/>
          <w:sz w:val="21"/>
          <w:szCs w:val="21"/>
        </w:rPr>
        <w:instrText xml:space="preserve"> HYPERLINK "https://baike.so.com/doc/23736959-24292858.html" \t "/home/user/文档\\x/_blank" </w:instrText>
      </w:r>
      <w:r>
        <w:rPr>
          <w:rFonts w:hint="eastAsia" w:ascii="宋体" w:hAnsi="宋体" w:eastAsia="宋体" w:cs="宋体"/>
          <w:b w:val="0"/>
          <w:bCs w:val="0"/>
          <w:color w:val="auto"/>
          <w:sz w:val="21"/>
          <w:szCs w:val="21"/>
        </w:rPr>
        <w:fldChar w:fldCharType="separate"/>
      </w:r>
      <w:r>
        <w:rPr>
          <w:rFonts w:hint="eastAsia" w:ascii="宋体" w:hAnsi="宋体" w:eastAsia="宋体" w:cs="宋体"/>
          <w:b w:val="0"/>
          <w:bCs w:val="0"/>
          <w:color w:val="auto"/>
          <w:sz w:val="21"/>
          <w:szCs w:val="21"/>
        </w:rPr>
        <w:t>排污</w:t>
      </w:r>
      <w:r>
        <w:rPr>
          <w:rFonts w:hint="eastAsia" w:ascii="宋体" w:hAnsi="宋体" w:eastAsia="宋体" w:cs="宋体"/>
          <w:b w:val="0"/>
          <w:bCs w:val="0"/>
          <w:color w:val="auto"/>
          <w:sz w:val="21"/>
          <w:szCs w:val="21"/>
        </w:rPr>
        <w:fldChar w:fldCharType="end"/>
      </w:r>
      <w:r>
        <w:rPr>
          <w:rFonts w:hint="eastAsia" w:ascii="宋体" w:hAnsi="宋体" w:eastAsia="宋体" w:cs="宋体"/>
          <w:b w:val="0"/>
          <w:bCs w:val="0"/>
          <w:color w:val="auto"/>
          <w:sz w:val="21"/>
          <w:szCs w:val="21"/>
        </w:rPr>
        <w:t>方式。</w:t>
      </w:r>
      <w:bookmarkStart w:id="53" w:name="_Toc9943"/>
      <w:bookmarkStart w:id="54" w:name="_Toc27810"/>
      <w:bookmarkStart w:id="55" w:name="_Toc31481"/>
      <w:bookmarkStart w:id="56" w:name="_Toc5794"/>
      <w:bookmarkStart w:id="57" w:name="_Toc20321490"/>
      <w:bookmarkStart w:id="58" w:name="_Toc1609"/>
      <w:bookmarkStart w:id="59" w:name="_Toc16773"/>
      <w:bookmarkStart w:id="60" w:name="_Toc266"/>
      <w:bookmarkStart w:id="61" w:name="_Toc20318088"/>
      <w:bookmarkStart w:id="62" w:name="_Toc21534961"/>
      <w:bookmarkStart w:id="63" w:name="_Toc3793"/>
      <w:bookmarkStart w:id="64" w:name="_Toc16469"/>
    </w:p>
    <w:p w14:paraId="68DD3692">
      <w:pPr>
        <w:pStyle w:val="2"/>
        <w:bidi w:val="0"/>
        <w:rPr>
          <w:rFonts w:hint="eastAsia"/>
          <w:lang w:val="en-US" w:eastAsia="zh-CN"/>
        </w:rPr>
      </w:pPr>
      <w:bookmarkStart w:id="65" w:name="_Toc1689206721_WPSOffice_Level1"/>
      <w:r>
        <w:rPr>
          <w:rFonts w:hint="eastAsia"/>
          <w:lang w:val="en-US" w:eastAsia="zh-CN"/>
        </w:rPr>
        <w:t xml:space="preserve">4  </w:t>
      </w:r>
      <w:bookmarkEnd w:id="53"/>
      <w:bookmarkEnd w:id="54"/>
      <w:bookmarkEnd w:id="55"/>
      <w:bookmarkEnd w:id="56"/>
      <w:bookmarkEnd w:id="57"/>
      <w:bookmarkEnd w:id="58"/>
      <w:bookmarkEnd w:id="59"/>
      <w:bookmarkEnd w:id="60"/>
      <w:bookmarkEnd w:id="61"/>
      <w:bookmarkEnd w:id="62"/>
      <w:bookmarkEnd w:id="63"/>
      <w:bookmarkEnd w:id="64"/>
      <w:r>
        <w:rPr>
          <w:rFonts w:hint="eastAsia"/>
          <w:lang w:val="en-US" w:eastAsia="zh-CN"/>
        </w:rPr>
        <w:t>基本要求</w:t>
      </w:r>
      <w:bookmarkEnd w:id="65"/>
    </w:p>
    <w:p w14:paraId="37B849B7">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lang w:eastAsia="zh-CN"/>
        </w:rPr>
        <w:t>港口码头应</w:t>
      </w:r>
      <w:r>
        <w:rPr>
          <w:rFonts w:hint="eastAsia" w:ascii="宋体" w:hAnsi="宋体" w:eastAsia="宋体" w:cs="宋体"/>
          <w:b w:val="0"/>
          <w:bCs w:val="0"/>
          <w:color w:val="auto"/>
          <w:sz w:val="21"/>
          <w:szCs w:val="21"/>
        </w:rPr>
        <w:t>严格落实各级污染防治法律、法规、规章及相关政策要求。</w:t>
      </w:r>
    </w:p>
    <w:p w14:paraId="79EB5207">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lang w:eastAsia="zh-CN"/>
        </w:rPr>
        <w:t>港口码头应</w:t>
      </w:r>
      <w:r>
        <w:rPr>
          <w:rFonts w:hint="eastAsia" w:ascii="宋体" w:hAnsi="宋体" w:eastAsia="宋体" w:cs="宋体"/>
          <w:b w:val="0"/>
          <w:bCs w:val="0"/>
          <w:color w:val="auto"/>
          <w:sz w:val="21"/>
          <w:szCs w:val="21"/>
        </w:rPr>
        <w:t>严格按照经营许可范围经营，不得超范围经营。港区内</w:t>
      </w:r>
      <w:r>
        <w:rPr>
          <w:rFonts w:hint="eastAsia" w:ascii="宋体" w:hAnsi="宋体" w:eastAsia="宋体" w:cs="宋体"/>
          <w:b w:val="0"/>
          <w:bCs w:val="0"/>
          <w:color w:val="auto"/>
          <w:sz w:val="21"/>
          <w:szCs w:val="21"/>
          <w:lang w:eastAsia="zh-CN"/>
        </w:rPr>
        <w:t>不可</w:t>
      </w:r>
      <w:r>
        <w:rPr>
          <w:rFonts w:hint="eastAsia" w:ascii="宋体" w:hAnsi="宋体" w:eastAsia="宋体" w:cs="宋体"/>
          <w:b w:val="0"/>
          <w:bCs w:val="0"/>
          <w:color w:val="auto"/>
          <w:sz w:val="21"/>
          <w:szCs w:val="21"/>
        </w:rPr>
        <w:t>从事洗煤、晾晒煤泥等港口经营许可范围外的业务。</w:t>
      </w:r>
    </w:p>
    <w:p w14:paraId="3A6889F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lang w:eastAsia="zh-CN"/>
        </w:rPr>
        <w:t>港口码头</w:t>
      </w:r>
      <w:r>
        <w:rPr>
          <w:rFonts w:hint="eastAsia" w:ascii="宋体" w:hAnsi="宋体" w:eastAsia="宋体" w:cs="宋体"/>
          <w:b w:val="0"/>
          <w:bCs w:val="0"/>
          <w:color w:val="auto"/>
          <w:sz w:val="21"/>
          <w:szCs w:val="21"/>
        </w:rPr>
        <w:t>应按泊位性质从事装卸船作业，</w:t>
      </w:r>
      <w:r>
        <w:rPr>
          <w:rFonts w:hint="eastAsia" w:ascii="宋体" w:hAnsi="宋体" w:eastAsia="宋体" w:cs="宋体"/>
          <w:b w:val="0"/>
          <w:bCs w:val="0"/>
          <w:color w:val="auto"/>
          <w:sz w:val="21"/>
          <w:szCs w:val="21"/>
          <w:lang w:val="en-US" w:eastAsia="zh-CN"/>
        </w:rPr>
        <w:t>从事散货作业的泊位</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配备防止货物</w:t>
      </w:r>
      <w:r>
        <w:rPr>
          <w:rFonts w:hint="eastAsia" w:ascii="宋体" w:hAnsi="宋体" w:eastAsia="宋体" w:cs="宋体"/>
          <w:b w:val="0"/>
          <w:bCs w:val="0"/>
          <w:color w:val="auto"/>
          <w:sz w:val="21"/>
          <w:szCs w:val="21"/>
          <w:lang w:val="en-US" w:eastAsia="zh-CN"/>
        </w:rPr>
        <w:t>撒落</w:t>
      </w:r>
      <w:r>
        <w:rPr>
          <w:rFonts w:hint="eastAsia" w:ascii="宋体" w:hAnsi="宋体" w:eastAsia="宋体" w:cs="宋体"/>
          <w:b w:val="0"/>
          <w:bCs w:val="0"/>
          <w:color w:val="auto"/>
          <w:sz w:val="21"/>
          <w:szCs w:val="21"/>
        </w:rPr>
        <w:t>的设施设备。</w:t>
      </w:r>
    </w:p>
    <w:p w14:paraId="39E5167C">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使用先进生产工艺和清洁能源。</w:t>
      </w:r>
    </w:p>
    <w:p w14:paraId="09D5295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0000FF"/>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5 </w:t>
      </w:r>
      <w:r>
        <w:rPr>
          <w:rFonts w:hint="eastAsia" w:ascii="宋体" w:hAnsi="宋体" w:eastAsia="宋体" w:cs="宋体"/>
          <w:b w:val="0"/>
          <w:bCs w:val="0"/>
          <w:color w:val="auto"/>
          <w:sz w:val="21"/>
          <w:szCs w:val="21"/>
        </w:rPr>
        <w:t>港区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做到功能分区明确、布局合理</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港区显著位置</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设置环保标识、标牌，公示港区平面布置图和防污染设施一览表，标识、标牌材质须坚固耐用。</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港口大气污染防治设施检查指南</w:t>
      </w:r>
      <w:r>
        <w:rPr>
          <w:rFonts w:hint="eastAsia" w:ascii="宋体" w:hAnsi="宋体" w:eastAsia="宋体" w:cs="宋体"/>
          <w:b w:val="0"/>
          <w:bCs w:val="0"/>
          <w:color w:val="auto"/>
          <w:sz w:val="21"/>
          <w:szCs w:val="21"/>
          <w:lang w:eastAsia="zh-CN"/>
        </w:rPr>
        <w:t>见附录</w:t>
      </w:r>
      <w:r>
        <w:rPr>
          <w:rFonts w:hint="eastAsia" w:ascii="宋体" w:hAnsi="宋体" w:eastAsia="宋体" w:cs="宋体"/>
          <w:b w:val="0"/>
          <w:bCs w:val="0"/>
          <w:color w:val="auto"/>
          <w:sz w:val="21"/>
          <w:szCs w:val="21"/>
          <w:lang w:val="en-US" w:eastAsia="zh-CN"/>
        </w:rPr>
        <w:t>A、</w:t>
      </w:r>
      <w:r>
        <w:rPr>
          <w:rFonts w:hint="eastAsia" w:ascii="宋体" w:hAnsi="宋体" w:eastAsia="宋体" w:cs="宋体"/>
          <w:b w:val="0"/>
          <w:bCs w:val="0"/>
          <w:color w:val="auto"/>
          <w:sz w:val="21"/>
          <w:szCs w:val="21"/>
        </w:rPr>
        <w:t>港口污染防治关键位置示意图</w:t>
      </w:r>
      <w:r>
        <w:rPr>
          <w:rFonts w:hint="eastAsia" w:ascii="宋体" w:hAnsi="宋体" w:eastAsia="宋体" w:cs="宋体"/>
          <w:b w:val="0"/>
          <w:bCs w:val="0"/>
          <w:color w:val="auto"/>
          <w:sz w:val="21"/>
          <w:szCs w:val="21"/>
          <w:lang w:val="en-US" w:eastAsia="zh-CN"/>
        </w:rPr>
        <w:t>见</w:t>
      </w:r>
      <w:r>
        <w:rPr>
          <w:rFonts w:hint="eastAsia" w:ascii="宋体" w:hAnsi="宋体" w:eastAsia="宋体" w:cs="宋体"/>
          <w:b w:val="0"/>
          <w:bCs w:val="0"/>
          <w:color w:val="auto"/>
          <w:sz w:val="21"/>
          <w:szCs w:val="21"/>
          <w:lang w:eastAsia="zh-CN"/>
        </w:rPr>
        <w:t>附录</w:t>
      </w:r>
      <w:r>
        <w:rPr>
          <w:rFonts w:hint="eastAsia" w:ascii="宋体" w:hAnsi="宋体" w:eastAsia="宋体" w:cs="宋体"/>
          <w:b w:val="0"/>
          <w:bCs w:val="0"/>
          <w:color w:val="auto"/>
          <w:sz w:val="21"/>
          <w:szCs w:val="21"/>
          <w:lang w:val="en-US" w:eastAsia="zh-CN"/>
        </w:rPr>
        <w:t>B、污染防治风险隐患告知牌（模板）见</w:t>
      </w:r>
      <w:r>
        <w:rPr>
          <w:rFonts w:hint="eastAsia" w:ascii="宋体" w:hAnsi="宋体" w:eastAsia="宋体" w:cs="宋体"/>
          <w:b w:val="0"/>
          <w:bCs w:val="0"/>
          <w:color w:val="auto"/>
          <w:sz w:val="21"/>
          <w:szCs w:val="21"/>
          <w:lang w:eastAsia="zh-CN"/>
        </w:rPr>
        <w:t>附录</w:t>
      </w:r>
      <w:r>
        <w:rPr>
          <w:rFonts w:hint="eastAsia" w:ascii="宋体" w:hAnsi="宋体" w:eastAsia="宋体" w:cs="宋体"/>
          <w:b w:val="0"/>
          <w:bCs w:val="0"/>
          <w:color w:val="auto"/>
          <w:sz w:val="21"/>
          <w:szCs w:val="21"/>
          <w:lang w:val="en-US" w:eastAsia="zh-CN"/>
        </w:rPr>
        <w:t>C、</w:t>
      </w:r>
      <w:r>
        <w:rPr>
          <w:rFonts w:hint="eastAsia" w:ascii="宋体" w:hAnsi="宋体" w:eastAsia="宋体" w:cs="宋体"/>
          <w:b w:val="0"/>
          <w:bCs w:val="0"/>
          <w:color w:val="auto"/>
          <w:sz w:val="21"/>
          <w:szCs w:val="21"/>
          <w:lang w:eastAsia="zh-CN"/>
        </w:rPr>
        <w:t>污染防治风险隐患告知卡（模板）</w:t>
      </w:r>
      <w:r>
        <w:rPr>
          <w:rFonts w:hint="eastAsia" w:ascii="宋体" w:hAnsi="宋体" w:eastAsia="宋体" w:cs="宋体"/>
          <w:b w:val="0"/>
          <w:bCs w:val="0"/>
          <w:color w:val="auto"/>
          <w:sz w:val="21"/>
          <w:szCs w:val="21"/>
          <w:lang w:val="en-US" w:eastAsia="zh-CN"/>
        </w:rPr>
        <w:t>见</w:t>
      </w:r>
      <w:r>
        <w:rPr>
          <w:rFonts w:hint="eastAsia" w:ascii="宋体" w:hAnsi="宋体" w:eastAsia="宋体" w:cs="宋体"/>
          <w:b w:val="0"/>
          <w:bCs w:val="0"/>
          <w:color w:val="auto"/>
          <w:sz w:val="21"/>
          <w:szCs w:val="21"/>
          <w:lang w:eastAsia="zh-CN"/>
        </w:rPr>
        <w:t>附录</w:t>
      </w:r>
      <w:r>
        <w:rPr>
          <w:rFonts w:hint="eastAsia" w:ascii="宋体" w:hAnsi="宋体" w:eastAsia="宋体" w:cs="宋体"/>
          <w:b w:val="0"/>
          <w:bCs w:val="0"/>
          <w:color w:val="auto"/>
          <w:sz w:val="21"/>
          <w:szCs w:val="21"/>
          <w:lang w:val="en-US" w:eastAsia="zh-CN"/>
        </w:rPr>
        <w:t>D、污染防治风险隐患分级管控清单（模板）见</w:t>
      </w:r>
      <w:r>
        <w:rPr>
          <w:rFonts w:hint="eastAsia" w:ascii="宋体" w:hAnsi="宋体" w:eastAsia="宋体" w:cs="宋体"/>
          <w:b w:val="0"/>
          <w:bCs w:val="0"/>
          <w:color w:val="auto"/>
          <w:sz w:val="21"/>
          <w:szCs w:val="21"/>
          <w:lang w:eastAsia="zh-CN"/>
        </w:rPr>
        <w:t>附录</w:t>
      </w:r>
      <w:r>
        <w:rPr>
          <w:rFonts w:hint="eastAsia" w:ascii="宋体" w:hAnsi="宋体" w:eastAsia="宋体" w:cs="宋体"/>
          <w:b w:val="0"/>
          <w:bCs w:val="0"/>
          <w:color w:val="auto"/>
          <w:sz w:val="21"/>
          <w:szCs w:val="21"/>
          <w:lang w:val="en-US" w:eastAsia="zh-CN"/>
        </w:rPr>
        <w:t>E</w:t>
      </w:r>
      <w:r>
        <w:rPr>
          <w:rFonts w:hint="eastAsia" w:ascii="宋体" w:hAnsi="宋体" w:eastAsia="宋体" w:cs="宋体"/>
          <w:b w:val="0"/>
          <w:bCs w:val="0"/>
          <w:color w:val="auto"/>
          <w:sz w:val="21"/>
          <w:szCs w:val="21"/>
          <w:lang w:eastAsia="zh-CN"/>
        </w:rPr>
        <w:t>）</w:t>
      </w:r>
    </w:p>
    <w:p w14:paraId="6AA29F9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堆场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全部硬化；露天散货堆场内堆垛</w:t>
      </w:r>
      <w:r>
        <w:rPr>
          <w:rFonts w:hint="eastAsia" w:ascii="宋体" w:hAnsi="宋体" w:eastAsia="宋体" w:cs="宋体"/>
          <w:b w:val="0"/>
          <w:bCs w:val="0"/>
          <w:color w:val="auto"/>
          <w:sz w:val="21"/>
          <w:szCs w:val="21"/>
          <w:lang w:eastAsia="zh-CN"/>
        </w:rPr>
        <w:t>应采取</w:t>
      </w:r>
      <w:r>
        <w:rPr>
          <w:rFonts w:hint="eastAsia" w:ascii="宋体" w:hAnsi="宋体" w:eastAsia="宋体" w:cs="宋体"/>
          <w:b w:val="0"/>
          <w:bCs w:val="0"/>
          <w:color w:val="auto"/>
          <w:sz w:val="21"/>
          <w:szCs w:val="21"/>
          <w:highlight w:val="none"/>
          <w:lang w:val="en-US" w:eastAsia="zh-CN"/>
        </w:rPr>
        <w:t>苫盖等抑尘措施</w:t>
      </w:r>
      <w:r>
        <w:rPr>
          <w:rFonts w:hint="eastAsia" w:ascii="宋体" w:hAnsi="宋体" w:eastAsia="宋体" w:cs="宋体"/>
          <w:b w:val="0"/>
          <w:bCs w:val="0"/>
          <w:color w:val="auto"/>
          <w:sz w:val="21"/>
          <w:szCs w:val="21"/>
        </w:rPr>
        <w:t>；散货堆场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配备喷洒系统、排水系统，四周</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设置防风抑尘网。</w:t>
      </w:r>
    </w:p>
    <w:p w14:paraId="268F3F2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.7</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装卸机械起尘点</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配备除尘或降尘设施。</w:t>
      </w:r>
    </w:p>
    <w:p w14:paraId="6E7C3F67">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.8</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涉及煤炭、焦炭等扬尘货物装卸的料口</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实施全封闭作业，根据装卸货物类型，采取不同的除尘或降尘设施。</w:t>
      </w:r>
      <w:r>
        <w:rPr>
          <w:rStyle w:val="39"/>
          <w:rFonts w:hint="eastAsia" w:ascii="宋体" w:hAnsi="宋体" w:eastAsia="宋体" w:cs="宋体"/>
          <w:b w:val="0"/>
          <w:bCs w:val="0"/>
          <w:smallCaps w:val="0"/>
          <w:color w:val="auto"/>
          <w:sz w:val="21"/>
          <w:szCs w:val="21"/>
          <w:u w:val="none"/>
        </w:rPr>
        <w:t>封闭料口应达到环保、安全和消防等要求。</w:t>
      </w:r>
    </w:p>
    <w:p w14:paraId="059F68A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.9</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进出港的重载散货运输车辆</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实现百分百覆盖。</w:t>
      </w:r>
    </w:p>
    <w:p w14:paraId="3F23094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.10</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散货港区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设置洗车装置，其沉淀池应配备超声波泥位计设备，并与</w:t>
      </w:r>
      <w:r>
        <w:rPr>
          <w:rFonts w:hint="eastAsia" w:ascii="宋体" w:hAnsi="宋体" w:eastAsia="宋体" w:cs="宋体"/>
          <w:b w:val="0"/>
          <w:bCs w:val="0"/>
          <w:color w:val="auto"/>
          <w:sz w:val="21"/>
          <w:szCs w:val="21"/>
          <w:lang w:eastAsia="zh-CN"/>
        </w:rPr>
        <w:t>行业主管部门</w:t>
      </w:r>
      <w:r>
        <w:rPr>
          <w:rFonts w:hint="eastAsia" w:ascii="宋体" w:hAnsi="宋体" w:eastAsia="宋体" w:cs="宋体"/>
          <w:b w:val="0"/>
          <w:bCs w:val="0"/>
          <w:color w:val="auto"/>
          <w:sz w:val="21"/>
          <w:szCs w:val="21"/>
        </w:rPr>
        <w:t>监控平台联网。</w:t>
      </w:r>
    </w:p>
    <w:p w14:paraId="1A3B3D6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.11</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港区疏港道路及港内道路</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全部硬化；应配备洒水车、清扫车或洒扫两用车，吞吐量200万吨以上的大型港口应配备湿扫两用车。</w:t>
      </w:r>
    </w:p>
    <w:p w14:paraId="5FD6EFD7">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.12</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排水沟、沉淀池清理后的煤泥、除尘装置产生的粉尘等应制定处置方案，设置专门区域处置和存放，不得乱堆乱放。</w:t>
      </w:r>
    </w:p>
    <w:p w14:paraId="1F2FA21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.13</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港区周围</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种植防尘林带；港区内堆场、道路、码头前沿等之外的裸露地面</w:t>
      </w:r>
      <w:r>
        <w:rPr>
          <w:rStyle w:val="38"/>
          <w:rFonts w:hint="eastAsia" w:ascii="宋体" w:hAnsi="宋体" w:eastAsia="宋体" w:cs="宋体"/>
          <w:b w:val="0"/>
          <w:bCs w:val="0"/>
          <w:smallCaps w:val="0"/>
          <w:color w:val="auto"/>
          <w:sz w:val="21"/>
          <w:szCs w:val="21"/>
          <w:u w:val="none"/>
          <w:lang w:eastAsia="zh-CN"/>
        </w:rPr>
        <w:t>应</w:t>
      </w:r>
      <w:r>
        <w:rPr>
          <w:rStyle w:val="38"/>
          <w:rFonts w:hint="eastAsia" w:ascii="宋体" w:hAnsi="宋体" w:eastAsia="宋体" w:cs="宋体"/>
          <w:b w:val="0"/>
          <w:bCs w:val="0"/>
          <w:smallCaps w:val="0"/>
          <w:color w:val="auto"/>
          <w:sz w:val="21"/>
          <w:szCs w:val="21"/>
          <w:u w:val="none"/>
        </w:rPr>
        <w:t>绿化或硬化。</w:t>
      </w:r>
    </w:p>
    <w:p w14:paraId="0BF69E6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配备视频监控系统，并与</w:t>
      </w:r>
      <w:r>
        <w:rPr>
          <w:rFonts w:hint="eastAsia" w:ascii="宋体" w:hAnsi="宋体" w:eastAsia="宋体" w:cs="宋体"/>
          <w:b w:val="0"/>
          <w:bCs w:val="0"/>
          <w:strike w:val="0"/>
          <w:dstrike w:val="0"/>
          <w:color w:val="auto"/>
          <w:sz w:val="21"/>
          <w:szCs w:val="21"/>
          <w:u w:val="none"/>
          <w:lang w:val="en-US" w:eastAsia="zh-CN"/>
        </w:rPr>
        <w:t>行业主管部门</w:t>
      </w:r>
      <w:r>
        <w:rPr>
          <w:rFonts w:hint="eastAsia" w:ascii="宋体" w:hAnsi="宋体" w:eastAsia="宋体" w:cs="宋体"/>
          <w:b w:val="0"/>
          <w:bCs w:val="0"/>
          <w:color w:val="auto"/>
          <w:sz w:val="21"/>
          <w:szCs w:val="21"/>
        </w:rPr>
        <w:t>监控平台联网。</w:t>
      </w:r>
    </w:p>
    <w:p w14:paraId="36871748">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5 </w:t>
      </w:r>
      <w:r>
        <w:rPr>
          <w:rFonts w:hint="eastAsia" w:ascii="宋体" w:hAnsi="宋体" w:eastAsia="宋体" w:cs="宋体"/>
          <w:b w:val="0"/>
          <w:bCs w:val="0"/>
          <w:color w:val="auto"/>
          <w:sz w:val="21"/>
          <w:szCs w:val="21"/>
        </w:rPr>
        <w:t>港区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配备扬尘监测系统，并与</w:t>
      </w:r>
      <w:r>
        <w:rPr>
          <w:rFonts w:hint="eastAsia" w:ascii="宋体" w:hAnsi="宋体" w:eastAsia="宋体" w:cs="宋体"/>
          <w:b w:val="0"/>
          <w:bCs w:val="0"/>
          <w:strike w:val="0"/>
          <w:dstrike w:val="0"/>
          <w:color w:val="auto"/>
          <w:sz w:val="21"/>
          <w:szCs w:val="21"/>
          <w:u w:val="none"/>
          <w:lang w:val="en-US" w:eastAsia="zh-CN"/>
        </w:rPr>
        <w:t>行业主管部门</w:t>
      </w:r>
      <w:r>
        <w:rPr>
          <w:rFonts w:hint="eastAsia" w:ascii="宋体" w:hAnsi="宋体" w:eastAsia="宋体" w:cs="宋体"/>
          <w:b w:val="0"/>
          <w:bCs w:val="0"/>
          <w:color w:val="auto"/>
          <w:sz w:val="21"/>
          <w:szCs w:val="21"/>
        </w:rPr>
        <w:t>监控平台联网。</w:t>
      </w:r>
    </w:p>
    <w:p w14:paraId="30A275C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洗车台、落料口、封闭车间等重点部位</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安装智能喷淋设备，并与</w:t>
      </w:r>
      <w:r>
        <w:rPr>
          <w:rFonts w:hint="eastAsia" w:ascii="宋体" w:hAnsi="宋体" w:eastAsia="宋体" w:cs="宋体"/>
          <w:b w:val="0"/>
          <w:bCs w:val="0"/>
          <w:strike w:val="0"/>
          <w:dstrike w:val="0"/>
          <w:color w:val="auto"/>
          <w:sz w:val="21"/>
          <w:szCs w:val="21"/>
          <w:u w:val="none"/>
          <w:lang w:val="en-US" w:eastAsia="zh-CN"/>
        </w:rPr>
        <w:t>行业主管部门</w:t>
      </w:r>
      <w:r>
        <w:rPr>
          <w:rFonts w:hint="eastAsia" w:ascii="宋体" w:hAnsi="宋体" w:eastAsia="宋体" w:cs="宋体"/>
          <w:b w:val="0"/>
          <w:bCs w:val="0"/>
          <w:color w:val="auto"/>
          <w:sz w:val="21"/>
          <w:szCs w:val="21"/>
        </w:rPr>
        <w:t>监控平台联网。</w:t>
      </w:r>
    </w:p>
    <w:p w14:paraId="0751972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.17</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港区防污染设施设备应定期维护保养，确保正常运行。</w:t>
      </w:r>
    </w:p>
    <w:p w14:paraId="2B63548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.18</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非道路移动机械监控设备，应实时采集非道路移动机械尾气排放主要数据指标、定位信息，通过无线技术上传至监控平台，实现对港口非道路移动机械的在线监测。</w:t>
      </w:r>
    </w:p>
    <w:p w14:paraId="786910B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eastAsia="宋体"/>
          <w:color w:val="auto"/>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.19</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lang w:eastAsia="zh-CN"/>
        </w:rPr>
        <w:t>港口码头应</w:t>
      </w:r>
      <w:r>
        <w:rPr>
          <w:rFonts w:hint="eastAsia" w:ascii="宋体" w:hAnsi="宋体" w:eastAsia="宋体" w:cs="宋体"/>
          <w:b w:val="0"/>
          <w:bCs w:val="0"/>
          <w:color w:val="auto"/>
          <w:sz w:val="21"/>
          <w:szCs w:val="21"/>
        </w:rPr>
        <w:t>制定</w:t>
      </w:r>
      <w:r>
        <w:rPr>
          <w:rFonts w:hint="eastAsia" w:ascii="宋体" w:hAnsi="宋体" w:cs="宋体"/>
          <w:b w:val="0"/>
          <w:bCs w:val="0"/>
          <w:color w:val="auto"/>
          <w:sz w:val="21"/>
          <w:szCs w:val="21"/>
          <w:lang w:eastAsia="zh-CN"/>
        </w:rPr>
        <w:t>符合</w:t>
      </w:r>
      <w:r>
        <w:rPr>
          <w:rFonts w:hint="eastAsia" w:ascii="宋体" w:hAnsi="宋体" w:cs="宋体"/>
          <w:b w:val="0"/>
          <w:bCs w:val="0"/>
          <w:color w:val="auto"/>
          <w:sz w:val="21"/>
          <w:szCs w:val="21"/>
          <w:lang w:val="en-US" w:eastAsia="zh-CN"/>
        </w:rPr>
        <w:t>JT/T 451的要求的</w:t>
      </w:r>
      <w:r>
        <w:rPr>
          <w:rFonts w:hint="eastAsia" w:ascii="宋体" w:hAnsi="宋体" w:eastAsia="宋体" w:cs="宋体"/>
          <w:b w:val="0"/>
          <w:bCs w:val="0"/>
          <w:color w:val="auto"/>
          <w:sz w:val="21"/>
          <w:szCs w:val="21"/>
        </w:rPr>
        <w:t>污染防治应急预案，严格落实各项应急响应措施。</w:t>
      </w:r>
    </w:p>
    <w:p w14:paraId="2E33582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0 </w:t>
      </w:r>
      <w:r>
        <w:rPr>
          <w:rFonts w:hint="eastAsia" w:ascii="宋体" w:hAnsi="宋体" w:eastAsia="宋体" w:cs="宋体"/>
          <w:b w:val="0"/>
          <w:bCs w:val="0"/>
          <w:color w:val="auto"/>
          <w:sz w:val="21"/>
          <w:szCs w:val="21"/>
        </w:rPr>
        <w:t>新建、改建、扩建港口</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执行</w:t>
      </w:r>
      <w:r>
        <w:rPr>
          <w:rFonts w:hint="eastAsia" w:ascii="宋体" w:hAnsi="宋体" w:eastAsia="宋体" w:cs="宋体"/>
          <w:b w:val="0"/>
          <w:bCs w:val="0"/>
          <w:color w:val="auto"/>
          <w:sz w:val="21"/>
          <w:szCs w:val="21"/>
          <w:lang w:val="en-US" w:eastAsia="zh-CN"/>
        </w:rPr>
        <w:t>JTS 166</w:t>
      </w:r>
      <w:r>
        <w:rPr>
          <w:rFonts w:hint="eastAsia" w:ascii="宋体" w:hAnsi="宋体" w:cs="宋体"/>
          <w:b w:val="0"/>
          <w:bCs w:val="0"/>
          <w:color w:val="auto"/>
          <w:sz w:val="21"/>
          <w:szCs w:val="21"/>
          <w:lang w:val="en-US" w:eastAsia="zh-CN"/>
        </w:rPr>
        <w:t>、JTS 149等</w:t>
      </w:r>
      <w:r>
        <w:rPr>
          <w:rFonts w:hint="eastAsia" w:ascii="宋体" w:hAnsi="宋体" w:eastAsia="宋体" w:cs="宋体"/>
          <w:b w:val="0"/>
          <w:bCs w:val="0"/>
          <w:color w:val="auto"/>
          <w:sz w:val="21"/>
          <w:szCs w:val="21"/>
        </w:rPr>
        <w:t>国家有关技术规范</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新建港口各类环保设施</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与主体工程同时设计、同时施工、同时投入生产和使用。</w:t>
      </w:r>
    </w:p>
    <w:p w14:paraId="088B2B4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1 </w:t>
      </w:r>
      <w:r>
        <w:rPr>
          <w:rFonts w:hint="eastAsia" w:ascii="宋体" w:hAnsi="宋体" w:eastAsia="宋体" w:cs="宋体"/>
          <w:b w:val="0"/>
          <w:bCs w:val="0"/>
          <w:color w:val="auto"/>
          <w:sz w:val="21"/>
          <w:szCs w:val="21"/>
        </w:rPr>
        <w:t>货物</w:t>
      </w:r>
      <w:r>
        <w:rPr>
          <w:rFonts w:hint="eastAsia" w:ascii="宋体" w:hAnsi="宋体" w:eastAsia="宋体" w:cs="宋体"/>
          <w:b w:val="0"/>
          <w:bCs w:val="0"/>
          <w:color w:val="auto"/>
          <w:sz w:val="21"/>
          <w:szCs w:val="21"/>
          <w:lang w:eastAsia="zh-CN"/>
        </w:rPr>
        <w:t>不可</w:t>
      </w:r>
      <w:r>
        <w:rPr>
          <w:rFonts w:hint="eastAsia" w:ascii="宋体" w:hAnsi="宋体" w:eastAsia="宋体" w:cs="宋体"/>
          <w:b w:val="0"/>
          <w:bCs w:val="0"/>
          <w:color w:val="auto"/>
          <w:sz w:val="21"/>
          <w:szCs w:val="21"/>
        </w:rPr>
        <w:t>堆存于堆场以外区域，严禁占压道路、排水系统等设施。</w:t>
      </w:r>
    </w:p>
    <w:p w14:paraId="6BE6502E">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22 </w:t>
      </w:r>
      <w:r>
        <w:rPr>
          <w:rFonts w:hint="eastAsia" w:ascii="宋体" w:hAnsi="宋体" w:eastAsia="宋体" w:cs="宋体"/>
          <w:b w:val="0"/>
          <w:bCs w:val="0"/>
          <w:color w:val="auto"/>
          <w:sz w:val="21"/>
          <w:szCs w:val="21"/>
        </w:rPr>
        <w:t>港口不</w:t>
      </w:r>
      <w:r>
        <w:rPr>
          <w:rFonts w:hint="eastAsia" w:ascii="宋体" w:hAnsi="宋体" w:eastAsia="宋体" w:cs="宋体"/>
          <w:b w:val="0"/>
          <w:bCs w:val="0"/>
          <w:color w:val="auto"/>
          <w:sz w:val="21"/>
          <w:szCs w:val="21"/>
          <w:lang w:eastAsia="zh-CN"/>
        </w:rPr>
        <w:t>可</w:t>
      </w:r>
      <w:r>
        <w:rPr>
          <w:rFonts w:hint="eastAsia" w:ascii="宋体" w:hAnsi="宋体" w:eastAsia="宋体" w:cs="宋体"/>
          <w:b w:val="0"/>
          <w:bCs w:val="0"/>
          <w:color w:val="auto"/>
          <w:sz w:val="21"/>
          <w:szCs w:val="21"/>
        </w:rPr>
        <w:t>向水体直接排放污染物，</w:t>
      </w:r>
      <w:r>
        <w:rPr>
          <w:rFonts w:hint="eastAsia" w:ascii="宋体" w:hAnsi="宋体" w:eastAsia="宋体" w:cs="宋体"/>
          <w:b w:val="0"/>
          <w:bCs w:val="0"/>
          <w:color w:val="auto"/>
          <w:sz w:val="21"/>
          <w:szCs w:val="21"/>
          <w:lang w:eastAsia="zh-CN"/>
        </w:rPr>
        <w:t>应做到</w:t>
      </w:r>
      <w:r>
        <w:rPr>
          <w:rFonts w:hint="eastAsia" w:ascii="宋体" w:hAnsi="宋体" w:eastAsia="宋体" w:cs="宋体"/>
          <w:b w:val="0"/>
          <w:bCs w:val="0"/>
          <w:color w:val="auto"/>
          <w:sz w:val="21"/>
          <w:szCs w:val="21"/>
        </w:rPr>
        <w:t>污水零排放。</w:t>
      </w:r>
    </w:p>
    <w:p w14:paraId="38056F5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3 </w:t>
      </w:r>
      <w:r>
        <w:rPr>
          <w:rFonts w:hint="eastAsia" w:ascii="宋体" w:hAnsi="宋体" w:eastAsia="宋体" w:cs="宋体"/>
          <w:b w:val="0"/>
          <w:bCs w:val="0"/>
          <w:color w:val="auto"/>
          <w:sz w:val="21"/>
          <w:szCs w:val="21"/>
        </w:rPr>
        <w:t>生产、生活污水应优先纳入城市公共污水处理系统，污水水质应满足相应的纳管水质标准，无法纳入公共污水处理系统时，</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自建污水处理系统处理达</w:t>
      </w:r>
      <w:r>
        <w:rPr>
          <w:rFonts w:hint="eastAsia" w:ascii="宋体" w:hAnsi="宋体" w:cs="宋体"/>
          <w:b w:val="0"/>
          <w:bCs w:val="0"/>
          <w:color w:val="auto"/>
          <w:sz w:val="21"/>
          <w:szCs w:val="21"/>
          <w:lang w:eastAsia="zh-CN"/>
        </w:rPr>
        <w:t>到</w:t>
      </w:r>
      <w:r>
        <w:rPr>
          <w:rFonts w:hint="eastAsia" w:ascii="宋体" w:hAnsi="宋体" w:cs="宋体"/>
          <w:b w:val="0"/>
          <w:bCs w:val="0"/>
          <w:color w:val="auto"/>
          <w:sz w:val="21"/>
          <w:szCs w:val="21"/>
          <w:lang w:val="en-US" w:eastAsia="zh-CN"/>
        </w:rPr>
        <w:t>GB/T 18920的</w:t>
      </w:r>
      <w:r>
        <w:rPr>
          <w:rFonts w:hint="eastAsia" w:ascii="宋体" w:hAnsi="宋体" w:cs="宋体"/>
          <w:b w:val="0"/>
          <w:bCs w:val="0"/>
          <w:color w:val="auto"/>
          <w:sz w:val="21"/>
          <w:szCs w:val="21"/>
          <w:lang w:eastAsia="zh-CN"/>
        </w:rPr>
        <w:t>要求</w:t>
      </w:r>
      <w:r>
        <w:rPr>
          <w:rFonts w:hint="eastAsia" w:ascii="宋体" w:hAnsi="宋体" w:eastAsia="宋体" w:cs="宋体"/>
          <w:b w:val="0"/>
          <w:bCs w:val="0"/>
          <w:color w:val="auto"/>
          <w:sz w:val="21"/>
          <w:szCs w:val="21"/>
        </w:rPr>
        <w:t>后回用。</w:t>
      </w:r>
    </w:p>
    <w:p w14:paraId="6B79F45B">
      <w:pPr>
        <w:keepNext w:val="0"/>
        <w:keepLines w:val="0"/>
        <w:widowControl/>
        <w:suppressLineNumbers w:val="0"/>
        <w:jc w:val="left"/>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24 </w:t>
      </w:r>
      <w:r>
        <w:rPr>
          <w:rFonts w:hint="eastAsia" w:ascii="宋体" w:hAnsi="宋体" w:eastAsia="宋体" w:cs="宋体"/>
          <w:b w:val="0"/>
          <w:bCs w:val="0"/>
          <w:color w:val="auto"/>
          <w:sz w:val="21"/>
          <w:szCs w:val="21"/>
        </w:rPr>
        <w:t>港口污水经处理满足城市杂用水水质标准后用于港区喷淋、绿化、洗车等。</w:t>
      </w:r>
    </w:p>
    <w:p w14:paraId="0F1D864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25 </w:t>
      </w:r>
      <w:r>
        <w:rPr>
          <w:rFonts w:hint="eastAsia" w:ascii="宋体" w:hAnsi="宋体" w:eastAsia="宋体" w:cs="宋体"/>
          <w:b w:val="0"/>
          <w:bCs w:val="0"/>
          <w:color w:val="auto"/>
          <w:sz w:val="21"/>
          <w:szCs w:val="21"/>
        </w:rPr>
        <w:t>港口</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设置与</w:t>
      </w:r>
      <w:r>
        <w:rPr>
          <w:rFonts w:hint="eastAsia" w:ascii="宋体" w:hAnsi="宋体" w:eastAsia="宋体" w:cs="宋体"/>
          <w:b w:val="0"/>
          <w:bCs w:val="0"/>
          <w:color w:val="auto"/>
          <w:sz w:val="21"/>
          <w:szCs w:val="21"/>
          <w:lang w:eastAsia="zh-CN"/>
        </w:rPr>
        <w:t>其</w:t>
      </w:r>
      <w:r>
        <w:rPr>
          <w:rFonts w:hint="eastAsia" w:ascii="宋体" w:hAnsi="宋体" w:eastAsia="宋体" w:cs="宋体"/>
          <w:b w:val="0"/>
          <w:bCs w:val="0"/>
          <w:color w:val="auto"/>
          <w:sz w:val="21"/>
          <w:szCs w:val="21"/>
        </w:rPr>
        <w:t>吞吐能力相适应的船舶含油污水、生活污水、生活垃圾等污染物接收设施</w:t>
      </w:r>
      <w:r>
        <w:rPr>
          <w:rFonts w:hint="eastAsia" w:ascii="宋体" w:hAnsi="宋体" w:cs="宋体"/>
          <w:b w:val="0"/>
          <w:bCs w:val="0"/>
          <w:color w:val="auto"/>
          <w:sz w:val="21"/>
          <w:szCs w:val="21"/>
          <w:lang w:eastAsia="zh-CN"/>
        </w:rPr>
        <w:t>，船舶污染物符合</w:t>
      </w:r>
      <w:r>
        <w:rPr>
          <w:rFonts w:hint="eastAsia" w:ascii="宋体" w:hAnsi="宋体" w:cs="宋体"/>
          <w:b w:val="0"/>
          <w:bCs w:val="0"/>
          <w:color w:val="auto"/>
          <w:sz w:val="21"/>
          <w:szCs w:val="21"/>
          <w:lang w:val="en-US" w:eastAsia="zh-CN"/>
        </w:rPr>
        <w:t>GB 3552的</w:t>
      </w:r>
      <w:r>
        <w:rPr>
          <w:rFonts w:hint="eastAsia" w:ascii="宋体" w:hAnsi="宋体" w:cs="宋体"/>
          <w:b w:val="0"/>
          <w:bCs w:val="0"/>
          <w:color w:val="auto"/>
          <w:sz w:val="21"/>
          <w:szCs w:val="21"/>
          <w:lang w:eastAsia="zh-CN"/>
        </w:rPr>
        <w:t>要求</w:t>
      </w:r>
      <w:r>
        <w:rPr>
          <w:rFonts w:hint="eastAsia" w:ascii="宋体" w:hAnsi="宋体" w:eastAsia="宋体" w:cs="宋体"/>
          <w:b w:val="0"/>
          <w:bCs w:val="0"/>
          <w:color w:val="auto"/>
          <w:sz w:val="21"/>
          <w:szCs w:val="21"/>
        </w:rPr>
        <w:t>。</w:t>
      </w:r>
    </w:p>
    <w:p w14:paraId="7B20D2C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26 </w:t>
      </w:r>
      <w:r>
        <w:rPr>
          <w:rFonts w:hint="eastAsia" w:ascii="宋体" w:hAnsi="宋体" w:eastAsia="宋体" w:cs="宋体"/>
          <w:b w:val="0"/>
          <w:bCs w:val="0"/>
          <w:color w:val="auto"/>
          <w:sz w:val="21"/>
          <w:szCs w:val="21"/>
        </w:rPr>
        <w:t>疏港道路两侧应建设污水收集管网和沉淀池，冲洗污水全部收集回用，确保不外排、不溢流。</w:t>
      </w:r>
    </w:p>
    <w:p w14:paraId="5A9B8C6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27 </w:t>
      </w:r>
      <w:r>
        <w:rPr>
          <w:rFonts w:hint="eastAsia" w:ascii="宋体" w:hAnsi="宋体" w:eastAsia="宋体" w:cs="宋体"/>
          <w:b w:val="0"/>
          <w:bCs w:val="0"/>
          <w:color w:val="auto"/>
          <w:sz w:val="21"/>
          <w:szCs w:val="21"/>
          <w:lang w:eastAsia="zh-CN"/>
        </w:rPr>
        <w:t>港口码头应</w:t>
      </w:r>
      <w:r>
        <w:rPr>
          <w:rFonts w:hint="eastAsia" w:ascii="宋体" w:hAnsi="宋体" w:eastAsia="宋体" w:cs="宋体"/>
          <w:b w:val="0"/>
          <w:bCs w:val="0"/>
          <w:color w:val="auto"/>
          <w:sz w:val="21"/>
          <w:szCs w:val="21"/>
        </w:rPr>
        <w:t>严格执行南水北调工程沿线区域、南四湖流域水污染防治有关工作要求。</w:t>
      </w:r>
    </w:p>
    <w:p w14:paraId="707E676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28</w:t>
      </w:r>
      <w:r>
        <w:rPr>
          <w:rFonts w:hint="eastAsia" w:ascii="宋体" w:hAnsi="宋体" w:eastAsia="宋体" w:cs="宋体"/>
          <w:b w:val="0"/>
          <w:bCs w:val="0"/>
          <w:color w:val="auto"/>
          <w:sz w:val="21"/>
          <w:szCs w:val="21"/>
        </w:rPr>
        <w:t xml:space="preserve"> 港口码头前沿应配备水质监测设备，</w:t>
      </w:r>
      <w:r>
        <w:rPr>
          <w:rFonts w:hint="eastAsia" w:ascii="宋体" w:hAnsi="宋体" w:cs="宋体"/>
          <w:b w:val="0"/>
          <w:bCs w:val="0"/>
          <w:color w:val="auto"/>
          <w:sz w:val="21"/>
          <w:szCs w:val="21"/>
          <w:lang w:eastAsia="zh-CN"/>
        </w:rPr>
        <w:t>监测点位应符合</w:t>
      </w:r>
      <w:r>
        <w:rPr>
          <w:rFonts w:hint="eastAsia" w:ascii="宋体" w:hAnsi="宋体" w:cs="宋体"/>
          <w:b w:val="0"/>
          <w:bCs w:val="0"/>
          <w:color w:val="auto"/>
          <w:sz w:val="21"/>
          <w:szCs w:val="21"/>
          <w:lang w:val="en-US" w:eastAsia="zh-CN"/>
        </w:rPr>
        <w:t>DB37 3416.1要求，</w:t>
      </w:r>
      <w:r>
        <w:rPr>
          <w:rFonts w:hint="eastAsia" w:ascii="宋体" w:hAnsi="宋体" w:eastAsia="宋体" w:cs="宋体"/>
          <w:b w:val="0"/>
          <w:bCs w:val="0"/>
          <w:color w:val="auto"/>
          <w:sz w:val="21"/>
          <w:szCs w:val="21"/>
        </w:rPr>
        <w:t>并与</w:t>
      </w:r>
      <w:r>
        <w:rPr>
          <w:rFonts w:hint="eastAsia" w:ascii="宋体" w:hAnsi="宋体" w:eastAsia="宋体" w:cs="宋体"/>
          <w:b w:val="0"/>
          <w:bCs w:val="0"/>
          <w:color w:val="auto"/>
          <w:sz w:val="21"/>
          <w:szCs w:val="21"/>
          <w:lang w:eastAsia="zh-CN"/>
        </w:rPr>
        <w:t>行业主管部门</w:t>
      </w:r>
      <w:r>
        <w:rPr>
          <w:rFonts w:hint="eastAsia" w:ascii="宋体" w:hAnsi="宋体" w:eastAsia="宋体" w:cs="宋体"/>
          <w:b w:val="0"/>
          <w:bCs w:val="0"/>
          <w:color w:val="auto"/>
          <w:sz w:val="21"/>
          <w:szCs w:val="21"/>
        </w:rPr>
        <w:t>监控平台联网。</w:t>
      </w:r>
    </w:p>
    <w:p w14:paraId="535A982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29</w:t>
      </w:r>
      <w:r>
        <w:rPr>
          <w:rFonts w:hint="eastAsia" w:ascii="宋体" w:hAnsi="宋体" w:eastAsia="宋体" w:cs="宋体"/>
          <w:b w:val="0"/>
          <w:bCs w:val="0"/>
          <w:color w:val="auto"/>
          <w:sz w:val="21"/>
          <w:szCs w:val="21"/>
        </w:rPr>
        <w:t xml:space="preserve"> 港口生产污水、生活污水处理站应加装用电监管设备，并与</w:t>
      </w:r>
      <w:r>
        <w:rPr>
          <w:rFonts w:hint="eastAsia" w:ascii="宋体" w:hAnsi="宋体" w:eastAsia="宋体" w:cs="宋体"/>
          <w:b w:val="0"/>
          <w:bCs w:val="0"/>
          <w:color w:val="auto"/>
          <w:sz w:val="21"/>
          <w:szCs w:val="21"/>
          <w:lang w:eastAsia="zh-CN"/>
        </w:rPr>
        <w:t>行业主管部门</w:t>
      </w:r>
      <w:r>
        <w:rPr>
          <w:rFonts w:hint="eastAsia" w:ascii="宋体" w:hAnsi="宋体" w:eastAsia="宋体" w:cs="宋体"/>
          <w:b w:val="0"/>
          <w:bCs w:val="0"/>
          <w:color w:val="auto"/>
          <w:sz w:val="21"/>
          <w:szCs w:val="21"/>
        </w:rPr>
        <w:t>监控平台联网。</w:t>
      </w:r>
    </w:p>
    <w:p w14:paraId="7346204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4</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30 </w:t>
      </w:r>
      <w:r>
        <w:rPr>
          <w:rFonts w:hint="eastAsia" w:ascii="宋体" w:hAnsi="宋体" w:eastAsia="宋体" w:cs="宋体"/>
          <w:b w:val="0"/>
          <w:bCs w:val="0"/>
          <w:color w:val="auto"/>
          <w:sz w:val="21"/>
          <w:szCs w:val="21"/>
        </w:rPr>
        <w:t>港口</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在前沿水域安装</w:t>
      </w:r>
      <w:r>
        <w:rPr>
          <w:rFonts w:hint="eastAsia" w:ascii="宋体" w:hAnsi="宋体" w:eastAsia="宋体" w:cs="宋体"/>
          <w:b w:val="0"/>
          <w:bCs w:val="0"/>
          <w:color w:val="auto"/>
          <w:sz w:val="21"/>
          <w:szCs w:val="21"/>
          <w:lang w:eastAsia="zh-CN"/>
        </w:rPr>
        <w:t>自吸式水上垃圾收集装置</w:t>
      </w:r>
      <w:r>
        <w:rPr>
          <w:rFonts w:hint="eastAsia" w:ascii="宋体" w:hAnsi="宋体" w:eastAsia="宋体" w:cs="宋体"/>
          <w:b w:val="0"/>
          <w:bCs w:val="0"/>
          <w:color w:val="auto"/>
          <w:sz w:val="21"/>
          <w:szCs w:val="21"/>
        </w:rPr>
        <w:t>，自动对水面垃圾、漂浮物进行收集和吸附，防止水面污染物扩散。</w:t>
      </w:r>
    </w:p>
    <w:p w14:paraId="1F0E2C87">
      <w:pPr>
        <w:pStyle w:val="2"/>
        <w:bidi w:val="0"/>
        <w:rPr>
          <w:rFonts w:hint="eastAsia"/>
          <w:lang w:val="en-US" w:eastAsia="zh-CN"/>
        </w:rPr>
      </w:pPr>
      <w:bookmarkStart w:id="66" w:name="_Toc22675"/>
      <w:bookmarkStart w:id="67" w:name="_Toc8545"/>
      <w:bookmarkStart w:id="68" w:name="_Toc20318089"/>
      <w:bookmarkStart w:id="69" w:name="_Toc9310"/>
      <w:bookmarkStart w:id="70" w:name="_Toc20321491"/>
      <w:bookmarkStart w:id="71" w:name="_Toc16710"/>
      <w:bookmarkStart w:id="72" w:name="_Toc30697"/>
      <w:bookmarkStart w:id="73" w:name="_Toc2693"/>
      <w:bookmarkStart w:id="74" w:name="_Toc21534962"/>
      <w:bookmarkStart w:id="75" w:name="_Toc28590"/>
      <w:bookmarkStart w:id="76" w:name="_Toc12546"/>
      <w:bookmarkStart w:id="77" w:name="_Toc11866"/>
      <w:bookmarkStart w:id="78" w:name="_Toc1735892720_WPSOffice_Level1"/>
      <w:r>
        <w:rPr>
          <w:rFonts w:hint="eastAsia"/>
          <w:lang w:val="en-US" w:eastAsia="zh-CN"/>
        </w:rPr>
        <w:t xml:space="preserve">5  </w:t>
      </w:r>
      <w:bookmarkEnd w:id="66"/>
      <w:bookmarkEnd w:id="67"/>
      <w:bookmarkEnd w:id="68"/>
      <w:bookmarkEnd w:id="69"/>
      <w:bookmarkEnd w:id="70"/>
      <w:bookmarkEnd w:id="71"/>
      <w:bookmarkEnd w:id="72"/>
      <w:bookmarkEnd w:id="73"/>
      <w:bookmarkEnd w:id="74"/>
      <w:bookmarkEnd w:id="75"/>
      <w:bookmarkEnd w:id="76"/>
      <w:bookmarkEnd w:id="77"/>
      <w:bookmarkStart w:id="79" w:name="_Toc12076"/>
      <w:bookmarkStart w:id="80" w:name="_Toc20321492"/>
      <w:bookmarkStart w:id="81" w:name="_Toc5228"/>
      <w:bookmarkStart w:id="82" w:name="_Toc17948"/>
      <w:bookmarkStart w:id="83" w:name="_Toc25041"/>
      <w:bookmarkStart w:id="84" w:name="_Toc8183"/>
      <w:bookmarkStart w:id="85" w:name="_Toc20318090"/>
      <w:bookmarkStart w:id="86" w:name="_Toc17224"/>
      <w:bookmarkStart w:id="87" w:name="_Toc21760"/>
      <w:bookmarkStart w:id="88" w:name="_Toc21534963"/>
      <w:bookmarkStart w:id="89" w:name="_Toc19889"/>
      <w:bookmarkStart w:id="90" w:name="_Toc30881"/>
      <w:r>
        <w:rPr>
          <w:rFonts w:hint="eastAsia"/>
          <w:lang w:val="en-US" w:eastAsia="zh-CN"/>
        </w:rPr>
        <w:t>堆场防尘</w:t>
      </w:r>
      <w:bookmarkEnd w:id="78"/>
    </w:p>
    <w:p w14:paraId="2BFF22A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散货堆场四周</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设置防风抑尘网。防风抑尘网的设计、制造和安装</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由具备相应资质的单位完成，以达到安全防护要求，并符合下列规定</w:t>
      </w:r>
      <w:r>
        <w:rPr>
          <w:rFonts w:hint="eastAsia" w:ascii="宋体" w:hAnsi="宋体" w:cs="宋体"/>
          <w:b w:val="0"/>
          <w:bCs w:val="0"/>
          <w:color w:val="auto"/>
          <w:sz w:val="21"/>
          <w:szCs w:val="21"/>
          <w:lang w:eastAsia="zh-CN"/>
        </w:rPr>
        <w:t>：</w:t>
      </w:r>
    </w:p>
    <w:p w14:paraId="5D575736">
      <w:pPr>
        <w:pStyle w:val="44"/>
        <w:tabs>
          <w:tab w:val="left" w:pos="851"/>
        </w:tabs>
        <w:rPr>
          <w:rFonts w:hint="eastAsia" w:hAnsi="Times New Roman" w:eastAsia="宋体" w:cs="Times New Roman"/>
        </w:rPr>
      </w:pPr>
      <w:r>
        <w:rPr>
          <w:rFonts w:hint="eastAsia" w:hAnsi="Times New Roman" w:eastAsia="宋体" w:cs="Times New Roman"/>
        </w:rPr>
        <w:t>散货堆场与码头前沿连在一起的港口，</w:t>
      </w:r>
      <w:r>
        <w:rPr>
          <w:rFonts w:hint="eastAsia" w:hAnsi="Times New Roman" w:eastAsia="宋体" w:cs="Times New Roman"/>
          <w:lang w:eastAsia="zh-CN"/>
        </w:rPr>
        <w:t>应</w:t>
      </w:r>
      <w:r>
        <w:rPr>
          <w:rFonts w:hint="eastAsia" w:hAnsi="Times New Roman" w:eastAsia="宋体" w:cs="Times New Roman"/>
        </w:rPr>
        <w:t>在码头装卸设备运行范围以外区域建设连续防风抑尘网。</w:t>
      </w:r>
    </w:p>
    <w:p w14:paraId="0326DD8F">
      <w:pPr>
        <w:pStyle w:val="44"/>
        <w:tabs>
          <w:tab w:val="left" w:pos="851"/>
        </w:tabs>
        <w:rPr>
          <w:rFonts w:hint="eastAsia" w:hAnsi="Times New Roman" w:eastAsia="宋体" w:cs="Times New Roman"/>
        </w:rPr>
      </w:pPr>
      <w:r>
        <w:rPr>
          <w:rFonts w:hint="eastAsia" w:hAnsi="Times New Roman" w:eastAsia="宋体" w:cs="Times New Roman"/>
        </w:rPr>
        <w:t>堆场位于大堤后方且前方不堆货的港口，</w:t>
      </w:r>
      <w:r>
        <w:rPr>
          <w:rFonts w:hint="eastAsia" w:hAnsi="Times New Roman" w:eastAsia="宋体" w:cs="Times New Roman"/>
          <w:lang w:eastAsia="zh-CN"/>
        </w:rPr>
        <w:t>应</w:t>
      </w:r>
      <w:r>
        <w:rPr>
          <w:rFonts w:hint="eastAsia" w:hAnsi="Times New Roman" w:eastAsia="宋体" w:cs="Times New Roman"/>
        </w:rPr>
        <w:t>在后方散货堆场四周建设防风抑尘网。</w:t>
      </w:r>
    </w:p>
    <w:p w14:paraId="584B946B">
      <w:pPr>
        <w:pStyle w:val="44"/>
        <w:tabs>
          <w:tab w:val="left" w:pos="851"/>
        </w:tabs>
        <w:rPr>
          <w:rFonts w:hint="eastAsia" w:hAnsi="Times New Roman" w:eastAsia="宋体" w:cs="Times New Roman"/>
          <w:lang w:eastAsia="zh-CN"/>
        </w:rPr>
      </w:pPr>
      <w:r>
        <w:rPr>
          <w:rFonts w:hint="eastAsia" w:hAnsi="Times New Roman" w:eastAsia="宋体" w:cs="Times New Roman"/>
        </w:rPr>
        <w:t>防风抑尘网高度应根据工艺方案、堆场规模、气象条件等因素综合确定，结合现有港区条件，分为以下三个级别</w:t>
      </w:r>
      <w:r>
        <w:rPr>
          <w:rFonts w:hint="eastAsia" w:hAnsi="Times New Roman" w:eastAsia="宋体" w:cs="Times New Roman"/>
          <w:lang w:eastAsia="zh-CN"/>
        </w:rPr>
        <w:t>：</w:t>
      </w:r>
    </w:p>
    <w:p w14:paraId="4ED82FF7">
      <w:pPr>
        <w:pStyle w:val="45"/>
        <w:rPr>
          <w:rFonts w:hint="eastAsia" w:hAnsi="Times New Roman" w:eastAsia="宋体" w:cs="Times New Roman"/>
        </w:rPr>
      </w:pPr>
      <w:r>
        <w:rPr>
          <w:rFonts w:hint="eastAsia" w:hAnsi="Times New Roman" w:eastAsia="宋体" w:cs="Times New Roman"/>
        </w:rPr>
        <w:t>采用堆取料机的散货堆场，堆垛高度不得大于12m，周边防风抑尘网高度不得小于15m；</w:t>
      </w:r>
    </w:p>
    <w:p w14:paraId="4B4DD943">
      <w:pPr>
        <w:pStyle w:val="45"/>
        <w:rPr>
          <w:rFonts w:hint="eastAsia" w:hAnsi="Times New Roman" w:eastAsia="宋体" w:cs="Times New Roman"/>
        </w:rPr>
      </w:pPr>
      <w:r>
        <w:rPr>
          <w:rFonts w:hint="eastAsia" w:hAnsi="Times New Roman" w:eastAsia="宋体" w:cs="Times New Roman"/>
        </w:rPr>
        <w:t>采用简易皮带机的散货堆场，堆垛高度不得大于6m，周边防风抑尘网高度不得小于9m；</w:t>
      </w:r>
    </w:p>
    <w:p w14:paraId="709C0590">
      <w:pPr>
        <w:pStyle w:val="45"/>
        <w:rPr>
          <w:rFonts w:hint="eastAsia" w:hAnsi="Times New Roman" w:eastAsia="宋体" w:cs="Times New Roman"/>
          <w:lang w:eastAsia="zh-CN"/>
        </w:rPr>
      </w:pPr>
      <w:r>
        <w:rPr>
          <w:rFonts w:hint="eastAsia" w:hAnsi="Times New Roman" w:eastAsia="宋体" w:cs="Times New Roman"/>
        </w:rPr>
        <w:t>采用推土机、装载机的散货堆场，堆垛高度不得大于3m，周边防风抑尘网高度不得小于5m。</w:t>
      </w:r>
    </w:p>
    <w:p w14:paraId="240A58DB">
      <w:pPr>
        <w:pStyle w:val="44"/>
        <w:tabs>
          <w:tab w:val="left" w:pos="851"/>
        </w:tabs>
        <w:rPr>
          <w:rFonts w:hint="eastAsia" w:hAnsi="Times New Roman" w:eastAsia="宋体" w:cs="Times New Roman"/>
        </w:rPr>
      </w:pPr>
      <w:r>
        <w:rPr>
          <w:rFonts w:hint="eastAsia" w:hAnsi="Times New Roman" w:eastAsia="宋体" w:cs="Times New Roman"/>
        </w:rPr>
        <w:t>防风抑尘网安装高度不</w:t>
      </w:r>
      <w:r>
        <w:rPr>
          <w:rFonts w:hint="eastAsia" w:hAnsi="Times New Roman" w:eastAsia="宋体" w:cs="Times New Roman"/>
          <w:lang w:eastAsia="zh-CN"/>
        </w:rPr>
        <w:t>足</w:t>
      </w:r>
      <w:r>
        <w:rPr>
          <w:rFonts w:hint="eastAsia" w:hAnsi="Times New Roman" w:eastAsia="宋体" w:cs="Times New Roman"/>
        </w:rPr>
        <w:t>的，</w:t>
      </w:r>
      <w:r>
        <w:rPr>
          <w:rFonts w:hint="eastAsia" w:hAnsi="Times New Roman" w:eastAsia="宋体" w:cs="Times New Roman"/>
          <w:lang w:eastAsia="zh-CN"/>
        </w:rPr>
        <w:t>应</w:t>
      </w:r>
      <w:r>
        <w:rPr>
          <w:rFonts w:hint="eastAsia" w:hAnsi="Times New Roman" w:eastAsia="宋体" w:cs="Times New Roman"/>
        </w:rPr>
        <w:t>增加</w:t>
      </w:r>
      <w:r>
        <w:rPr>
          <w:rFonts w:hint="eastAsia" w:hAnsi="Times New Roman" w:eastAsia="宋体" w:cs="Times New Roman"/>
          <w:lang w:eastAsia="zh-CN"/>
        </w:rPr>
        <w:t>至</w:t>
      </w:r>
      <w:r>
        <w:rPr>
          <w:rFonts w:hint="eastAsia" w:hAnsi="Times New Roman" w:eastAsia="宋体" w:cs="Times New Roman"/>
        </w:rPr>
        <w:t>本技术规范要求高度。</w:t>
      </w:r>
    </w:p>
    <w:p w14:paraId="75695E00">
      <w:pPr>
        <w:pStyle w:val="44"/>
        <w:tabs>
          <w:tab w:val="left" w:pos="851"/>
        </w:tabs>
        <w:rPr>
          <w:rFonts w:hint="eastAsia" w:hAnsi="Times New Roman" w:eastAsia="宋体" w:cs="Times New Roman"/>
          <w:lang w:eastAsia="zh-CN"/>
        </w:rPr>
      </w:pPr>
      <w:r>
        <w:rPr>
          <w:rFonts w:hint="eastAsia" w:hAnsi="Times New Roman" w:eastAsia="宋体" w:cs="Times New Roman"/>
        </w:rPr>
        <w:t>结合现有港区条件及管理实践，堆场长度大于200m时，</w:t>
      </w:r>
      <w:r>
        <w:rPr>
          <w:rFonts w:hint="eastAsia" w:hAnsi="Times New Roman" w:eastAsia="宋体" w:cs="Times New Roman"/>
          <w:lang w:eastAsia="zh-CN"/>
        </w:rPr>
        <w:t>应</w:t>
      </w:r>
      <w:r>
        <w:rPr>
          <w:rFonts w:hint="eastAsia" w:hAnsi="Times New Roman" w:eastAsia="宋体" w:cs="Times New Roman"/>
        </w:rPr>
        <w:t>分区域设置防风抑尘网，防风抑尘网间隔</w:t>
      </w:r>
      <w:r>
        <w:rPr>
          <w:rFonts w:hint="eastAsia" w:hAnsi="Times New Roman" w:eastAsia="宋体" w:cs="Times New Roman"/>
          <w:lang w:eastAsia="zh-CN"/>
        </w:rPr>
        <w:t>应</w:t>
      </w:r>
      <w:r>
        <w:rPr>
          <w:rFonts w:hint="eastAsia" w:hAnsi="Times New Roman" w:eastAsia="宋体" w:cs="Times New Roman"/>
        </w:rPr>
        <w:t>小于200m。</w:t>
      </w:r>
    </w:p>
    <w:p w14:paraId="51E7F39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煤炭、矿石、砂石料散货堆场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设置喷淋设施，并符合下列规定</w:t>
      </w:r>
      <w:r>
        <w:rPr>
          <w:rFonts w:hint="eastAsia" w:ascii="宋体" w:hAnsi="宋体" w:cs="宋体"/>
          <w:b w:val="0"/>
          <w:bCs w:val="0"/>
          <w:color w:val="auto"/>
          <w:sz w:val="21"/>
          <w:szCs w:val="21"/>
          <w:lang w:eastAsia="zh-CN"/>
        </w:rPr>
        <w:t>：</w:t>
      </w:r>
    </w:p>
    <w:p w14:paraId="477093DD">
      <w:pPr>
        <w:pStyle w:val="44"/>
        <w:tabs>
          <w:tab w:val="left" w:pos="851"/>
        </w:tabs>
        <w:rPr>
          <w:rFonts w:hint="eastAsia" w:hAnsi="Times New Roman" w:eastAsia="宋体" w:cs="Times New Roman"/>
        </w:rPr>
      </w:pPr>
      <w:r>
        <w:rPr>
          <w:rFonts w:hint="eastAsia" w:hAnsi="Times New Roman" w:eastAsia="宋体" w:cs="Times New Roman"/>
        </w:rPr>
        <w:t>喷枪喷洒范围</w:t>
      </w:r>
      <w:r>
        <w:rPr>
          <w:rFonts w:hint="eastAsia" w:hAnsi="Times New Roman" w:eastAsia="宋体" w:cs="Times New Roman"/>
          <w:lang w:eastAsia="zh-CN"/>
        </w:rPr>
        <w:t>应</w:t>
      </w:r>
      <w:r>
        <w:rPr>
          <w:rFonts w:hint="eastAsia" w:hAnsi="Times New Roman" w:eastAsia="宋体" w:cs="Times New Roman"/>
        </w:rPr>
        <w:t>覆盖堆场全部区域。</w:t>
      </w:r>
    </w:p>
    <w:p w14:paraId="5F921B9D">
      <w:pPr>
        <w:pStyle w:val="44"/>
        <w:tabs>
          <w:tab w:val="left" w:pos="851"/>
        </w:tabs>
        <w:rPr>
          <w:rFonts w:hint="eastAsia" w:hAnsi="Times New Roman" w:eastAsia="宋体" w:cs="Times New Roman"/>
        </w:rPr>
      </w:pPr>
      <w:r>
        <w:rPr>
          <w:rFonts w:hint="eastAsia" w:hAnsi="Times New Roman" w:eastAsia="宋体" w:cs="Times New Roman"/>
          <w:lang w:eastAsia="zh-CN"/>
        </w:rPr>
        <w:t>除雨、雪、冰冻天气外，</w:t>
      </w:r>
      <w:r>
        <w:rPr>
          <w:rFonts w:hint="eastAsia" w:hAnsi="Times New Roman" w:eastAsia="宋体" w:cs="Times New Roman"/>
        </w:rPr>
        <w:t>喷洒频率不</w:t>
      </w:r>
      <w:r>
        <w:rPr>
          <w:rFonts w:hint="eastAsia" w:hAnsi="Times New Roman" w:eastAsia="宋体" w:cs="Times New Roman"/>
          <w:lang w:eastAsia="zh-CN"/>
        </w:rPr>
        <w:t>低</w:t>
      </w:r>
      <w:r>
        <w:rPr>
          <w:rFonts w:hint="eastAsia" w:hAnsi="Times New Roman" w:eastAsia="宋体" w:cs="Times New Roman"/>
        </w:rPr>
        <w:t>于4 次</w:t>
      </w:r>
      <w:r>
        <w:rPr>
          <w:rFonts w:hint="eastAsia" w:hAnsi="Times New Roman" w:eastAsia="宋体" w:cs="Times New Roman"/>
          <w:lang w:val="en-US" w:eastAsia="zh-CN"/>
        </w:rPr>
        <w:t>/天</w:t>
      </w:r>
      <w:r>
        <w:rPr>
          <w:rFonts w:hint="eastAsia" w:hAnsi="Times New Roman" w:eastAsia="宋体" w:cs="Times New Roman"/>
        </w:rPr>
        <w:t>，喷洒强度为（2.0～3.0）L/m2·次，保持堆垛表面含水率在6%～8%。大风天气应加大喷洒频率，强化降尘措施。各港区</w:t>
      </w:r>
      <w:r>
        <w:rPr>
          <w:rFonts w:hint="eastAsia" w:hAnsi="Times New Roman" w:eastAsia="宋体" w:cs="Times New Roman"/>
          <w:lang w:eastAsia="zh-CN"/>
        </w:rPr>
        <w:t>应</w:t>
      </w:r>
      <w:r>
        <w:rPr>
          <w:rFonts w:hint="eastAsia" w:hAnsi="Times New Roman" w:eastAsia="宋体" w:cs="Times New Roman"/>
        </w:rPr>
        <w:t>配备表面含水率检测仪器，结合检测结果做好喷洒作业。</w:t>
      </w:r>
    </w:p>
    <w:p w14:paraId="08663D3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堆场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全部硬化，未全部硬化的，改造验收合格后方可运营。</w:t>
      </w:r>
    </w:p>
    <w:p w14:paraId="13018E6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道路高程宜高于堆场高程。</w:t>
      </w:r>
    </w:p>
    <w:p w14:paraId="3A245A7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.5</w:t>
      </w:r>
      <w:r>
        <w:rPr>
          <w:rFonts w:hint="eastAsia" w:ascii="宋体" w:hAnsi="宋体" w:eastAsia="宋体" w:cs="宋体"/>
          <w:b w:val="0"/>
          <w:bCs w:val="0"/>
          <w:color w:val="auto"/>
          <w:sz w:val="21"/>
          <w:szCs w:val="21"/>
        </w:rPr>
        <w:t xml:space="preserve"> 散货堆场道路周边</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设置满足生产污水收集要求的排水沟，堆场面积大于1.5万m</w:t>
      </w:r>
      <w:r>
        <w:rPr>
          <w:rFonts w:hint="eastAsia" w:ascii="宋体" w:hAnsi="宋体" w:eastAsia="宋体" w:cs="宋体"/>
          <w:b w:val="0"/>
          <w:bCs w:val="0"/>
          <w:color w:val="auto"/>
          <w:sz w:val="21"/>
          <w:szCs w:val="21"/>
          <w:vertAlign w:val="superscript"/>
        </w:rPr>
        <w:t>2</w:t>
      </w:r>
      <w:r>
        <w:rPr>
          <w:rFonts w:hint="eastAsia" w:ascii="宋体" w:hAnsi="宋体" w:eastAsia="宋体" w:cs="宋体"/>
          <w:b w:val="0"/>
          <w:bCs w:val="0"/>
          <w:color w:val="auto"/>
          <w:sz w:val="21"/>
          <w:szCs w:val="21"/>
        </w:rPr>
        <w:t>的应增设排水沟。</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lang w:val="en-US" w:eastAsia="zh-CN"/>
        </w:rPr>
        <w:t>小型码头改造示意图</w:t>
      </w:r>
      <w:r>
        <w:rPr>
          <w:rFonts w:hint="eastAsia" w:ascii="宋体" w:hAnsi="宋体" w:eastAsia="宋体" w:cs="宋体"/>
          <w:b w:val="0"/>
          <w:bCs w:val="0"/>
          <w:color w:val="auto"/>
          <w:sz w:val="21"/>
          <w:szCs w:val="21"/>
          <w:lang w:eastAsia="zh-CN"/>
        </w:rPr>
        <w:t>见附录</w:t>
      </w:r>
      <w:r>
        <w:rPr>
          <w:rFonts w:hint="eastAsia" w:ascii="宋体" w:hAnsi="宋体" w:eastAsia="宋体" w:cs="宋体"/>
          <w:b w:val="0"/>
          <w:bCs w:val="0"/>
          <w:color w:val="auto"/>
          <w:sz w:val="21"/>
          <w:szCs w:val="21"/>
          <w:lang w:val="en-US" w:eastAsia="zh-CN"/>
        </w:rPr>
        <w:t>F</w:t>
      </w:r>
      <w:r>
        <w:rPr>
          <w:rFonts w:hint="eastAsia" w:ascii="宋体" w:hAnsi="宋体" w:eastAsia="宋体" w:cs="宋体"/>
          <w:b w:val="0"/>
          <w:bCs w:val="0"/>
          <w:color w:val="auto"/>
          <w:sz w:val="21"/>
          <w:szCs w:val="21"/>
          <w:lang w:eastAsia="zh-CN"/>
        </w:rPr>
        <w:t>）</w:t>
      </w:r>
    </w:p>
    <w:p w14:paraId="40D63EC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.6</w:t>
      </w:r>
      <w:r>
        <w:rPr>
          <w:rFonts w:hint="eastAsia" w:ascii="宋体" w:hAnsi="宋体" w:eastAsia="宋体" w:cs="宋体"/>
          <w:b w:val="0"/>
          <w:bCs w:val="0"/>
          <w:color w:val="auto"/>
          <w:sz w:val="21"/>
          <w:szCs w:val="21"/>
        </w:rPr>
        <w:t xml:space="preserve"> 堆场和道路</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进行功能分区，堆场范围</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明确标识并设置隔离设施，堆场区域</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设置标志、标牌，道路必须设置标志、标线。货物</w:t>
      </w:r>
      <w:r>
        <w:rPr>
          <w:rFonts w:hint="eastAsia" w:ascii="宋体" w:hAnsi="宋体" w:eastAsia="宋体" w:cs="宋体"/>
          <w:b w:val="0"/>
          <w:bCs w:val="0"/>
          <w:color w:val="auto"/>
          <w:sz w:val="21"/>
          <w:szCs w:val="21"/>
          <w:lang w:eastAsia="zh-CN"/>
        </w:rPr>
        <w:t>不可</w:t>
      </w:r>
      <w:r>
        <w:rPr>
          <w:rFonts w:hint="eastAsia" w:ascii="宋体" w:hAnsi="宋体" w:eastAsia="宋体" w:cs="宋体"/>
          <w:b w:val="0"/>
          <w:bCs w:val="0"/>
          <w:color w:val="auto"/>
          <w:sz w:val="21"/>
          <w:szCs w:val="21"/>
        </w:rPr>
        <w:t>堆存于堆场外区域，</w:t>
      </w:r>
      <w:r>
        <w:rPr>
          <w:rFonts w:hint="eastAsia" w:ascii="宋体" w:hAnsi="宋体" w:eastAsia="宋体" w:cs="宋体"/>
          <w:b w:val="0"/>
          <w:bCs w:val="0"/>
          <w:color w:val="auto"/>
          <w:sz w:val="21"/>
          <w:szCs w:val="21"/>
          <w:lang w:eastAsia="zh-CN"/>
        </w:rPr>
        <w:t>不应</w:t>
      </w:r>
      <w:r>
        <w:rPr>
          <w:rFonts w:hint="eastAsia" w:ascii="宋体" w:hAnsi="宋体" w:eastAsia="宋体" w:cs="宋体"/>
          <w:b w:val="0"/>
          <w:bCs w:val="0"/>
          <w:color w:val="auto"/>
          <w:sz w:val="21"/>
          <w:szCs w:val="21"/>
        </w:rPr>
        <w:t>占压道路、排水系统等设施。</w:t>
      </w:r>
    </w:p>
    <w:p w14:paraId="5BBC5A68">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.7</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露天散货堆场内除正在装卸的作业面外，堆垛</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全部苫盖并用重物压实，堆垛形式宜采用梯形堆垛，以保证堆垛规范整齐、美观、易苫盖。苫盖网颜色</w:t>
      </w:r>
      <w:r>
        <w:rPr>
          <w:rFonts w:hint="eastAsia" w:ascii="宋体" w:hAnsi="宋体" w:eastAsia="宋体" w:cs="宋体"/>
          <w:b w:val="0"/>
          <w:bCs w:val="0"/>
          <w:color w:val="auto"/>
          <w:sz w:val="21"/>
          <w:szCs w:val="21"/>
          <w:lang w:val="en-US" w:eastAsia="zh-CN"/>
        </w:rPr>
        <w:t>宜</w:t>
      </w:r>
      <w:r>
        <w:rPr>
          <w:rFonts w:hint="eastAsia" w:ascii="宋体" w:hAnsi="宋体" w:eastAsia="宋体" w:cs="宋体"/>
          <w:b w:val="0"/>
          <w:bCs w:val="0"/>
          <w:color w:val="auto"/>
          <w:sz w:val="21"/>
          <w:szCs w:val="21"/>
        </w:rPr>
        <w:t>采用绿色，煤炭堆垛苫盖网不低于6针，砂石料堆垛苫盖网不低于3针。用于压实的重物摆放整齐，重量不应低于2.5千克。</w:t>
      </w:r>
    </w:p>
    <w:p w14:paraId="302EEE2F">
      <w:pPr>
        <w:pStyle w:val="13"/>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kern w:val="2"/>
          <w:sz w:val="21"/>
          <w:szCs w:val="21"/>
          <w:lang w:val="en-US" w:eastAsia="zh-CN" w:bidi="ar-SA"/>
        </w:rPr>
        <w:t xml:space="preserve">5.8 </w:t>
      </w:r>
      <w:r>
        <w:rPr>
          <w:rFonts w:hint="eastAsia" w:ascii="宋体" w:hAnsi="宋体" w:eastAsia="宋体" w:cs="宋体"/>
          <w:b w:val="0"/>
          <w:bCs w:val="0"/>
          <w:color w:val="auto"/>
          <w:sz w:val="21"/>
          <w:szCs w:val="21"/>
        </w:rPr>
        <w:t>露天散货堆垛应用抑尘剂时应规范使用，作业完成或中雨后应及时补喷，并做好标识标牌和台账记录。</w:t>
      </w:r>
    </w:p>
    <w:p w14:paraId="269A6CCC">
      <w:pPr>
        <w:pStyle w:val="13"/>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kern w:val="2"/>
          <w:sz w:val="21"/>
          <w:szCs w:val="21"/>
          <w:lang w:val="en-US" w:eastAsia="zh-CN" w:bidi="ar-SA"/>
        </w:rPr>
        <w:t xml:space="preserve">5.9 </w:t>
      </w:r>
      <w:r>
        <w:rPr>
          <w:rFonts w:hint="eastAsia" w:ascii="宋体" w:hAnsi="宋体" w:eastAsia="宋体" w:cs="宋体"/>
          <w:b w:val="0"/>
          <w:bCs w:val="0"/>
          <w:color w:val="auto"/>
          <w:sz w:val="21"/>
          <w:szCs w:val="21"/>
        </w:rPr>
        <w:t>堆场作业应设置标识牌，作业结束后2小时内完成苫盖、清扫除尘作业。</w:t>
      </w:r>
    </w:p>
    <w:p w14:paraId="7C41DA4B">
      <w:pPr>
        <w:pStyle w:val="13"/>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kern w:val="2"/>
          <w:sz w:val="21"/>
          <w:szCs w:val="21"/>
          <w:lang w:val="en-US" w:eastAsia="zh-CN" w:bidi="ar-SA"/>
        </w:rPr>
        <w:t xml:space="preserve">5.10 </w:t>
      </w:r>
      <w:r>
        <w:rPr>
          <w:rFonts w:hint="eastAsia" w:ascii="宋体" w:hAnsi="宋体" w:cs="宋体"/>
          <w:b w:val="0"/>
          <w:bCs w:val="0"/>
          <w:color w:val="auto"/>
          <w:sz w:val="21"/>
          <w:szCs w:val="21"/>
          <w:lang w:val="en-US" w:eastAsia="zh-CN"/>
        </w:rPr>
        <w:t>推广使用</w:t>
      </w:r>
      <w:r>
        <w:rPr>
          <w:rFonts w:hint="eastAsia" w:ascii="宋体" w:hAnsi="宋体" w:eastAsia="宋体" w:cs="宋体"/>
          <w:b w:val="0"/>
          <w:bCs w:val="0"/>
          <w:color w:val="auto"/>
          <w:sz w:val="21"/>
          <w:szCs w:val="21"/>
        </w:rPr>
        <w:t>条形仓、筒仓、圆形仓等封闭设施，设计、施工均</w:t>
      </w:r>
      <w:r>
        <w:rPr>
          <w:rFonts w:hint="eastAsia" w:ascii="宋体" w:hAnsi="宋体" w:cs="宋体"/>
          <w:b w:val="0"/>
          <w:bCs w:val="0"/>
          <w:color w:val="auto"/>
          <w:sz w:val="21"/>
          <w:szCs w:val="21"/>
          <w:lang w:eastAsia="zh-CN"/>
        </w:rPr>
        <w:t>应</w:t>
      </w:r>
      <w:r>
        <w:rPr>
          <w:rFonts w:hint="eastAsia" w:ascii="宋体" w:hAnsi="宋体" w:eastAsia="宋体" w:cs="宋体"/>
          <w:b w:val="0"/>
          <w:bCs w:val="0"/>
          <w:color w:val="auto"/>
          <w:sz w:val="21"/>
          <w:szCs w:val="21"/>
        </w:rPr>
        <w:t>由具备相应资质的单位完成，并通过验收。推广散货堆场封闭设施顶部安装光伏发电设备。</w:t>
      </w:r>
    </w:p>
    <w:p w14:paraId="67532ED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.11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堆场位于大堤临河侧，受防洪等要求限制不能建设封闭设施的港口，</w:t>
      </w:r>
      <w:r>
        <w:rPr>
          <w:rFonts w:hint="eastAsia" w:ascii="宋体" w:hAnsi="宋体" w:eastAsia="宋体" w:cs="宋体"/>
          <w:b w:val="0"/>
          <w:bCs w:val="0"/>
          <w:color w:val="auto"/>
          <w:sz w:val="21"/>
          <w:szCs w:val="21"/>
          <w:lang w:val="en-US" w:eastAsia="zh-CN"/>
        </w:rPr>
        <w:t>应</w:t>
      </w:r>
      <w:r>
        <w:rPr>
          <w:rFonts w:hint="eastAsia" w:ascii="宋体" w:hAnsi="宋体" w:eastAsia="宋体" w:cs="宋体"/>
          <w:b w:val="0"/>
          <w:bCs w:val="0"/>
          <w:color w:val="auto"/>
          <w:sz w:val="21"/>
          <w:szCs w:val="21"/>
        </w:rPr>
        <w:t>安装散货堆场粉尘监测和智能喷淋系统</w:t>
      </w:r>
      <w:r>
        <w:rPr>
          <w:rFonts w:hint="eastAsia" w:ascii="宋体" w:hAnsi="宋体" w:cs="宋体"/>
          <w:b w:val="0"/>
          <w:bCs w:val="0"/>
          <w:color w:val="auto"/>
          <w:sz w:val="21"/>
          <w:szCs w:val="21"/>
          <w:lang w:eastAsia="zh-CN"/>
        </w:rPr>
        <w:t>并符合</w:t>
      </w:r>
      <w:r>
        <w:rPr>
          <w:rFonts w:hint="eastAsia" w:ascii="宋体" w:hAnsi="宋体" w:cs="宋体"/>
          <w:b w:val="0"/>
          <w:bCs w:val="0"/>
          <w:color w:val="auto"/>
          <w:sz w:val="21"/>
          <w:szCs w:val="21"/>
          <w:lang w:val="en-US" w:eastAsia="zh-CN"/>
        </w:rPr>
        <w:t>JTS 156</w:t>
      </w:r>
      <w:r>
        <w:rPr>
          <w:rFonts w:hint="eastAsia" w:ascii="宋体" w:hAnsi="宋体" w:cs="宋体"/>
          <w:b w:val="0"/>
          <w:bCs w:val="0"/>
          <w:color w:val="auto"/>
          <w:sz w:val="21"/>
          <w:szCs w:val="21"/>
          <w:lang w:eastAsia="zh-CN"/>
        </w:rPr>
        <w:t>的要求</w:t>
      </w:r>
      <w:r>
        <w:rPr>
          <w:rFonts w:hint="eastAsia" w:ascii="宋体" w:hAnsi="宋体" w:eastAsia="宋体" w:cs="宋体"/>
          <w:b w:val="0"/>
          <w:bCs w:val="0"/>
          <w:color w:val="auto"/>
          <w:sz w:val="21"/>
          <w:szCs w:val="21"/>
        </w:rPr>
        <w:t>。</w:t>
      </w:r>
    </w:p>
    <w:p w14:paraId="41DB5FA0">
      <w:pPr>
        <w:pStyle w:val="2"/>
        <w:bidi w:val="0"/>
        <w:rPr>
          <w:rFonts w:hint="eastAsia"/>
          <w:lang w:val="en-US" w:eastAsia="zh-CN"/>
        </w:rPr>
      </w:pPr>
      <w:bookmarkStart w:id="91" w:name="_Toc75717777_WPSOffice_Level1"/>
      <w:r>
        <w:rPr>
          <w:rFonts w:hint="eastAsia"/>
          <w:lang w:val="en-US" w:eastAsia="zh-CN"/>
        </w:rPr>
        <w:t xml:space="preserve">6  </w:t>
      </w:r>
      <w:bookmarkEnd w:id="79"/>
      <w:bookmarkEnd w:id="80"/>
      <w:bookmarkEnd w:id="81"/>
      <w:bookmarkEnd w:id="82"/>
      <w:bookmarkEnd w:id="83"/>
      <w:bookmarkEnd w:id="84"/>
      <w:bookmarkEnd w:id="85"/>
      <w:bookmarkEnd w:id="86"/>
      <w:bookmarkEnd w:id="87"/>
      <w:bookmarkEnd w:id="88"/>
      <w:bookmarkEnd w:id="89"/>
      <w:bookmarkEnd w:id="90"/>
      <w:r>
        <w:rPr>
          <w:rFonts w:hint="eastAsia"/>
          <w:lang w:val="en-US" w:eastAsia="zh-CN"/>
        </w:rPr>
        <w:t>装卸工艺设备</w:t>
      </w:r>
      <w:bookmarkEnd w:id="91"/>
    </w:p>
    <w:p w14:paraId="3014299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料口和封闭</w:t>
      </w:r>
      <w:r>
        <w:rPr>
          <w:rFonts w:hint="eastAsia" w:ascii="宋体" w:hAnsi="宋体" w:eastAsia="宋体" w:cs="宋体"/>
          <w:b w:val="0"/>
          <w:bCs w:val="0"/>
          <w:color w:val="auto"/>
          <w:sz w:val="21"/>
          <w:szCs w:val="21"/>
          <w:lang w:val="en-US" w:eastAsia="zh-CN"/>
        </w:rPr>
        <w:t>设施应</w:t>
      </w:r>
      <w:r>
        <w:rPr>
          <w:rFonts w:hint="eastAsia" w:ascii="宋体" w:hAnsi="宋体" w:eastAsia="宋体" w:cs="宋体"/>
          <w:b w:val="0"/>
          <w:bCs w:val="0"/>
          <w:color w:val="auto"/>
          <w:sz w:val="21"/>
          <w:szCs w:val="21"/>
        </w:rPr>
        <w:t>安装监控设备和智能喷淋设施，并与</w:t>
      </w:r>
      <w:r>
        <w:rPr>
          <w:rFonts w:hint="eastAsia" w:ascii="宋体" w:hAnsi="宋体" w:eastAsia="宋体" w:cs="宋体"/>
          <w:b w:val="0"/>
          <w:bCs w:val="0"/>
          <w:color w:val="auto"/>
          <w:sz w:val="21"/>
          <w:szCs w:val="21"/>
          <w:lang w:eastAsia="zh-CN"/>
        </w:rPr>
        <w:t>行业主管部门</w:t>
      </w:r>
      <w:r>
        <w:rPr>
          <w:rFonts w:hint="eastAsia" w:ascii="宋体" w:hAnsi="宋体" w:eastAsia="宋体" w:cs="宋体"/>
          <w:b w:val="0"/>
          <w:bCs w:val="0"/>
          <w:color w:val="auto"/>
          <w:sz w:val="21"/>
          <w:szCs w:val="21"/>
        </w:rPr>
        <w:t>监控平台联网。</w:t>
      </w:r>
    </w:p>
    <w:p w14:paraId="32AE229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优先使用</w:t>
      </w:r>
      <w:r>
        <w:rPr>
          <w:rFonts w:hint="eastAsia" w:ascii="宋体" w:hAnsi="宋体" w:eastAsia="宋体" w:cs="宋体"/>
          <w:b w:val="0"/>
          <w:bCs w:val="0"/>
          <w:color w:val="auto"/>
          <w:sz w:val="21"/>
          <w:szCs w:val="21"/>
          <w:lang w:val="en-US" w:eastAsia="zh-CN"/>
        </w:rPr>
        <w:t>螺旋卸船机、</w:t>
      </w:r>
      <w:r>
        <w:rPr>
          <w:rFonts w:hint="eastAsia" w:ascii="宋体" w:hAnsi="宋体" w:eastAsia="宋体" w:cs="宋体"/>
          <w:b w:val="0"/>
          <w:bCs w:val="0"/>
          <w:color w:val="auto"/>
          <w:sz w:val="21"/>
          <w:szCs w:val="21"/>
        </w:rPr>
        <w:t>链斗卸船、翻车机卸车等工艺，逐步淘汰抓斗装船工艺。抓斗卸船时</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配备喷淋设施和防</w:t>
      </w:r>
      <w:r>
        <w:rPr>
          <w:rFonts w:hint="eastAsia" w:ascii="宋体" w:hAnsi="宋体" w:eastAsia="宋体" w:cs="宋体"/>
          <w:b w:val="0"/>
          <w:bCs w:val="0"/>
          <w:color w:val="auto"/>
          <w:sz w:val="21"/>
          <w:szCs w:val="21"/>
          <w:lang w:val="en-US" w:eastAsia="zh-CN"/>
        </w:rPr>
        <w:t>撒落</w:t>
      </w:r>
      <w:r>
        <w:rPr>
          <w:rFonts w:hint="eastAsia" w:ascii="宋体" w:hAnsi="宋体" w:eastAsia="宋体" w:cs="宋体"/>
          <w:b w:val="0"/>
          <w:bCs w:val="0"/>
          <w:color w:val="auto"/>
          <w:sz w:val="21"/>
          <w:szCs w:val="21"/>
        </w:rPr>
        <w:t>设施，港口</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配备移动式料仓。</w:t>
      </w:r>
    </w:p>
    <w:p w14:paraId="5AAC428E">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散货装卸车作业、堆场堆垛作业、皮带机落料口喂料作业、装卸船作业时，</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打开固定或移动的喷水（雾）装置或干式除尘装置，</w:t>
      </w:r>
      <w:r>
        <w:rPr>
          <w:rFonts w:hint="eastAsia" w:ascii="宋体" w:hAnsi="宋体" w:eastAsia="宋体" w:cs="宋体"/>
          <w:b w:val="0"/>
          <w:bCs w:val="0"/>
          <w:color w:val="auto"/>
          <w:sz w:val="21"/>
          <w:szCs w:val="21"/>
          <w:lang w:eastAsia="zh-CN"/>
        </w:rPr>
        <w:t>降尘措施</w:t>
      </w:r>
      <w:r>
        <w:rPr>
          <w:rFonts w:hint="eastAsia" w:ascii="宋体" w:hAnsi="宋体" w:eastAsia="宋体" w:cs="宋体"/>
          <w:b w:val="0"/>
          <w:bCs w:val="0"/>
          <w:color w:val="auto"/>
          <w:sz w:val="21"/>
          <w:szCs w:val="21"/>
        </w:rPr>
        <w:t>覆盖作业面。</w:t>
      </w:r>
    </w:p>
    <w:p w14:paraId="33F2F6E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使用螺旋卸车机卸车时应符合下列要求</w:t>
      </w:r>
      <w:r>
        <w:rPr>
          <w:rFonts w:hint="eastAsia" w:ascii="宋体" w:hAnsi="宋体" w:cs="宋体"/>
          <w:b w:val="0"/>
          <w:bCs w:val="0"/>
          <w:color w:val="auto"/>
          <w:sz w:val="21"/>
          <w:szCs w:val="21"/>
          <w:lang w:eastAsia="zh-CN"/>
        </w:rPr>
        <w:t>：</w:t>
      </w:r>
    </w:p>
    <w:p w14:paraId="70098CEE">
      <w:pPr>
        <w:pStyle w:val="44"/>
        <w:tabs>
          <w:tab w:val="left" w:pos="851"/>
        </w:tabs>
        <w:rPr>
          <w:rFonts w:hint="eastAsia" w:hAnsi="Times New Roman" w:eastAsia="宋体" w:cs="Times New Roman"/>
        </w:rPr>
      </w:pPr>
      <w:r>
        <w:rPr>
          <w:rFonts w:hint="eastAsia" w:hAnsi="Times New Roman" w:eastAsia="宋体" w:cs="Times New Roman"/>
        </w:rPr>
        <w:t>螺旋卸车机上应安装防护罩，防护罩内部及四周应设置洒水喷嘴，螺旋卸车线坑道应设置喷淋及冲洗系统；</w:t>
      </w:r>
    </w:p>
    <w:p w14:paraId="73AC6ABE">
      <w:pPr>
        <w:pStyle w:val="44"/>
        <w:tabs>
          <w:tab w:val="left" w:pos="851"/>
        </w:tabs>
        <w:rPr>
          <w:rFonts w:hint="eastAsia" w:hAnsi="Times New Roman" w:eastAsia="宋体" w:cs="Times New Roman"/>
        </w:rPr>
      </w:pPr>
      <w:r>
        <w:rPr>
          <w:rFonts w:hint="eastAsia" w:hAnsi="Times New Roman" w:eastAsia="宋体" w:cs="Times New Roman"/>
        </w:rPr>
        <w:t>卸车过程中应</w:t>
      </w:r>
      <w:r>
        <w:rPr>
          <w:rFonts w:hint="eastAsia" w:hAnsi="Times New Roman" w:eastAsia="宋体" w:cs="Times New Roman"/>
          <w:lang w:eastAsia="zh-CN"/>
        </w:rPr>
        <w:t>落实</w:t>
      </w:r>
      <w:r>
        <w:rPr>
          <w:rFonts w:hint="eastAsia" w:hAnsi="Times New Roman" w:eastAsia="宋体" w:cs="Times New Roman"/>
        </w:rPr>
        <w:t>抑尘</w:t>
      </w:r>
      <w:r>
        <w:rPr>
          <w:rFonts w:hint="eastAsia" w:hAnsi="Times New Roman" w:eastAsia="宋体" w:cs="Times New Roman"/>
          <w:lang w:eastAsia="zh-CN"/>
        </w:rPr>
        <w:t>措施</w:t>
      </w:r>
      <w:r>
        <w:rPr>
          <w:rFonts w:hint="eastAsia" w:hAnsi="Times New Roman" w:eastAsia="宋体" w:cs="Times New Roman"/>
        </w:rPr>
        <w:t>。</w:t>
      </w:r>
    </w:p>
    <w:p w14:paraId="1D111E6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.5</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使用堆取料机作业的，</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在取料机的头部、转运点和堆料机的下料处设置喷洒水抑尘装置。</w:t>
      </w:r>
    </w:p>
    <w:p w14:paraId="6DA7769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严禁汽车、装载机、推土机、挖掘机等流动机械直接进行散货装（卸）船作业。</w:t>
      </w:r>
    </w:p>
    <w:p w14:paraId="4FCA207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.7</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逐步淘汰简易皮带输送机装船作业，淘汰前</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符合下列要求</w:t>
      </w:r>
      <w:r>
        <w:rPr>
          <w:rFonts w:hint="eastAsia" w:ascii="宋体" w:hAnsi="宋体" w:cs="宋体"/>
          <w:b w:val="0"/>
          <w:bCs w:val="0"/>
          <w:color w:val="auto"/>
          <w:sz w:val="21"/>
          <w:szCs w:val="21"/>
          <w:lang w:eastAsia="zh-CN"/>
        </w:rPr>
        <w:t>：</w:t>
      </w:r>
    </w:p>
    <w:p w14:paraId="07F994D3">
      <w:pPr>
        <w:pStyle w:val="44"/>
        <w:tabs>
          <w:tab w:val="left" w:pos="851"/>
        </w:tabs>
        <w:rPr>
          <w:rFonts w:hint="eastAsia" w:hAnsi="Times New Roman" w:eastAsia="宋体" w:cs="Times New Roman"/>
          <w:lang w:eastAsia="zh-CN"/>
        </w:rPr>
      </w:pPr>
      <w:bookmarkStart w:id="92" w:name="_Toc410688118_WPSOffice_Level2"/>
      <w:bookmarkStart w:id="93" w:name="_Toc1297782087_WPSOffice_Level2"/>
      <w:bookmarkStart w:id="94" w:name="_Toc1417744026_WPSOffice_Level2"/>
      <w:r>
        <w:rPr>
          <w:rFonts w:hint="eastAsia" w:hAnsi="Times New Roman" w:eastAsia="宋体" w:cs="Times New Roman"/>
        </w:rPr>
        <w:t>皮带机</w:t>
      </w:r>
      <w:r>
        <w:rPr>
          <w:rFonts w:hint="eastAsia" w:hAnsi="Times New Roman" w:eastAsia="宋体" w:cs="Times New Roman"/>
          <w:lang w:eastAsia="zh-CN"/>
        </w:rPr>
        <w:t>应</w:t>
      </w:r>
      <w:r>
        <w:rPr>
          <w:rFonts w:hint="eastAsia" w:hAnsi="Times New Roman" w:eastAsia="宋体" w:cs="Times New Roman"/>
        </w:rPr>
        <w:t>全封闭</w:t>
      </w:r>
      <w:bookmarkEnd w:id="92"/>
      <w:bookmarkEnd w:id="93"/>
      <w:bookmarkEnd w:id="94"/>
      <w:r>
        <w:rPr>
          <w:rFonts w:hint="eastAsia" w:hAnsi="Times New Roman" w:eastAsia="宋体" w:cs="Times New Roman"/>
          <w:lang w:eastAsia="zh-CN"/>
        </w:rPr>
        <w:t>；</w:t>
      </w:r>
    </w:p>
    <w:p w14:paraId="624E1D63">
      <w:pPr>
        <w:pStyle w:val="44"/>
        <w:tabs>
          <w:tab w:val="left" w:pos="851"/>
        </w:tabs>
        <w:rPr>
          <w:rFonts w:hint="eastAsia" w:hAnsi="Times New Roman" w:eastAsia="宋体" w:cs="Times New Roman"/>
          <w:lang w:eastAsia="zh-CN"/>
        </w:rPr>
      </w:pPr>
      <w:bookmarkStart w:id="95" w:name="_Toc631364756_WPSOffice_Level2"/>
      <w:bookmarkStart w:id="96" w:name="_Toc1079074573_WPSOffice_Level2"/>
      <w:bookmarkStart w:id="97" w:name="_Toc612301017_WPSOffice_Level2"/>
      <w:r>
        <w:rPr>
          <w:rFonts w:hint="eastAsia" w:hAnsi="Times New Roman" w:eastAsia="宋体" w:cs="Times New Roman"/>
        </w:rPr>
        <w:t>落料口</w:t>
      </w:r>
      <w:r>
        <w:rPr>
          <w:rFonts w:hint="eastAsia" w:hAnsi="Times New Roman" w:eastAsia="宋体" w:cs="Times New Roman"/>
          <w:lang w:eastAsia="zh-CN"/>
        </w:rPr>
        <w:t>应</w:t>
      </w:r>
      <w:r>
        <w:rPr>
          <w:rFonts w:hint="eastAsia" w:hAnsi="Times New Roman" w:eastAsia="宋体" w:cs="Times New Roman"/>
        </w:rPr>
        <w:t>配置伸缩溜筒及防尘帘，</w:t>
      </w:r>
      <w:r>
        <w:rPr>
          <w:rFonts w:hint="eastAsia" w:hAnsi="Times New Roman" w:eastAsia="宋体" w:cs="Times New Roman"/>
          <w:lang w:eastAsia="zh-CN"/>
        </w:rPr>
        <w:t>宜</w:t>
      </w:r>
      <w:r>
        <w:rPr>
          <w:rFonts w:hint="eastAsia" w:hAnsi="Times New Roman" w:eastAsia="宋体" w:cs="Times New Roman"/>
        </w:rPr>
        <w:t>使用智能伸缩溜筒</w:t>
      </w:r>
      <w:bookmarkEnd w:id="95"/>
      <w:bookmarkEnd w:id="96"/>
      <w:bookmarkEnd w:id="97"/>
      <w:r>
        <w:rPr>
          <w:rFonts w:hint="eastAsia" w:hAnsi="Times New Roman" w:eastAsia="宋体" w:cs="Times New Roman"/>
          <w:lang w:eastAsia="zh-CN"/>
        </w:rPr>
        <w:t>；</w:t>
      </w:r>
    </w:p>
    <w:p w14:paraId="039D720A">
      <w:pPr>
        <w:pStyle w:val="44"/>
        <w:tabs>
          <w:tab w:val="left" w:pos="851"/>
        </w:tabs>
        <w:rPr>
          <w:rFonts w:hint="eastAsia" w:hAnsi="Times New Roman" w:eastAsia="宋体" w:cs="Times New Roman"/>
        </w:rPr>
      </w:pPr>
      <w:bookmarkStart w:id="98" w:name="_Toc186309272_WPSOffice_Level2"/>
      <w:bookmarkStart w:id="99" w:name="_Toc988481391_WPSOffice_Level2"/>
      <w:bookmarkStart w:id="100" w:name="_Toc1952317945_WPSOffice_Level2"/>
      <w:r>
        <w:rPr>
          <w:rFonts w:hint="eastAsia" w:hAnsi="Times New Roman" w:eastAsia="宋体" w:cs="Times New Roman"/>
        </w:rPr>
        <w:t>落料口</w:t>
      </w:r>
      <w:r>
        <w:rPr>
          <w:rFonts w:hint="eastAsia" w:hAnsi="Times New Roman" w:eastAsia="宋体" w:cs="Times New Roman"/>
          <w:lang w:eastAsia="zh-CN"/>
        </w:rPr>
        <w:t>应</w:t>
      </w:r>
      <w:r>
        <w:rPr>
          <w:rFonts w:hint="eastAsia" w:hAnsi="Times New Roman" w:eastAsia="宋体" w:cs="Times New Roman"/>
        </w:rPr>
        <w:t>设置智能喷淋装置，作业时开启使用。</w:t>
      </w:r>
      <w:bookmarkEnd w:id="98"/>
      <w:bookmarkEnd w:id="99"/>
      <w:bookmarkEnd w:id="100"/>
    </w:p>
    <w:p w14:paraId="3A86FF1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.8</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装船机装船作业</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采取下列防尘措施</w:t>
      </w:r>
      <w:r>
        <w:rPr>
          <w:rFonts w:hint="eastAsia" w:ascii="宋体" w:hAnsi="宋体" w:cs="宋体"/>
          <w:b w:val="0"/>
          <w:bCs w:val="0"/>
          <w:color w:val="auto"/>
          <w:sz w:val="21"/>
          <w:szCs w:val="21"/>
          <w:lang w:eastAsia="zh-CN"/>
        </w:rPr>
        <w:t>：</w:t>
      </w:r>
    </w:p>
    <w:p w14:paraId="1164D137">
      <w:pPr>
        <w:pStyle w:val="44"/>
        <w:tabs>
          <w:tab w:val="left" w:pos="851"/>
        </w:tabs>
        <w:rPr>
          <w:rFonts w:hint="eastAsia" w:hAnsi="Times New Roman" w:eastAsia="宋体" w:cs="Times New Roman"/>
        </w:rPr>
      </w:pPr>
      <w:bookmarkStart w:id="101" w:name="_Toc209190567_WPSOffice_Level2"/>
      <w:bookmarkStart w:id="102" w:name="_Toc867734808_WPSOffice_Level2"/>
      <w:bookmarkStart w:id="103" w:name="_Toc1177705684_WPSOffice_Level2"/>
      <w:r>
        <w:rPr>
          <w:rFonts w:hint="eastAsia" w:hAnsi="Times New Roman" w:eastAsia="宋体" w:cs="Times New Roman"/>
        </w:rPr>
        <w:t>装船机悬臂机构应能升降，落料口配有伸缩溜筒及防尘帘。</w:t>
      </w:r>
      <w:bookmarkEnd w:id="101"/>
      <w:bookmarkEnd w:id="102"/>
      <w:bookmarkEnd w:id="103"/>
    </w:p>
    <w:p w14:paraId="7B3885F3">
      <w:pPr>
        <w:pStyle w:val="44"/>
        <w:tabs>
          <w:tab w:val="left" w:pos="851"/>
        </w:tabs>
        <w:rPr>
          <w:rFonts w:hint="eastAsia" w:hAnsi="Times New Roman" w:eastAsia="宋体" w:cs="Times New Roman"/>
        </w:rPr>
      </w:pPr>
      <w:bookmarkStart w:id="104" w:name="_Toc413287579_WPSOffice_Level2"/>
      <w:bookmarkStart w:id="105" w:name="_Toc900723470_WPSOffice_Level2"/>
      <w:bookmarkStart w:id="106" w:name="_Toc3032598_WPSOffice_Level2"/>
      <w:r>
        <w:rPr>
          <w:rFonts w:hint="eastAsia" w:hAnsi="Times New Roman" w:eastAsia="宋体" w:cs="Times New Roman"/>
        </w:rPr>
        <w:t>落料口</w:t>
      </w:r>
      <w:r>
        <w:rPr>
          <w:rFonts w:hint="eastAsia" w:hAnsi="Times New Roman" w:eastAsia="宋体" w:cs="Times New Roman"/>
          <w:lang w:eastAsia="zh-CN"/>
        </w:rPr>
        <w:t>应</w:t>
      </w:r>
      <w:r>
        <w:rPr>
          <w:rFonts w:hint="eastAsia" w:hAnsi="Times New Roman" w:eastAsia="宋体" w:cs="Times New Roman"/>
        </w:rPr>
        <w:t>设置喷淋装置，作业时开启使用。</w:t>
      </w:r>
      <w:bookmarkEnd w:id="104"/>
      <w:bookmarkEnd w:id="105"/>
      <w:bookmarkEnd w:id="106"/>
    </w:p>
    <w:p w14:paraId="4FD23D7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.9</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装卸煤炭、砂石等货物时</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打开喷淋设施及移动喷雾装置。</w:t>
      </w:r>
    </w:p>
    <w:p w14:paraId="6499515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.10</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装卸散装粮食、散装化肥、干熄焦等不宜采用湿式除尘的货物时，应采用密闭输送工艺，起尘部位应设吸尘口，并在起尘点配置干式除尘装置。</w:t>
      </w:r>
    </w:p>
    <w:p w14:paraId="14BA141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6</w:t>
      </w:r>
      <w:r>
        <w:rPr>
          <w:rFonts w:hint="eastAsia" w:ascii="黑体" w:hAnsi="黑体" w:eastAsia="黑体" w:cs="黑体"/>
          <w:b w:val="0"/>
          <w:bCs w:val="0"/>
          <w:color w:val="auto"/>
          <w:sz w:val="21"/>
          <w:szCs w:val="21"/>
        </w:rPr>
        <w:t>.11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装船皮带机地坑内</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设置喷淋。</w:t>
      </w:r>
    </w:p>
    <w:p w14:paraId="140E54FE">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 xml:space="preserve">6.12 </w:t>
      </w:r>
      <w:r>
        <w:rPr>
          <w:rFonts w:hint="eastAsia" w:ascii="宋体" w:hAnsi="宋体" w:eastAsia="宋体" w:cs="宋体"/>
          <w:b w:val="0"/>
          <w:bCs w:val="0"/>
          <w:color w:val="auto"/>
          <w:sz w:val="21"/>
          <w:szCs w:val="21"/>
        </w:rPr>
        <w:t>港口固定吊机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设置接料板，</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采取液压控制装置。</w:t>
      </w:r>
    </w:p>
    <w:p w14:paraId="78DEC49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 xml:space="preserve">6.13 </w:t>
      </w:r>
      <w:r>
        <w:rPr>
          <w:rFonts w:hint="eastAsia" w:ascii="宋体" w:hAnsi="宋体" w:eastAsia="宋体" w:cs="宋体"/>
          <w:b w:val="0"/>
          <w:bCs w:val="0"/>
          <w:color w:val="auto"/>
          <w:sz w:val="21"/>
          <w:szCs w:val="21"/>
        </w:rPr>
        <w:t>港口皮带机、装船机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设置固定或移动接料装置。</w:t>
      </w:r>
    </w:p>
    <w:p w14:paraId="3A2CA14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 xml:space="preserve">6.14 </w:t>
      </w:r>
      <w:r>
        <w:rPr>
          <w:rFonts w:hint="eastAsia" w:ascii="宋体" w:hAnsi="宋体" w:eastAsia="宋体" w:cs="宋体"/>
          <w:b w:val="0"/>
          <w:bCs w:val="0"/>
          <w:color w:val="auto"/>
          <w:sz w:val="21"/>
          <w:szCs w:val="21"/>
        </w:rPr>
        <w:t>船舶甲板</w:t>
      </w:r>
      <w:r>
        <w:rPr>
          <w:rFonts w:hint="eastAsia" w:ascii="宋体" w:hAnsi="宋体" w:eastAsia="宋体" w:cs="宋体"/>
          <w:b w:val="0"/>
          <w:bCs w:val="0"/>
          <w:color w:val="auto"/>
          <w:sz w:val="21"/>
          <w:szCs w:val="21"/>
          <w:lang w:val="en-US" w:eastAsia="zh-CN"/>
        </w:rPr>
        <w:t>撒落</w:t>
      </w:r>
      <w:r>
        <w:rPr>
          <w:rFonts w:hint="eastAsia" w:ascii="宋体" w:hAnsi="宋体" w:eastAsia="宋体" w:cs="宋体"/>
          <w:b w:val="0"/>
          <w:bCs w:val="0"/>
          <w:color w:val="auto"/>
          <w:sz w:val="21"/>
          <w:szCs w:val="21"/>
        </w:rPr>
        <w:t>货物要及时清理收集，</w:t>
      </w:r>
      <w:r>
        <w:rPr>
          <w:rFonts w:hint="eastAsia" w:ascii="宋体" w:hAnsi="宋体" w:eastAsia="宋体" w:cs="宋体"/>
          <w:b w:val="0"/>
          <w:bCs w:val="0"/>
          <w:color w:val="auto"/>
          <w:sz w:val="21"/>
          <w:szCs w:val="21"/>
          <w:lang w:eastAsia="zh-CN"/>
        </w:rPr>
        <w:t>不可</w:t>
      </w:r>
      <w:r>
        <w:rPr>
          <w:rFonts w:hint="eastAsia" w:ascii="宋体" w:hAnsi="宋体" w:eastAsia="宋体" w:cs="宋体"/>
          <w:b w:val="0"/>
          <w:bCs w:val="0"/>
          <w:color w:val="auto"/>
          <w:sz w:val="21"/>
          <w:szCs w:val="21"/>
        </w:rPr>
        <w:t>直接冲刷排入河道。</w:t>
      </w:r>
    </w:p>
    <w:p w14:paraId="5318316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 xml:space="preserve">6.15 </w:t>
      </w:r>
      <w:r>
        <w:rPr>
          <w:rFonts w:hint="eastAsia" w:ascii="宋体" w:hAnsi="宋体" w:eastAsia="宋体" w:cs="宋体"/>
          <w:b w:val="0"/>
          <w:bCs w:val="0"/>
          <w:color w:val="auto"/>
          <w:sz w:val="21"/>
          <w:szCs w:val="21"/>
        </w:rPr>
        <w:t>固定吊机旋转齿轮外围</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设置油污接收设施，吊机齿轮油、黄油等</w:t>
      </w:r>
      <w:r>
        <w:rPr>
          <w:rFonts w:hint="eastAsia" w:ascii="宋体" w:hAnsi="宋体" w:eastAsia="宋体" w:cs="宋体"/>
          <w:b w:val="0"/>
          <w:bCs w:val="0"/>
          <w:color w:val="auto"/>
          <w:sz w:val="21"/>
          <w:szCs w:val="21"/>
          <w:lang w:eastAsia="zh-CN"/>
        </w:rPr>
        <w:t>不可</w:t>
      </w:r>
      <w:r>
        <w:rPr>
          <w:rFonts w:hint="eastAsia" w:ascii="宋体" w:hAnsi="宋体" w:eastAsia="宋体" w:cs="宋体"/>
          <w:b w:val="0"/>
          <w:bCs w:val="0"/>
          <w:color w:val="auto"/>
          <w:sz w:val="21"/>
          <w:szCs w:val="21"/>
        </w:rPr>
        <w:t>落入河道。</w:t>
      </w:r>
    </w:p>
    <w:p w14:paraId="2F2740D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 xml:space="preserve">6.16 </w:t>
      </w:r>
      <w:r>
        <w:rPr>
          <w:rFonts w:hint="eastAsia" w:ascii="宋体" w:hAnsi="宋体" w:eastAsia="宋体" w:cs="宋体"/>
          <w:b w:val="0"/>
          <w:bCs w:val="0"/>
          <w:color w:val="auto"/>
          <w:sz w:val="21"/>
          <w:szCs w:val="21"/>
        </w:rPr>
        <w:t>港口码头前沿区域应设置水质在线检测装置，并接入行业平台在线检测。</w:t>
      </w:r>
    </w:p>
    <w:p w14:paraId="0CDC7784">
      <w:pPr>
        <w:pStyle w:val="2"/>
        <w:bidi w:val="0"/>
        <w:rPr>
          <w:rFonts w:hint="eastAsia"/>
          <w:lang w:val="en-US" w:eastAsia="zh-CN"/>
        </w:rPr>
      </w:pPr>
      <w:bookmarkStart w:id="107" w:name="_Toc1476109916_WPSOffice_Level1"/>
      <w:bookmarkStart w:id="108" w:name="_Toc30311"/>
      <w:bookmarkStart w:id="109" w:name="_Toc28051"/>
      <w:bookmarkStart w:id="110" w:name="_Toc21534964"/>
      <w:bookmarkStart w:id="111" w:name="_Toc28464"/>
      <w:bookmarkStart w:id="112" w:name="_Toc28791"/>
      <w:bookmarkStart w:id="113" w:name="_Toc29989"/>
      <w:bookmarkStart w:id="114" w:name="_Toc20321493"/>
      <w:bookmarkStart w:id="115" w:name="_Toc26056"/>
      <w:bookmarkStart w:id="116" w:name="_Toc23685"/>
      <w:bookmarkStart w:id="117" w:name="_Toc20318091"/>
      <w:bookmarkStart w:id="118" w:name="_Toc15420"/>
      <w:bookmarkStart w:id="119" w:name="_Toc18707"/>
      <w:r>
        <w:rPr>
          <w:rFonts w:hint="eastAsia"/>
          <w:lang w:val="en-US" w:eastAsia="zh-CN"/>
        </w:rPr>
        <w:t>7  进出港车辆防尘</w:t>
      </w:r>
      <w:bookmarkEnd w:id="107"/>
    </w:p>
    <w:p w14:paraId="6D84BEF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7</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进出港的重载散货运输车辆</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百分百覆盖严实。</w:t>
      </w:r>
    </w:p>
    <w:p w14:paraId="4EA7F98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val="en-US" w:eastAsia="zh-CN"/>
        </w:rPr>
        <w:t>7</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散货港区必须设置洗车装置对出港车辆进行清洗，洗车装置应不低于下列要求</w:t>
      </w:r>
      <w:r>
        <w:rPr>
          <w:rFonts w:hint="eastAsia" w:ascii="宋体" w:hAnsi="宋体" w:cs="宋体"/>
          <w:b w:val="0"/>
          <w:bCs w:val="0"/>
          <w:color w:val="auto"/>
          <w:sz w:val="21"/>
          <w:szCs w:val="21"/>
          <w:lang w:eastAsia="zh-CN"/>
        </w:rPr>
        <w:t>：</w:t>
      </w:r>
    </w:p>
    <w:p w14:paraId="2A086296">
      <w:pPr>
        <w:pStyle w:val="44"/>
        <w:tabs>
          <w:tab w:val="left" w:pos="851"/>
        </w:tabs>
        <w:rPr>
          <w:rFonts w:hint="eastAsia" w:hAnsi="Times New Roman" w:eastAsia="宋体" w:cs="Times New Roman"/>
          <w:lang w:eastAsia="zh-CN"/>
        </w:rPr>
      </w:pPr>
      <w:r>
        <w:rPr>
          <w:rFonts w:hint="eastAsia" w:hAnsi="Times New Roman" w:eastAsia="宋体" w:cs="Times New Roman"/>
        </w:rPr>
        <w:t>洗车台总长度应不低于10m，车辆长度大于洗车台长度时应分2次清洗，洗车台四面喷水洗车，喷水压力应不低于0.5MPa。车辆单次清洗时间应不低于1分钟，清洗后车厢内不应留存污水</w:t>
      </w:r>
      <w:r>
        <w:rPr>
          <w:rFonts w:hint="eastAsia" w:hAnsi="Times New Roman" w:eastAsia="宋体" w:cs="Times New Roman"/>
          <w:lang w:eastAsia="zh-CN"/>
        </w:rPr>
        <w:t>；</w:t>
      </w:r>
    </w:p>
    <w:p w14:paraId="410BB311">
      <w:pPr>
        <w:pStyle w:val="44"/>
        <w:tabs>
          <w:tab w:val="left" w:pos="851"/>
        </w:tabs>
        <w:rPr>
          <w:rFonts w:hint="eastAsia" w:hAnsi="Times New Roman" w:eastAsia="宋体" w:cs="Times New Roman"/>
          <w:lang w:eastAsia="zh-CN"/>
        </w:rPr>
      </w:pPr>
      <w:r>
        <w:rPr>
          <w:rFonts w:hint="eastAsia" w:hAnsi="Times New Roman" w:eastAsia="宋体" w:cs="Times New Roman"/>
        </w:rPr>
        <w:t>洗车装置处</w:t>
      </w:r>
      <w:r>
        <w:rPr>
          <w:rFonts w:hint="eastAsia" w:hAnsi="Times New Roman" w:eastAsia="宋体" w:cs="Times New Roman"/>
          <w:lang w:eastAsia="zh-CN"/>
        </w:rPr>
        <w:t>应</w:t>
      </w:r>
      <w:r>
        <w:rPr>
          <w:rFonts w:hint="eastAsia" w:hAnsi="Times New Roman" w:eastAsia="宋体" w:cs="Times New Roman"/>
        </w:rPr>
        <w:t>设置沉淀池，洗车污水经预处理后汇入生产污水处理站处理达标后回用。沉淀池应设置泥位监测装置，并与</w:t>
      </w:r>
      <w:r>
        <w:rPr>
          <w:rFonts w:hint="eastAsia" w:hAnsi="Times New Roman" w:eastAsia="宋体" w:cs="Times New Roman"/>
          <w:lang w:val="en-US" w:eastAsia="zh-CN"/>
        </w:rPr>
        <w:t>行业主管部门</w:t>
      </w:r>
      <w:r>
        <w:rPr>
          <w:rFonts w:hint="eastAsia" w:hAnsi="Times New Roman" w:eastAsia="宋体" w:cs="Times New Roman"/>
        </w:rPr>
        <w:t>监控平台联网</w:t>
      </w:r>
      <w:r>
        <w:rPr>
          <w:rFonts w:hint="eastAsia" w:hAnsi="Times New Roman" w:eastAsia="宋体" w:cs="Times New Roman"/>
          <w:lang w:eastAsia="zh-CN"/>
        </w:rPr>
        <w:t>；</w:t>
      </w:r>
    </w:p>
    <w:p w14:paraId="2BB42A0B">
      <w:pPr>
        <w:pStyle w:val="44"/>
        <w:tabs>
          <w:tab w:val="left" w:pos="851"/>
        </w:tabs>
        <w:rPr>
          <w:rFonts w:hint="eastAsia" w:hAnsi="Times New Roman" w:eastAsia="宋体" w:cs="Times New Roman"/>
          <w:lang w:eastAsia="zh-CN"/>
        </w:rPr>
      </w:pPr>
      <w:r>
        <w:rPr>
          <w:rFonts w:hint="eastAsia" w:hAnsi="Times New Roman" w:eastAsia="宋体" w:cs="Times New Roman"/>
        </w:rPr>
        <w:t>进出港车辆较多的港口，宜设置多处洗车装置，避免造成车辆积压</w:t>
      </w:r>
      <w:r>
        <w:rPr>
          <w:rFonts w:hint="eastAsia" w:hAnsi="Times New Roman" w:eastAsia="宋体" w:cs="Times New Roman"/>
          <w:lang w:eastAsia="zh-CN"/>
        </w:rPr>
        <w:t>；</w:t>
      </w:r>
    </w:p>
    <w:p w14:paraId="71DAF92E">
      <w:pPr>
        <w:pStyle w:val="44"/>
        <w:tabs>
          <w:tab w:val="left" w:pos="851"/>
        </w:tabs>
        <w:rPr>
          <w:rFonts w:hint="eastAsia" w:hAnsi="Times New Roman" w:eastAsia="宋体" w:cs="Times New Roman"/>
        </w:rPr>
      </w:pPr>
      <w:r>
        <w:rPr>
          <w:rFonts w:hint="eastAsia" w:hAnsi="Times New Roman" w:eastAsia="宋体" w:cs="Times New Roman"/>
        </w:rPr>
        <w:t>港口</w:t>
      </w:r>
      <w:r>
        <w:rPr>
          <w:rFonts w:hint="eastAsia" w:hAnsi="Times New Roman" w:eastAsia="宋体" w:cs="Times New Roman"/>
          <w:lang w:eastAsia="zh-CN"/>
        </w:rPr>
        <w:t>宜</w:t>
      </w:r>
      <w:r>
        <w:rPr>
          <w:rFonts w:hint="eastAsia" w:hAnsi="Times New Roman" w:eastAsia="宋体" w:cs="Times New Roman"/>
          <w:lang w:val="en-US" w:eastAsia="zh-CN"/>
        </w:rPr>
        <w:t>改造或新建</w:t>
      </w:r>
      <w:r>
        <w:rPr>
          <w:rFonts w:hint="eastAsia" w:hAnsi="Times New Roman" w:eastAsia="宋体" w:cs="Times New Roman"/>
        </w:rPr>
        <w:t>智能化洗车装置。</w:t>
      </w:r>
    </w:p>
    <w:p w14:paraId="0FEF95E2">
      <w:pPr>
        <w:pStyle w:val="2"/>
        <w:bidi w:val="0"/>
        <w:rPr>
          <w:rFonts w:hint="eastAsia"/>
          <w:lang w:val="en-US" w:eastAsia="zh-CN"/>
        </w:rPr>
      </w:pPr>
      <w:bookmarkStart w:id="120" w:name="_Toc2096233745_WPSOffice_Level1"/>
      <w:r>
        <w:rPr>
          <w:rFonts w:hint="eastAsia"/>
          <w:lang w:val="en-US" w:eastAsia="zh-CN"/>
        </w:rPr>
        <w:t>8  移动源大气污染防治</w:t>
      </w:r>
      <w:bookmarkEnd w:id="120"/>
    </w:p>
    <w:p w14:paraId="3381A02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lang w:val="en-US" w:eastAsia="zh-CN"/>
        </w:rPr>
        <w:t>不得</w:t>
      </w:r>
      <w:r>
        <w:rPr>
          <w:rStyle w:val="38"/>
          <w:rFonts w:hint="eastAsia" w:ascii="宋体" w:hAnsi="宋体" w:eastAsia="宋体" w:cs="宋体"/>
          <w:b w:val="0"/>
          <w:bCs w:val="0"/>
          <w:smallCaps w:val="0"/>
          <w:color w:val="auto"/>
          <w:sz w:val="21"/>
          <w:szCs w:val="21"/>
          <w:u w:val="none"/>
        </w:rPr>
        <w:t>使用</w:t>
      </w:r>
      <w:r>
        <w:rPr>
          <w:rStyle w:val="38"/>
          <w:rFonts w:hint="eastAsia" w:ascii="宋体" w:hAnsi="宋体" w:eastAsia="宋体" w:cs="宋体"/>
          <w:b w:val="0"/>
          <w:bCs w:val="0"/>
          <w:smallCaps w:val="0"/>
          <w:color w:val="auto"/>
          <w:sz w:val="21"/>
          <w:szCs w:val="21"/>
          <w:u w:val="none"/>
          <w:lang w:eastAsia="zh-CN"/>
        </w:rPr>
        <w:t>检测不合格</w:t>
      </w:r>
      <w:r>
        <w:rPr>
          <w:rStyle w:val="38"/>
          <w:rFonts w:hint="eastAsia" w:ascii="宋体" w:hAnsi="宋体" w:eastAsia="宋体" w:cs="宋体"/>
          <w:b w:val="0"/>
          <w:bCs w:val="0"/>
          <w:smallCaps w:val="0"/>
          <w:color w:val="auto"/>
          <w:sz w:val="21"/>
          <w:szCs w:val="21"/>
          <w:u w:val="none"/>
        </w:rPr>
        <w:t>的港作机械，</w:t>
      </w:r>
      <w:r>
        <w:rPr>
          <w:rStyle w:val="38"/>
          <w:rFonts w:hint="eastAsia" w:ascii="宋体" w:hAnsi="宋体" w:eastAsia="宋体" w:cs="宋体"/>
          <w:b w:val="0"/>
          <w:bCs w:val="0"/>
          <w:smallCaps w:val="0"/>
          <w:color w:val="auto"/>
          <w:sz w:val="21"/>
          <w:szCs w:val="21"/>
          <w:u w:val="none"/>
          <w:lang w:eastAsia="zh-CN"/>
        </w:rPr>
        <w:t>不</w:t>
      </w:r>
      <w:r>
        <w:rPr>
          <w:rStyle w:val="38"/>
          <w:rFonts w:hint="eastAsia" w:ascii="宋体" w:hAnsi="宋体" w:eastAsia="宋体" w:cs="宋体"/>
          <w:b w:val="0"/>
          <w:bCs w:val="0"/>
          <w:smallCaps w:val="0"/>
          <w:color w:val="auto"/>
          <w:sz w:val="21"/>
          <w:szCs w:val="21"/>
          <w:u w:val="none"/>
          <w:lang w:val="en-US" w:eastAsia="zh-CN"/>
        </w:rPr>
        <w:t>得</w:t>
      </w:r>
      <w:r>
        <w:rPr>
          <w:rStyle w:val="38"/>
          <w:rFonts w:hint="eastAsia" w:ascii="宋体" w:hAnsi="宋体" w:eastAsia="宋体" w:cs="宋体"/>
          <w:b w:val="0"/>
          <w:bCs w:val="0"/>
          <w:smallCaps w:val="0"/>
          <w:color w:val="auto"/>
          <w:sz w:val="21"/>
          <w:szCs w:val="21"/>
          <w:u w:val="none"/>
        </w:rPr>
        <w:t>使用环二</w:t>
      </w:r>
      <w:r>
        <w:rPr>
          <w:rStyle w:val="38"/>
          <w:rFonts w:hint="eastAsia" w:ascii="宋体" w:hAnsi="宋体" w:eastAsia="宋体" w:cs="宋体"/>
          <w:b w:val="0"/>
          <w:bCs w:val="0"/>
          <w:smallCaps w:val="0"/>
          <w:color w:val="auto"/>
          <w:sz w:val="21"/>
          <w:szCs w:val="21"/>
          <w:u w:val="none"/>
          <w:lang w:val="en-US" w:eastAsia="zh-CN"/>
        </w:rPr>
        <w:t>排放标准</w:t>
      </w:r>
      <w:r>
        <w:rPr>
          <w:rStyle w:val="38"/>
          <w:rFonts w:hint="eastAsia" w:ascii="宋体" w:hAnsi="宋体" w:eastAsia="宋体" w:cs="宋体"/>
          <w:b w:val="0"/>
          <w:bCs w:val="0"/>
          <w:smallCaps w:val="0"/>
          <w:color w:val="auto"/>
          <w:sz w:val="21"/>
          <w:szCs w:val="21"/>
          <w:u w:val="none"/>
        </w:rPr>
        <w:t>及以下港作机械，生产辅助类机械应加装颗粒捕集器。</w:t>
      </w:r>
    </w:p>
    <w:p w14:paraId="119BFC4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rPr>
        <w:t>新增和更换的港作机械优先采用新能源或清洁能源，并</w:t>
      </w:r>
      <w:r>
        <w:rPr>
          <w:rStyle w:val="38"/>
          <w:rFonts w:hint="eastAsia" w:ascii="宋体" w:hAnsi="宋体" w:eastAsia="宋体" w:cs="宋体"/>
          <w:b w:val="0"/>
          <w:bCs w:val="0"/>
          <w:smallCaps w:val="0"/>
          <w:color w:val="auto"/>
          <w:sz w:val="21"/>
          <w:szCs w:val="21"/>
          <w:u w:val="none"/>
          <w:lang w:val="en-US" w:eastAsia="zh-CN"/>
        </w:rPr>
        <w:t>取得</w:t>
      </w:r>
      <w:r>
        <w:rPr>
          <w:rStyle w:val="38"/>
          <w:rFonts w:hint="eastAsia" w:ascii="宋体" w:hAnsi="宋体" w:eastAsia="宋体" w:cs="宋体"/>
          <w:b w:val="0"/>
          <w:bCs w:val="0"/>
          <w:smallCaps w:val="0"/>
          <w:color w:val="auto"/>
          <w:sz w:val="21"/>
          <w:szCs w:val="21"/>
          <w:u w:val="none"/>
        </w:rPr>
        <w:t>喷码登记。</w:t>
      </w:r>
    </w:p>
    <w:p w14:paraId="0DEAD9E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Style w:val="38"/>
          <w:rFonts w:hint="eastAsia" w:ascii="宋体" w:hAnsi="宋体" w:eastAsia="宋体" w:cs="宋体"/>
          <w:b w:val="0"/>
          <w:bCs w:val="0"/>
          <w:smallCaps w:val="0"/>
          <w:color w:val="auto"/>
          <w:sz w:val="21"/>
          <w:szCs w:val="21"/>
          <w:u w:val="none"/>
          <w:lang w:eastAsia="zh-CN"/>
        </w:rPr>
        <w:t>不</w:t>
      </w:r>
      <w:r>
        <w:rPr>
          <w:rStyle w:val="38"/>
          <w:rFonts w:hint="eastAsia" w:ascii="宋体" w:hAnsi="宋体" w:eastAsia="宋体" w:cs="宋体"/>
          <w:b w:val="0"/>
          <w:bCs w:val="0"/>
          <w:smallCaps w:val="0"/>
          <w:color w:val="auto"/>
          <w:sz w:val="21"/>
          <w:szCs w:val="21"/>
          <w:u w:val="none"/>
          <w:lang w:val="en-US" w:eastAsia="zh-CN"/>
        </w:rPr>
        <w:t>得</w:t>
      </w:r>
      <w:r>
        <w:rPr>
          <w:rStyle w:val="38"/>
          <w:rFonts w:hint="eastAsia" w:ascii="宋体" w:hAnsi="宋体" w:eastAsia="宋体" w:cs="宋体"/>
          <w:b w:val="0"/>
          <w:bCs w:val="0"/>
          <w:smallCaps w:val="0"/>
          <w:color w:val="auto"/>
          <w:sz w:val="21"/>
          <w:szCs w:val="21"/>
          <w:u w:val="none"/>
        </w:rPr>
        <w:t>使用国三及以下洒水车、内倒车等场内作业车辆。</w:t>
      </w:r>
    </w:p>
    <w:p w14:paraId="35054B2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Style w:val="38"/>
          <w:rFonts w:hint="eastAsia" w:ascii="宋体" w:hAnsi="宋体" w:eastAsia="宋体" w:cs="宋体"/>
          <w:b w:val="0"/>
          <w:bCs w:val="0"/>
          <w:smallCaps w:val="0"/>
          <w:color w:val="auto"/>
          <w:sz w:val="21"/>
          <w:szCs w:val="21"/>
          <w:u w:val="none"/>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.4</w:t>
      </w:r>
      <w:r>
        <w:rPr>
          <w:rStyle w:val="38"/>
          <w:rFonts w:hint="eastAsia" w:ascii="宋体" w:hAnsi="宋体" w:eastAsia="宋体" w:cs="宋体"/>
          <w:b w:val="0"/>
          <w:bCs w:val="0"/>
          <w:smallCaps w:val="0"/>
          <w:color w:val="auto"/>
          <w:sz w:val="21"/>
          <w:szCs w:val="21"/>
          <w:u w:val="none"/>
        </w:rPr>
        <w:t xml:space="preserve"> 加快柴油车辆迭代升级。建立港口码头非道路移动机械动态更新报备制度，非道路移动机械需加装车载排放诊断终端监控设备，接入监控平台24小时在线监管。企业新增或更换自备柴油货车、清扫车、洒水车</w:t>
      </w:r>
      <w:r>
        <w:rPr>
          <w:rStyle w:val="38"/>
          <w:rFonts w:hint="eastAsia" w:ascii="宋体" w:hAnsi="宋体" w:eastAsia="宋体" w:cs="宋体"/>
          <w:b w:val="0"/>
          <w:bCs w:val="0"/>
          <w:smallCaps w:val="0"/>
          <w:color w:val="auto"/>
          <w:sz w:val="21"/>
          <w:szCs w:val="21"/>
          <w:u w:val="none"/>
          <w:lang w:val="en-US" w:eastAsia="zh-CN"/>
        </w:rPr>
        <w:t>需</w:t>
      </w:r>
      <w:r>
        <w:rPr>
          <w:rStyle w:val="38"/>
          <w:rFonts w:hint="eastAsia" w:ascii="宋体" w:hAnsi="宋体" w:eastAsia="宋体" w:cs="宋体"/>
          <w:b w:val="0"/>
          <w:bCs w:val="0"/>
          <w:smallCaps w:val="0"/>
          <w:color w:val="auto"/>
          <w:sz w:val="21"/>
          <w:szCs w:val="21"/>
          <w:u w:val="none"/>
        </w:rPr>
        <w:t>提前向所在地行业主管部门申报备案，优先选用新能源车辆，燃油车辆污染物排放需达到国六标准。</w:t>
      </w:r>
    </w:p>
    <w:p w14:paraId="4C55380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.5</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w:t>
      </w:r>
      <w:r>
        <w:rPr>
          <w:rFonts w:hint="eastAsia" w:ascii="宋体" w:hAnsi="宋体" w:eastAsia="宋体" w:cs="宋体"/>
          <w:b w:val="0"/>
          <w:bCs w:val="0"/>
          <w:color w:val="auto"/>
          <w:sz w:val="21"/>
          <w:szCs w:val="21"/>
          <w:lang w:val="en-US" w:eastAsia="zh-CN"/>
        </w:rPr>
        <w:t>码头</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使用符合国家标准的燃油</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lang w:val="en-US" w:eastAsia="zh-CN"/>
        </w:rPr>
        <w:t>建立燃油使用登记台账</w:t>
      </w:r>
      <w:r>
        <w:rPr>
          <w:rFonts w:hint="eastAsia" w:ascii="宋体" w:hAnsi="宋体" w:eastAsia="宋体" w:cs="宋体"/>
          <w:b w:val="0"/>
          <w:bCs w:val="0"/>
          <w:color w:val="auto"/>
          <w:sz w:val="21"/>
          <w:szCs w:val="21"/>
        </w:rPr>
        <w:t>。</w:t>
      </w:r>
    </w:p>
    <w:p w14:paraId="20AEB15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8</w:t>
      </w:r>
      <w:r>
        <w:rPr>
          <w:rFonts w:hint="eastAsia" w:ascii="黑体" w:hAnsi="黑体" w:eastAsia="黑体" w:cs="黑体"/>
          <w:b w:val="0"/>
          <w:bCs w:val="0"/>
          <w:color w:val="auto"/>
          <w:sz w:val="21"/>
          <w:szCs w:val="21"/>
        </w:rPr>
        <w:t>.6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w:t>
      </w:r>
      <w:r>
        <w:rPr>
          <w:rFonts w:hint="eastAsia" w:ascii="宋体" w:hAnsi="宋体" w:eastAsia="宋体" w:cs="宋体"/>
          <w:b w:val="0"/>
          <w:bCs w:val="0"/>
          <w:color w:val="auto"/>
          <w:sz w:val="21"/>
          <w:szCs w:val="21"/>
          <w:lang w:val="en-US" w:eastAsia="zh-CN"/>
        </w:rPr>
        <w:t>码头</w:t>
      </w:r>
      <w:r>
        <w:rPr>
          <w:rFonts w:hint="eastAsia" w:ascii="宋体" w:hAnsi="宋体" w:eastAsia="宋体" w:cs="宋体"/>
          <w:b w:val="0"/>
          <w:bCs w:val="0"/>
          <w:color w:val="auto"/>
          <w:sz w:val="21"/>
          <w:szCs w:val="21"/>
        </w:rPr>
        <w:t>应按照要求建设岸电设施，靠港船舶在具备岸电供应能力的泊位靠泊超过2个小时，且未使用有效替代措施的，应当使用岸电。</w:t>
      </w:r>
    </w:p>
    <w:p w14:paraId="780EDF4A">
      <w:pPr>
        <w:pStyle w:val="2"/>
        <w:bidi w:val="0"/>
        <w:rPr>
          <w:rFonts w:hint="eastAsia"/>
          <w:lang w:val="en-US" w:eastAsia="zh-CN"/>
        </w:rPr>
      </w:pPr>
      <w:bookmarkStart w:id="121" w:name="_Toc1862589009_WPSOffice_Level1"/>
      <w:r>
        <w:rPr>
          <w:rFonts w:hint="eastAsia"/>
          <w:lang w:val="en-US" w:eastAsia="zh-CN"/>
        </w:rPr>
        <w:t>9  疏港道路及港区道路防尘</w:t>
      </w:r>
      <w:bookmarkEnd w:id="121"/>
    </w:p>
    <w:p w14:paraId="710485E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9</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疏港道路和港区内道路</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全部硬化，道路两侧应配备喷淋设施及排水管网系统。</w:t>
      </w:r>
    </w:p>
    <w:p w14:paraId="76DC92A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9</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港区内道路严禁堆存货物。</w:t>
      </w:r>
    </w:p>
    <w:p w14:paraId="451C485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9</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港区应配备清扫车、洒水车或洒扫车。年吞吐量200万吨以上的大型港口应配备湿扫车；年吞吐量200万吨以下的港口，可委托第三方保洁或相邻港口联合配备湿扫车。</w:t>
      </w:r>
    </w:p>
    <w:p w14:paraId="47A29A3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9</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港区疏港道路和港区内道路每天清扫或吸尘不</w:t>
      </w:r>
      <w:r>
        <w:rPr>
          <w:rFonts w:hint="eastAsia" w:ascii="宋体" w:hAnsi="宋体" w:eastAsia="宋体" w:cs="宋体"/>
          <w:b w:val="0"/>
          <w:bCs w:val="0"/>
          <w:color w:val="auto"/>
          <w:sz w:val="21"/>
          <w:szCs w:val="21"/>
          <w:lang w:val="en-US" w:eastAsia="zh-CN"/>
        </w:rPr>
        <w:t>得</w:t>
      </w:r>
      <w:r>
        <w:rPr>
          <w:rFonts w:hint="eastAsia" w:ascii="宋体" w:hAnsi="宋体" w:eastAsia="宋体" w:cs="宋体"/>
          <w:b w:val="0"/>
          <w:bCs w:val="0"/>
          <w:color w:val="auto"/>
          <w:sz w:val="21"/>
          <w:szCs w:val="21"/>
        </w:rPr>
        <w:t>少于2次，洒水不</w:t>
      </w:r>
      <w:r>
        <w:rPr>
          <w:rFonts w:hint="eastAsia" w:ascii="宋体" w:hAnsi="宋体" w:eastAsia="宋体" w:cs="宋体"/>
          <w:b w:val="0"/>
          <w:bCs w:val="0"/>
          <w:color w:val="auto"/>
          <w:sz w:val="21"/>
          <w:szCs w:val="21"/>
          <w:lang w:val="en-US" w:eastAsia="zh-CN"/>
        </w:rPr>
        <w:t>得</w:t>
      </w:r>
      <w:r>
        <w:rPr>
          <w:rFonts w:hint="eastAsia" w:ascii="宋体" w:hAnsi="宋体" w:eastAsia="宋体" w:cs="宋体"/>
          <w:b w:val="0"/>
          <w:bCs w:val="0"/>
          <w:color w:val="auto"/>
          <w:sz w:val="21"/>
          <w:szCs w:val="21"/>
        </w:rPr>
        <w:t>少于4次。大风或高温天气时应加大清扫、洒水频次；遇冬季严寒天气道路结冰，不适合洒水时，应加大清扫除尘次数。</w:t>
      </w:r>
    </w:p>
    <w:p w14:paraId="2D7789F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9</w:t>
      </w:r>
      <w:r>
        <w:rPr>
          <w:rFonts w:hint="eastAsia" w:ascii="黑体" w:hAnsi="黑体" w:eastAsia="黑体" w:cs="黑体"/>
          <w:b w:val="0"/>
          <w:bCs w:val="0"/>
          <w:color w:val="auto"/>
          <w:sz w:val="21"/>
          <w:szCs w:val="21"/>
        </w:rPr>
        <w:t>.5</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港口企业必须建立污染防治队伍。年吞吐量在300万吨及以上的，</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不少于20人；年吞吐量在100万吨以上300万吨以下的，</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不少于15人；年吞吐量在100万吨及以下的，</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不少于5人。</w:t>
      </w:r>
    </w:p>
    <w:p w14:paraId="78CD73BA">
      <w:pPr>
        <w:pStyle w:val="2"/>
        <w:bidi w:val="0"/>
        <w:rPr>
          <w:rFonts w:hint="eastAsia"/>
          <w:lang w:val="en-US" w:eastAsia="zh-CN"/>
        </w:rPr>
      </w:pPr>
      <w:bookmarkStart w:id="122" w:name="_Toc372784283_WPSOffice_Level1"/>
      <w:r>
        <w:rPr>
          <w:rFonts w:hint="eastAsia"/>
          <w:lang w:val="en-US" w:eastAsia="zh-CN"/>
        </w:rPr>
        <w:t>10  防尘林带种植</w:t>
      </w:r>
      <w:bookmarkEnd w:id="122"/>
    </w:p>
    <w:p w14:paraId="236AA8A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除码头前沿外，港区周围须种植</w:t>
      </w:r>
      <w:r>
        <w:rPr>
          <w:rFonts w:hint="eastAsia" w:ascii="宋体" w:hAnsi="宋体" w:eastAsia="宋体" w:cs="宋体"/>
          <w:b w:val="0"/>
          <w:bCs w:val="0"/>
          <w:color w:val="auto"/>
          <w:sz w:val="21"/>
          <w:szCs w:val="21"/>
          <w:lang w:val="en-US" w:eastAsia="zh-CN"/>
        </w:rPr>
        <w:t>15</w:t>
      </w:r>
      <w:r>
        <w:rPr>
          <w:rFonts w:hint="eastAsia" w:ascii="宋体" w:hAnsi="宋体" w:eastAsia="宋体" w:cs="宋体"/>
          <w:b w:val="0"/>
          <w:bCs w:val="0"/>
          <w:color w:val="auto"/>
          <w:sz w:val="21"/>
          <w:szCs w:val="21"/>
        </w:rPr>
        <w:t>m</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3</w:t>
      </w:r>
      <w:r>
        <w:rPr>
          <w:rFonts w:hint="eastAsia" w:ascii="宋体" w:hAnsi="宋体" w:eastAsia="宋体" w:cs="宋体"/>
          <w:b w:val="0"/>
          <w:bCs w:val="0"/>
          <w:color w:val="auto"/>
          <w:sz w:val="21"/>
          <w:szCs w:val="21"/>
        </w:rPr>
        <w:t>0m宽防尘林带，选用大规格乡土乔木树种、常绿树种和落叶树种混合配置</w:t>
      </w:r>
      <w:r>
        <w:rPr>
          <w:rFonts w:hint="eastAsia" w:ascii="宋体" w:hAnsi="宋体" w:cs="宋体"/>
          <w:b w:val="0"/>
          <w:bCs w:val="0"/>
          <w:color w:val="auto"/>
          <w:sz w:val="21"/>
          <w:szCs w:val="21"/>
          <w:lang w:eastAsia="zh-CN"/>
        </w:rPr>
        <w:t>。（</w:t>
      </w:r>
      <w:r>
        <w:rPr>
          <w:rFonts w:hint="eastAsia" w:ascii="宋体" w:hAnsi="宋体" w:cs="宋体"/>
          <w:b w:val="0"/>
          <w:bCs w:val="0"/>
          <w:color w:val="auto"/>
          <w:sz w:val="21"/>
          <w:szCs w:val="21"/>
          <w:lang w:val="en-US" w:eastAsia="zh-CN"/>
        </w:rPr>
        <w:t>防尘林带示意图</w:t>
      </w:r>
      <w:r>
        <w:rPr>
          <w:rFonts w:hint="eastAsia" w:ascii="宋体" w:hAnsi="宋体" w:cs="宋体"/>
          <w:b w:val="0"/>
          <w:bCs w:val="0"/>
          <w:color w:val="auto"/>
          <w:sz w:val="21"/>
          <w:szCs w:val="21"/>
          <w:lang w:eastAsia="zh-CN"/>
        </w:rPr>
        <w:t>见附录</w:t>
      </w:r>
      <w:r>
        <w:rPr>
          <w:rFonts w:hint="eastAsia" w:ascii="宋体" w:hAnsi="宋体" w:cs="宋体"/>
          <w:b w:val="0"/>
          <w:bCs w:val="0"/>
          <w:color w:val="auto"/>
          <w:sz w:val="21"/>
          <w:szCs w:val="21"/>
          <w:lang w:val="en-US" w:eastAsia="zh-CN"/>
        </w:rPr>
        <w:t>G</w:t>
      </w:r>
      <w:r>
        <w:rPr>
          <w:rFonts w:hint="eastAsia" w:ascii="宋体" w:hAnsi="宋体" w:cs="宋体"/>
          <w:b w:val="0"/>
          <w:bCs w:val="0"/>
          <w:color w:val="auto"/>
          <w:sz w:val="21"/>
          <w:szCs w:val="21"/>
          <w:lang w:eastAsia="zh-CN"/>
        </w:rPr>
        <w:t>）</w:t>
      </w:r>
    </w:p>
    <w:p w14:paraId="6564ADF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堆场装卸作业区周边</w:t>
      </w:r>
      <w:r>
        <w:rPr>
          <w:rFonts w:hint="eastAsia" w:ascii="宋体" w:hAnsi="宋体" w:eastAsia="宋体" w:cs="宋体"/>
          <w:b w:val="0"/>
          <w:bCs w:val="0"/>
          <w:color w:val="auto"/>
          <w:sz w:val="21"/>
          <w:szCs w:val="21"/>
          <w:lang w:val="en-US" w:eastAsia="zh-CN"/>
        </w:rPr>
        <w:t>防风抑尘网</w:t>
      </w:r>
      <w:r>
        <w:rPr>
          <w:rFonts w:hint="eastAsia" w:ascii="宋体" w:hAnsi="宋体" w:eastAsia="宋体" w:cs="宋体"/>
          <w:b w:val="0"/>
          <w:bCs w:val="0"/>
          <w:color w:val="auto"/>
          <w:sz w:val="21"/>
          <w:szCs w:val="21"/>
        </w:rPr>
        <w:t>外缘，因地制宜栽植2</w:t>
      </w:r>
      <w:r>
        <w:rPr>
          <w:rFonts w:hint="eastAsia" w:ascii="宋体" w:hAnsi="宋体" w:eastAsia="宋体" w:cs="宋体"/>
          <w:b w:val="0"/>
          <w:bCs w:val="0"/>
          <w:color w:val="auto"/>
          <w:sz w:val="21"/>
          <w:szCs w:val="21"/>
        </w:rPr>
        <w:t>行</w:t>
      </w:r>
      <w:r>
        <w:rPr>
          <w:rFonts w:hint="eastAsia" w:ascii="宋体" w:hAnsi="宋体" w:eastAsia="宋体" w:cs="宋体"/>
          <w:b w:val="0"/>
          <w:bCs w:val="0"/>
          <w:color w:val="auto"/>
          <w:sz w:val="21"/>
          <w:szCs w:val="21"/>
        </w:rPr>
        <w:t>～3行林带，</w:t>
      </w:r>
      <w:r>
        <w:rPr>
          <w:rFonts w:hint="eastAsia" w:ascii="宋体" w:hAnsi="宋体" w:eastAsia="宋体" w:cs="宋体"/>
          <w:b w:val="0"/>
          <w:bCs w:val="0"/>
          <w:color w:val="auto"/>
          <w:sz w:val="21"/>
          <w:szCs w:val="21"/>
          <w:lang w:val="en-US" w:eastAsia="zh-CN"/>
        </w:rPr>
        <w:t>宜</w:t>
      </w:r>
      <w:r>
        <w:rPr>
          <w:rFonts w:hint="eastAsia" w:ascii="宋体" w:hAnsi="宋体" w:eastAsia="宋体" w:cs="宋体"/>
          <w:b w:val="0"/>
          <w:bCs w:val="0"/>
          <w:strike w:val="0"/>
          <w:dstrike w:val="0"/>
          <w:color w:val="auto"/>
          <w:sz w:val="21"/>
          <w:szCs w:val="21"/>
        </w:rPr>
        <w:t>选择抗污染能力</w:t>
      </w:r>
      <w:r>
        <w:rPr>
          <w:rFonts w:hint="eastAsia" w:ascii="宋体" w:hAnsi="宋体" w:eastAsia="宋体" w:cs="宋体"/>
          <w:b w:val="0"/>
          <w:bCs w:val="0"/>
          <w:strike w:val="0"/>
          <w:dstrike w:val="0"/>
          <w:color w:val="auto"/>
          <w:sz w:val="21"/>
          <w:szCs w:val="21"/>
          <w:lang w:eastAsia="zh-CN"/>
        </w:rPr>
        <w:t>、</w:t>
      </w:r>
      <w:r>
        <w:rPr>
          <w:rFonts w:hint="eastAsia" w:ascii="宋体" w:hAnsi="宋体" w:eastAsia="宋体" w:cs="宋体"/>
          <w:b w:val="0"/>
          <w:bCs w:val="0"/>
          <w:strike w:val="0"/>
          <w:dstrike w:val="0"/>
          <w:color w:val="auto"/>
          <w:sz w:val="21"/>
          <w:szCs w:val="21"/>
        </w:rPr>
        <w:t>阻尘降噪能力强的树种、灌木、花草</w:t>
      </w:r>
      <w:r>
        <w:rPr>
          <w:rFonts w:hint="eastAsia" w:ascii="宋体" w:hAnsi="宋体" w:eastAsia="宋体" w:cs="宋体"/>
          <w:b w:val="0"/>
          <w:bCs w:val="0"/>
          <w:strike w:val="0"/>
          <w:dstrike w:val="0"/>
          <w:color w:val="auto"/>
          <w:sz w:val="21"/>
          <w:szCs w:val="21"/>
          <w:lang w:val="en-US" w:eastAsia="zh-CN"/>
        </w:rPr>
        <w:t>和</w:t>
      </w:r>
      <w:r>
        <w:rPr>
          <w:rFonts w:hint="eastAsia" w:ascii="宋体" w:hAnsi="宋体" w:eastAsia="宋体" w:cs="宋体"/>
          <w:b w:val="0"/>
          <w:bCs w:val="0"/>
          <w:strike w:val="0"/>
          <w:dstrike w:val="0"/>
          <w:color w:val="auto"/>
          <w:sz w:val="21"/>
          <w:szCs w:val="21"/>
        </w:rPr>
        <w:t>大规格乡土乔木树种</w:t>
      </w:r>
      <w:r>
        <w:rPr>
          <w:rFonts w:hint="eastAsia" w:ascii="宋体" w:hAnsi="宋体" w:eastAsia="宋体" w:cs="宋体"/>
          <w:b w:val="0"/>
          <w:bCs w:val="0"/>
          <w:color w:val="auto"/>
          <w:sz w:val="21"/>
          <w:szCs w:val="21"/>
        </w:rPr>
        <w:t>。</w:t>
      </w:r>
    </w:p>
    <w:p w14:paraId="2509410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办公</w:t>
      </w:r>
      <w:r>
        <w:rPr>
          <w:rFonts w:hint="eastAsia" w:ascii="宋体" w:hAnsi="宋体" w:eastAsia="宋体" w:cs="宋体"/>
          <w:b w:val="0"/>
          <w:bCs w:val="0"/>
          <w:color w:val="auto"/>
          <w:sz w:val="21"/>
          <w:szCs w:val="21"/>
          <w:lang w:val="en-US" w:eastAsia="zh-CN"/>
        </w:rPr>
        <w:t>区域绿化</w:t>
      </w:r>
      <w:r>
        <w:rPr>
          <w:rFonts w:hint="eastAsia" w:ascii="宋体" w:hAnsi="宋体" w:eastAsia="宋体" w:cs="宋体"/>
          <w:b w:val="0"/>
          <w:bCs w:val="0"/>
          <w:color w:val="auto"/>
          <w:sz w:val="21"/>
          <w:szCs w:val="21"/>
          <w:lang w:eastAsia="zh-CN"/>
        </w:rPr>
        <w:t>宜</w:t>
      </w:r>
      <w:r>
        <w:rPr>
          <w:rFonts w:hint="eastAsia" w:ascii="宋体" w:hAnsi="宋体" w:eastAsia="宋体" w:cs="宋体"/>
          <w:b w:val="0"/>
          <w:bCs w:val="0"/>
          <w:color w:val="auto"/>
          <w:sz w:val="21"/>
          <w:szCs w:val="21"/>
        </w:rPr>
        <w:t>采取乔木、灌木花</w:t>
      </w:r>
      <w:r>
        <w:rPr>
          <w:rFonts w:hint="eastAsia" w:ascii="宋体" w:hAnsi="宋体" w:eastAsia="宋体" w:cs="宋体"/>
          <w:b w:val="0"/>
          <w:bCs w:val="0"/>
          <w:strike w:val="0"/>
          <w:dstrike w:val="0"/>
          <w:color w:val="auto"/>
          <w:sz w:val="21"/>
          <w:szCs w:val="21"/>
        </w:rPr>
        <w:t>草结合</w:t>
      </w:r>
      <w:r>
        <w:rPr>
          <w:rFonts w:hint="eastAsia" w:ascii="宋体" w:hAnsi="宋体" w:eastAsia="宋体" w:cs="宋体"/>
          <w:b w:val="0"/>
          <w:bCs w:val="0"/>
          <w:strike w:val="0"/>
          <w:dstrike w:val="0"/>
          <w:color w:val="auto"/>
          <w:sz w:val="21"/>
          <w:szCs w:val="21"/>
          <w:lang w:eastAsia="zh-CN"/>
        </w:rPr>
        <w:t>，</w:t>
      </w:r>
      <w:r>
        <w:rPr>
          <w:rFonts w:hint="eastAsia" w:ascii="宋体" w:hAnsi="宋体" w:eastAsia="宋体" w:cs="宋体"/>
          <w:b w:val="0"/>
          <w:bCs w:val="0"/>
          <w:color w:val="auto"/>
          <w:sz w:val="21"/>
          <w:szCs w:val="21"/>
        </w:rPr>
        <w:t>常绿树种和落叶树种搭配</w:t>
      </w:r>
      <w:r>
        <w:rPr>
          <w:rFonts w:hint="eastAsia" w:ascii="宋体" w:hAnsi="宋体" w:eastAsia="宋体" w:cs="宋体"/>
          <w:b w:val="0"/>
          <w:bCs w:val="0"/>
          <w:color w:val="auto"/>
          <w:sz w:val="21"/>
          <w:szCs w:val="21"/>
          <w:lang w:val="en-US" w:eastAsia="zh-CN"/>
        </w:rPr>
        <w:t>等形式。</w:t>
      </w:r>
      <w:r>
        <w:rPr>
          <w:rFonts w:hint="eastAsia" w:ascii="宋体" w:hAnsi="宋体" w:eastAsia="宋体" w:cs="宋体"/>
          <w:b w:val="0"/>
          <w:bCs w:val="0"/>
          <w:strike w:val="0"/>
          <w:dstrike w:val="0"/>
          <w:color w:val="auto"/>
          <w:sz w:val="21"/>
          <w:szCs w:val="21"/>
        </w:rPr>
        <w:t>高大</w:t>
      </w:r>
      <w:r>
        <w:rPr>
          <w:rFonts w:hint="eastAsia" w:ascii="宋体" w:hAnsi="宋体" w:eastAsia="宋体" w:cs="宋体"/>
          <w:b w:val="0"/>
          <w:bCs w:val="0"/>
          <w:color w:val="auto"/>
          <w:sz w:val="21"/>
          <w:szCs w:val="21"/>
        </w:rPr>
        <w:t>乔木</w:t>
      </w:r>
      <w:r>
        <w:rPr>
          <w:rFonts w:hint="eastAsia" w:ascii="宋体" w:hAnsi="宋体" w:eastAsia="宋体" w:cs="宋体"/>
          <w:b w:val="0"/>
          <w:bCs w:val="0"/>
          <w:strike w:val="0"/>
          <w:dstrike w:val="0"/>
          <w:color w:val="auto"/>
          <w:sz w:val="21"/>
          <w:szCs w:val="21"/>
        </w:rPr>
        <w:t>和低矮</w:t>
      </w:r>
      <w:r>
        <w:rPr>
          <w:rFonts w:hint="eastAsia" w:ascii="宋体" w:hAnsi="宋体" w:eastAsia="宋体" w:cs="宋体"/>
          <w:b w:val="0"/>
          <w:bCs w:val="0"/>
          <w:color w:val="auto"/>
          <w:sz w:val="21"/>
          <w:szCs w:val="21"/>
        </w:rPr>
        <w:t>灌木、花草组合</w:t>
      </w:r>
      <w:r>
        <w:rPr>
          <w:rFonts w:hint="eastAsia" w:ascii="宋体" w:hAnsi="宋体" w:eastAsia="宋体" w:cs="宋体"/>
          <w:b w:val="0"/>
          <w:bCs w:val="0"/>
          <w:color w:val="auto"/>
          <w:sz w:val="21"/>
          <w:szCs w:val="21"/>
          <w:lang w:eastAsia="zh-CN"/>
        </w:rPr>
        <w:t>的方式</w:t>
      </w:r>
      <w:r>
        <w:rPr>
          <w:rFonts w:hint="eastAsia" w:ascii="宋体" w:hAnsi="宋体" w:eastAsia="宋体" w:cs="宋体"/>
          <w:b w:val="0"/>
          <w:bCs w:val="0"/>
          <w:color w:val="auto"/>
          <w:sz w:val="21"/>
          <w:szCs w:val="21"/>
        </w:rPr>
        <w:t>。</w:t>
      </w:r>
    </w:p>
    <w:p w14:paraId="53916BA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进港道路两侧宜选用高大乡土乔木树种，分别栽植2</w:t>
      </w:r>
      <w:r>
        <w:rPr>
          <w:rFonts w:hint="eastAsia" w:ascii="宋体" w:hAnsi="宋体" w:eastAsia="宋体" w:cs="宋体"/>
          <w:b w:val="0"/>
          <w:bCs w:val="0"/>
          <w:color w:val="auto"/>
          <w:sz w:val="21"/>
          <w:szCs w:val="21"/>
        </w:rPr>
        <w:t>行</w:t>
      </w:r>
      <w:r>
        <w:rPr>
          <w:rFonts w:hint="eastAsia" w:ascii="宋体" w:hAnsi="宋体" w:eastAsia="宋体" w:cs="宋体"/>
          <w:b w:val="0"/>
          <w:bCs w:val="0"/>
          <w:color w:val="auto"/>
          <w:sz w:val="21"/>
          <w:szCs w:val="21"/>
        </w:rPr>
        <w:t>～3行防尘林带。</w:t>
      </w:r>
    </w:p>
    <w:p w14:paraId="7E2DA06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.5</w:t>
      </w:r>
      <w:r>
        <w:rPr>
          <w:rFonts w:hint="eastAsia" w:ascii="宋体" w:hAnsi="宋体" w:eastAsia="宋体" w:cs="宋体"/>
          <w:b w:val="0"/>
          <w:bCs w:val="0"/>
          <w:color w:val="auto"/>
          <w:sz w:val="21"/>
          <w:szCs w:val="21"/>
        </w:rPr>
        <w:t xml:space="preserve"> 港</w:t>
      </w:r>
      <w:r>
        <w:rPr>
          <w:rFonts w:hint="eastAsia" w:ascii="宋体" w:hAnsi="宋体" w:eastAsia="宋体" w:cs="宋体"/>
          <w:b w:val="0"/>
          <w:bCs w:val="0"/>
          <w:color w:val="auto"/>
          <w:sz w:val="21"/>
          <w:szCs w:val="21"/>
          <w:lang w:val="en-US" w:eastAsia="zh-CN"/>
        </w:rPr>
        <w:t>区内部</w:t>
      </w:r>
      <w:r>
        <w:rPr>
          <w:rFonts w:hint="eastAsia" w:ascii="宋体" w:hAnsi="宋体" w:eastAsia="宋体" w:cs="宋体"/>
          <w:b w:val="0"/>
          <w:bCs w:val="0"/>
          <w:color w:val="auto"/>
          <w:sz w:val="21"/>
          <w:szCs w:val="21"/>
        </w:rPr>
        <w:t>的</w:t>
      </w:r>
      <w:r>
        <w:rPr>
          <w:rFonts w:hint="eastAsia" w:ascii="宋体" w:hAnsi="宋体" w:eastAsia="宋体" w:cs="宋体"/>
          <w:b w:val="0"/>
          <w:bCs w:val="0"/>
          <w:color w:val="auto"/>
          <w:sz w:val="21"/>
          <w:szCs w:val="21"/>
          <w:lang w:val="en-US" w:eastAsia="zh-CN"/>
        </w:rPr>
        <w:t>防洪堤</w:t>
      </w:r>
      <w:r>
        <w:rPr>
          <w:rFonts w:hint="eastAsia" w:ascii="宋体" w:hAnsi="宋体" w:eastAsia="宋体" w:cs="宋体"/>
          <w:b w:val="0"/>
          <w:bCs w:val="0"/>
          <w:color w:val="auto"/>
          <w:sz w:val="21"/>
          <w:szCs w:val="21"/>
        </w:rPr>
        <w:t>宜选用高大常绿树种全部绿化。</w:t>
      </w:r>
    </w:p>
    <w:p w14:paraId="7FD0B13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FF0000"/>
          <w:sz w:val="21"/>
          <w:szCs w:val="21"/>
          <w:lang w:eastAsia="zh-CN"/>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0</w:t>
      </w:r>
      <w:r>
        <w:rPr>
          <w:rFonts w:hint="eastAsia" w:ascii="黑体" w:hAnsi="黑体" w:eastAsia="黑体" w:cs="黑体"/>
          <w:b w:val="0"/>
          <w:bCs w:val="0"/>
          <w:color w:val="auto"/>
          <w:sz w:val="21"/>
          <w:szCs w:val="21"/>
        </w:rPr>
        <w:t>.6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树种宜选择无絮杨树、枫杨、榆树、国槐、刺槐、白蜡、少球法桐、雪松、白皮松、无絮柳树、水杉、落羽杉等高大乔木，株行距（2～3）m*5m，树高4m以上，米径5</w:t>
      </w:r>
      <w:r>
        <w:rPr>
          <w:rFonts w:hint="eastAsia" w:ascii="宋体" w:hAnsi="宋体" w:eastAsia="宋体" w:cs="宋体"/>
          <w:b w:val="0"/>
          <w:bCs w:val="0"/>
          <w:color w:val="auto"/>
          <w:sz w:val="21"/>
          <w:szCs w:val="21"/>
        </w:rPr>
        <w:t>cm</w:t>
      </w:r>
      <w:r>
        <w:rPr>
          <w:rFonts w:hint="eastAsia" w:ascii="宋体" w:hAnsi="宋体" w:eastAsia="宋体" w:cs="宋体"/>
          <w:b w:val="0"/>
          <w:bCs w:val="0"/>
          <w:color w:val="auto"/>
          <w:sz w:val="21"/>
          <w:szCs w:val="21"/>
        </w:rPr>
        <w:t>～8cm以上，品字形栽植，常绿树种和落叶树种混合搭配，密度每亩44</w:t>
      </w:r>
      <w:r>
        <w:rPr>
          <w:rFonts w:hint="eastAsia" w:ascii="宋体" w:hAnsi="宋体" w:eastAsia="宋体" w:cs="宋体"/>
          <w:b w:val="0"/>
          <w:bCs w:val="0"/>
          <w:color w:val="auto"/>
          <w:sz w:val="21"/>
          <w:szCs w:val="21"/>
        </w:rPr>
        <w:t>株</w:t>
      </w:r>
      <w:r>
        <w:rPr>
          <w:rFonts w:hint="eastAsia" w:ascii="宋体" w:hAnsi="宋体" w:eastAsia="宋体" w:cs="宋体"/>
          <w:b w:val="0"/>
          <w:bCs w:val="0"/>
          <w:color w:val="auto"/>
          <w:sz w:val="21"/>
          <w:szCs w:val="21"/>
        </w:rPr>
        <w:t>～66株；花灌木树种宜选用红叶石楠、大叶女贞、大叶黄杨、木槿、海桐等，采取丛植、带型等方式密植。</w:t>
      </w:r>
    </w:p>
    <w:p w14:paraId="409801DA">
      <w:pPr>
        <w:pStyle w:val="2"/>
        <w:bidi w:val="0"/>
        <w:rPr>
          <w:rFonts w:hint="eastAsia"/>
          <w:lang w:val="en-US" w:eastAsia="zh-CN"/>
        </w:rPr>
      </w:pPr>
      <w:bookmarkStart w:id="123" w:name="_Toc972713327_WPSOffice_Level1"/>
      <w:r>
        <w:rPr>
          <w:rFonts w:hint="eastAsia"/>
          <w:lang w:val="en-US" w:eastAsia="zh-CN"/>
        </w:rPr>
        <w:t>11  智能监管</w:t>
      </w:r>
      <w:bookmarkEnd w:id="123"/>
    </w:p>
    <w:p w14:paraId="18643CB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bookmarkStart w:id="124" w:name="_Toc668625993_WPSOffice_Level2"/>
      <w:bookmarkStart w:id="125" w:name="_Toc1137726714_WPSOffice_Level2"/>
      <w:bookmarkStart w:id="126" w:name="_Toc783300264_WPSOffice_Level2"/>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黑体" w:hAnsi="黑体" w:eastAsia="黑体" w:cs="黑体"/>
          <w:b w:val="0"/>
          <w:bCs w:val="0"/>
          <w:color w:val="auto"/>
          <w:sz w:val="21"/>
          <w:szCs w:val="21"/>
        </w:rPr>
        <w:t>视频监控系统</w:t>
      </w:r>
      <w:bookmarkEnd w:id="124"/>
      <w:bookmarkEnd w:id="125"/>
      <w:bookmarkEnd w:id="126"/>
    </w:p>
    <w:p w14:paraId="2D19C4E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安装视频监控，监控系统应满足港区作业范围全覆盖、全时段监控要求，并符合下列规定</w:t>
      </w:r>
      <w:r>
        <w:rPr>
          <w:rFonts w:hint="eastAsia" w:ascii="宋体" w:hAnsi="宋体" w:cs="宋体"/>
          <w:b w:val="0"/>
          <w:bCs w:val="0"/>
          <w:color w:val="auto"/>
          <w:sz w:val="21"/>
          <w:szCs w:val="21"/>
          <w:lang w:eastAsia="zh-CN"/>
        </w:rPr>
        <w:t>：</w:t>
      </w:r>
    </w:p>
    <w:p w14:paraId="29B99994">
      <w:pPr>
        <w:pStyle w:val="44"/>
        <w:tabs>
          <w:tab w:val="left" w:pos="851"/>
        </w:tabs>
        <w:rPr>
          <w:rFonts w:hint="eastAsia" w:hAnsi="Times New Roman" w:eastAsia="宋体" w:cs="Times New Roman"/>
        </w:rPr>
      </w:pPr>
      <w:r>
        <w:rPr>
          <w:rFonts w:hint="eastAsia" w:hAnsi="Times New Roman" w:eastAsia="宋体" w:cs="Times New Roman"/>
        </w:rPr>
        <w:t>前端设备应优先选用稳定性好、故障率低的正规品牌产品。前端配置的硬盘录像机、存储等设备以及相关建设安装、调试工作由港口企业负责。</w:t>
      </w:r>
    </w:p>
    <w:p w14:paraId="08D702CD">
      <w:pPr>
        <w:pStyle w:val="44"/>
        <w:tabs>
          <w:tab w:val="left" w:pos="851"/>
        </w:tabs>
        <w:rPr>
          <w:rFonts w:hint="eastAsia" w:hAnsi="Times New Roman" w:eastAsia="宋体" w:cs="Times New Roman"/>
        </w:rPr>
      </w:pPr>
      <w:r>
        <w:rPr>
          <w:rFonts w:hint="eastAsia" w:hAnsi="Times New Roman" w:eastAsia="宋体" w:cs="Times New Roman"/>
        </w:rPr>
        <w:t>码头装卸及其他区域球型摄像机参数要求：网络红外摄像机应不低于400万像素，不低于30倍光学变倍、支持最低照度可达彩色0.01Lux，黑白0.001Lux，0Lux with IR；支持水平手控速度不小于180°/S，云台定位精度为±0.1°；垂直手控速度不小于120°/S。</w:t>
      </w:r>
    </w:p>
    <w:p w14:paraId="65003A38">
      <w:pPr>
        <w:pStyle w:val="44"/>
        <w:tabs>
          <w:tab w:val="left" w:pos="851"/>
        </w:tabs>
        <w:rPr>
          <w:rFonts w:hint="eastAsia" w:hAnsi="Times New Roman" w:eastAsia="宋体" w:cs="Times New Roman"/>
        </w:rPr>
      </w:pPr>
      <w:r>
        <w:rPr>
          <w:rFonts w:hint="eastAsia" w:hAnsi="Times New Roman" w:eastAsia="宋体" w:cs="Times New Roman"/>
        </w:rPr>
        <w:t>堆场制高点球型摄像机参数要求：应不低于400万像素星光级高速智能球机，红外照射距离应不低于200m，焦距范围应不低于5.6</w:t>
      </w:r>
      <w:r>
        <w:rPr>
          <w:rFonts w:hint="eastAsia" w:hAnsi="Times New Roman" w:eastAsia="宋体" w:cs="Times New Roman"/>
        </w:rPr>
        <w:t>mm</w:t>
      </w:r>
      <w:r>
        <w:rPr>
          <w:rFonts w:hint="eastAsia" w:hAnsi="Times New Roman" w:eastAsia="宋体" w:cs="Times New Roman"/>
        </w:rPr>
        <w:t>-208mm、不低于37倍光学变焦。支持视频压缩:H.265/H.264/MJPEG格式。支持120dB超宽动态、光学透雾、强光抑制、电子防抖等功能。水平及垂直范围:水平360°，垂直-20°-90°（自动翻转）。防护等级:IP67。制高点摄像机要有单独的防雷接地系统，可有效防止雷击，减少故障率。</w:t>
      </w:r>
    </w:p>
    <w:p w14:paraId="66534A56">
      <w:pPr>
        <w:pStyle w:val="44"/>
        <w:tabs>
          <w:tab w:val="left" w:pos="851"/>
        </w:tabs>
        <w:rPr>
          <w:rFonts w:hint="eastAsia" w:hAnsi="Times New Roman" w:eastAsia="宋体" w:cs="Times New Roman"/>
        </w:rPr>
      </w:pPr>
      <w:r>
        <w:rPr>
          <w:rFonts w:hint="eastAsia" w:hAnsi="Times New Roman" w:eastAsia="宋体" w:cs="Times New Roman"/>
        </w:rPr>
        <w:t>疏港路摄像机（枪机）参数要求：网络红外摄像机，应不低于400万像素。</w:t>
      </w:r>
      <w:bookmarkStart w:id="200" w:name="_GoBack"/>
      <w:bookmarkEnd w:id="200"/>
    </w:p>
    <w:p w14:paraId="3D8D19B9">
      <w:pPr>
        <w:pStyle w:val="44"/>
        <w:tabs>
          <w:tab w:val="left" w:pos="851"/>
        </w:tabs>
        <w:rPr>
          <w:rFonts w:hint="eastAsia" w:hAnsi="Times New Roman" w:eastAsia="宋体" w:cs="Times New Roman"/>
        </w:rPr>
      </w:pPr>
      <w:r>
        <w:rPr>
          <w:rFonts w:hint="eastAsia" w:hAnsi="Times New Roman" w:eastAsia="宋体" w:cs="Times New Roman"/>
        </w:rPr>
        <w:t>港口</w:t>
      </w:r>
      <w:r>
        <w:rPr>
          <w:rFonts w:hint="eastAsia" w:hAnsi="Times New Roman" w:eastAsia="宋体" w:cs="Times New Roman"/>
          <w:lang w:eastAsia="zh-CN"/>
        </w:rPr>
        <w:t>宜</w:t>
      </w:r>
      <w:r>
        <w:rPr>
          <w:rFonts w:hint="eastAsia" w:hAnsi="Times New Roman" w:eastAsia="宋体" w:cs="Times New Roman"/>
        </w:rPr>
        <w:t>配置智能化摄像机，并建设视频智能识别系统，实现堆垛覆盖、车辆覆盖、船舶覆盖等视频识别功能</w:t>
      </w:r>
      <w:r>
        <w:rPr>
          <w:rFonts w:hint="eastAsia" w:hAnsi="Times New Roman" w:eastAsia="宋体" w:cs="Times New Roman"/>
          <w:lang w:eastAsia="zh-CN"/>
        </w:rPr>
        <w:t>，</w:t>
      </w:r>
      <w:r>
        <w:rPr>
          <w:rFonts w:hint="eastAsia" w:hAnsi="Times New Roman" w:eastAsia="宋体" w:cs="Times New Roman"/>
          <w:lang w:val="en-US" w:eastAsia="zh-CN"/>
        </w:rPr>
        <w:t>其中：</w:t>
      </w:r>
    </w:p>
    <w:p w14:paraId="430A4DB4">
      <w:pPr>
        <w:pStyle w:val="45"/>
        <w:rPr>
          <w:rFonts w:hint="eastAsia" w:hAnsi="Times New Roman" w:eastAsia="宋体" w:cs="Times New Roman"/>
        </w:rPr>
      </w:pPr>
      <w:r>
        <w:rPr>
          <w:rFonts w:hint="eastAsia" w:hAnsi="Times New Roman" w:eastAsia="宋体" w:cs="Times New Roman"/>
        </w:rPr>
        <w:t>码头覆盖枪型摄像机参数要求：不低于400万像素 CMOS传感器，具有不小于1/1.8"靶面尺寸，具有麦克风功能。摄像机最低照度彩色：0.0005 lx，需内置暖白光补光灯，补光距离不小于60米，动态范围不小于106dB，信噪比不小于62dB，需支持IP67防尘防水，需支持越界侦测、区域入侵侦测等智能功能。</w:t>
      </w:r>
    </w:p>
    <w:p w14:paraId="2ED02CAD">
      <w:pPr>
        <w:pStyle w:val="45"/>
        <w:rPr>
          <w:rFonts w:hint="eastAsia" w:hAnsi="Times New Roman" w:eastAsia="宋体" w:cs="Times New Roman"/>
        </w:rPr>
      </w:pPr>
      <w:r>
        <w:rPr>
          <w:rFonts w:hint="eastAsia" w:hAnsi="Times New Roman" w:eastAsia="宋体" w:cs="Times New Roman"/>
        </w:rPr>
        <w:t>全彩AI算法摄像机参数要求：不低于400万像素 CMOS传感器，具有不小于1/3″靶面尺寸，具有麦克风及扬声器功能。摄像机支持不低于1.5 T算力、50 MB系统内存、600 MB智能内存、2048 MB EMMC存储资源共享，需具备区域入侵、越界入侵</w:t>
      </w:r>
      <w:r>
        <w:rPr>
          <w:rFonts w:hint="eastAsia" w:hAnsi="Times New Roman" w:eastAsia="宋体" w:cs="Times New Roman"/>
          <w:lang w:eastAsia="zh-CN"/>
        </w:rPr>
        <w:t>、</w:t>
      </w:r>
      <w:r>
        <w:rPr>
          <w:rFonts w:hint="eastAsia" w:hAnsi="Times New Roman" w:eastAsia="宋体" w:cs="Times New Roman"/>
        </w:rPr>
        <w:t>智能报警防干扰</w:t>
      </w:r>
      <w:r>
        <w:rPr>
          <w:rFonts w:hint="eastAsia" w:hAnsi="Times New Roman" w:eastAsia="宋体" w:cs="Times New Roman"/>
          <w:lang w:eastAsia="zh-CN"/>
        </w:rPr>
        <w:t>等</w:t>
      </w:r>
      <w:r>
        <w:rPr>
          <w:rFonts w:hint="eastAsia" w:hAnsi="Times New Roman" w:eastAsia="宋体" w:cs="Times New Roman"/>
        </w:rPr>
        <w:t>功能。</w:t>
      </w:r>
    </w:p>
    <w:p w14:paraId="40E49DA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堆场（球机）、码头装卸（球机）、洗车台（定点监控）、封闭车间及疏港道路（定点监控）、门禁系统、船舶污染物交付区、环保驿站等重点监控点必须接入</w:t>
      </w:r>
      <w:r>
        <w:rPr>
          <w:rFonts w:hint="eastAsia" w:ascii="宋体" w:hAnsi="宋体" w:eastAsia="宋体" w:cs="宋体"/>
          <w:b w:val="0"/>
          <w:bCs w:val="0"/>
          <w:color w:val="auto"/>
          <w:sz w:val="21"/>
          <w:szCs w:val="21"/>
          <w:lang w:val="en-US" w:eastAsia="zh-CN"/>
        </w:rPr>
        <w:t>行业主管部门</w:t>
      </w:r>
      <w:r>
        <w:rPr>
          <w:rFonts w:hint="eastAsia" w:ascii="宋体" w:hAnsi="宋体" w:eastAsia="宋体" w:cs="宋体"/>
          <w:b w:val="0"/>
          <w:bCs w:val="0"/>
          <w:color w:val="auto"/>
          <w:sz w:val="21"/>
          <w:szCs w:val="21"/>
        </w:rPr>
        <w:t>监控平台，进行24小时在线监控。</w:t>
      </w:r>
      <w:r>
        <w:rPr>
          <w:rFonts w:hint="eastAsia" w:ascii="宋体" w:hAnsi="宋体" w:eastAsia="宋体" w:cs="宋体"/>
          <w:b w:val="0"/>
          <w:bCs w:val="0"/>
          <w:strike w:val="0"/>
          <w:dstrike w:val="0"/>
          <w:color w:val="auto"/>
          <w:sz w:val="21"/>
          <w:szCs w:val="21"/>
        </w:rPr>
        <w:t>其中</w:t>
      </w:r>
      <w:r>
        <w:rPr>
          <w:rFonts w:hint="eastAsia" w:ascii="宋体" w:hAnsi="宋体" w:eastAsia="宋体" w:cs="宋体"/>
          <w:b w:val="0"/>
          <w:bCs w:val="0"/>
          <w:color w:val="auto"/>
          <w:sz w:val="21"/>
          <w:szCs w:val="21"/>
        </w:rPr>
        <w:t>堆场摄像机安装高度应不低于10m（可新立监控杆或安装在堆场周边制高点），具体高度及摄像机安装数量根据现场堆场环境确定，必须做到全覆盖，保证能够清晰的看到堆场及堆场内路面情况，可供随时调度查看。码头装卸监控系统安装高度</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高于最大堆垛高度3m，</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做到全覆盖，可供监控平台随时调度查看。港口出入大门口应采用有视频和图片抓拍功能的不低于400万像素的微卡摄像机，用于实时抓拍进出港口车辆图片及实时查看大门口实时监控图像。</w:t>
      </w:r>
    </w:p>
    <w:p w14:paraId="249A98AC">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安装硬盘录像机存储图像，保证存储时间</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不少于3个月。</w:t>
      </w:r>
    </w:p>
    <w:p w14:paraId="73E8E7D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港口企业要加强视频监控的使用维护，不得影响数据的调取，不得出现人为损坏现象，确保视频监控正常使用。</w:t>
      </w:r>
    </w:p>
    <w:p w14:paraId="5B87E74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.1.5</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港口视频上传数据专线带宽不低于50M，单路视频上传带宽不低于5M（400万像素）,保证视频图像传输流畅、不卡顿。</w:t>
      </w:r>
    </w:p>
    <w:p w14:paraId="6E32891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.1.6</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港口码头应建设智慧环保监控平台，接入港口重点区域监控视频，固定专人值班，线上进行视频巡查；对派发的问题进行反馈，并做好台账记录。</w:t>
      </w:r>
    </w:p>
    <w:p w14:paraId="1EE8D56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.1.7</w:t>
      </w:r>
      <w:r>
        <w:rPr>
          <w:rFonts w:hint="eastAsia" w:ascii="宋体" w:hAnsi="宋体" w:eastAsia="宋体" w:cs="宋体"/>
          <w:b w:val="0"/>
          <w:bCs w:val="0"/>
          <w:color w:val="auto"/>
          <w:sz w:val="21"/>
          <w:szCs w:val="21"/>
        </w:rPr>
        <w:t xml:space="preserve"> 港口码头智慧环保监控平台</w:t>
      </w:r>
      <w:r>
        <w:rPr>
          <w:rFonts w:hint="eastAsia" w:ascii="宋体" w:hAnsi="宋体" w:eastAsia="宋体" w:cs="宋体"/>
          <w:b w:val="0"/>
          <w:bCs w:val="0"/>
          <w:color w:val="auto"/>
          <w:sz w:val="21"/>
          <w:szCs w:val="21"/>
          <w:lang w:val="en-US" w:eastAsia="zh-CN"/>
        </w:rPr>
        <w:t>应</w:t>
      </w:r>
      <w:r>
        <w:rPr>
          <w:rFonts w:hint="eastAsia" w:ascii="宋体" w:hAnsi="宋体" w:eastAsia="宋体" w:cs="宋体"/>
          <w:b w:val="0"/>
          <w:bCs w:val="0"/>
          <w:color w:val="auto"/>
          <w:sz w:val="21"/>
          <w:szCs w:val="21"/>
        </w:rPr>
        <w:t>设置显示区、调度区、指挥区等区域，配备LED大屏，操作台配套坐席操作电脑、显示器、扩声系统(音响、话筒)等，配备视频应用软件、信息安全硬件、应用服务器、数据存储等设备。</w:t>
      </w:r>
    </w:p>
    <w:p w14:paraId="4282C5D8">
      <w:pPr>
        <w:keepNext w:val="0"/>
        <w:keepLines w:val="0"/>
        <w:pageBreakBefore w:val="0"/>
        <w:widowControl w:val="0"/>
        <w:kinsoku/>
        <w:wordWrap/>
        <w:overflowPunct/>
        <w:topLinePunct w:val="0"/>
        <w:autoSpaceDE/>
        <w:autoSpaceDN/>
        <w:bidi w:val="0"/>
        <w:adjustRightInd/>
        <w:snapToGrid/>
        <w:spacing w:line="240" w:lineRule="auto"/>
        <w:ind w:right="0" w:firstLine="0" w:firstLineChars="0"/>
        <w:jc w:val="left"/>
        <w:textAlignment w:val="auto"/>
        <w:rPr>
          <w:rFonts w:hint="eastAsia" w:ascii="黑体" w:hAnsi="黑体" w:eastAsia="黑体" w:cs="黑体"/>
          <w:b w:val="0"/>
          <w:bCs w:val="0"/>
          <w:color w:val="auto"/>
          <w:sz w:val="21"/>
          <w:szCs w:val="21"/>
        </w:rPr>
      </w:pPr>
      <w:bookmarkStart w:id="127" w:name="_Toc759048849_WPSOffice_Level2"/>
      <w:bookmarkStart w:id="128" w:name="_Toc1253671443_WPSOffice_Level2"/>
      <w:bookmarkStart w:id="129" w:name="_Toc1823400154_WPSOffice_Level2"/>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黑体" w:hAnsi="黑体" w:eastAsia="黑体" w:cs="黑体"/>
          <w:b w:val="0"/>
          <w:bCs w:val="0"/>
          <w:color w:val="auto"/>
          <w:sz w:val="21"/>
          <w:szCs w:val="21"/>
        </w:rPr>
        <w:t>智能喷淋系统</w:t>
      </w:r>
      <w:bookmarkEnd w:id="127"/>
      <w:bookmarkEnd w:id="128"/>
      <w:bookmarkEnd w:id="129"/>
    </w:p>
    <w:p w14:paraId="4FA170B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.2.1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港区</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安装喷淋监控系统，监控点包括堆场、落料口、封闭车间等安装固定喷淋设施的位置。</w:t>
      </w:r>
    </w:p>
    <w:p w14:paraId="7CA15BC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.2.2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智能喷淋系统</w:t>
      </w:r>
      <w:r>
        <w:rPr>
          <w:rFonts w:hint="eastAsia" w:ascii="宋体" w:hAnsi="宋体" w:eastAsia="宋体" w:cs="宋体"/>
          <w:b w:val="0"/>
          <w:bCs w:val="0"/>
          <w:color w:val="auto"/>
          <w:sz w:val="21"/>
          <w:szCs w:val="21"/>
          <w:lang w:eastAsia="zh-CN"/>
        </w:rPr>
        <w:t>应</w:t>
      </w:r>
      <w:r>
        <w:rPr>
          <w:rFonts w:hint="eastAsia" w:ascii="宋体" w:hAnsi="宋体" w:eastAsia="宋体" w:cs="宋体"/>
          <w:b w:val="0"/>
          <w:bCs w:val="0"/>
          <w:color w:val="auto"/>
          <w:sz w:val="21"/>
          <w:szCs w:val="21"/>
        </w:rPr>
        <w:t>正常运行，并对接港口扬尘监测设备。</w:t>
      </w:r>
    </w:p>
    <w:p w14:paraId="3A5E570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.2.3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智能喷淋点应设置自报警系统，报警后自动开启喷淋系统降尘抑尘。</w:t>
      </w:r>
    </w:p>
    <w:p w14:paraId="09F97C1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.2.4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物联网终端应将喷洒启停时间和喷水量上传至监控平台，实现对喷淋系统运行的精准化、信息化、数字化管理。</w:t>
      </w:r>
    </w:p>
    <w:p w14:paraId="4DD3DAA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bookmarkStart w:id="130" w:name="_Toc2099097294_WPSOffice_Level2"/>
      <w:bookmarkStart w:id="131" w:name="_Toc1981834088_WPSOffice_Level2"/>
      <w:bookmarkStart w:id="132" w:name="_Toc1285979519_WPSOffice_Level2"/>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1</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黑体" w:hAnsi="黑体" w:eastAsia="黑体" w:cs="黑体"/>
          <w:b w:val="0"/>
          <w:bCs w:val="0"/>
          <w:color w:val="auto"/>
          <w:sz w:val="21"/>
          <w:szCs w:val="21"/>
        </w:rPr>
        <w:t>扬尘监测系统</w:t>
      </w:r>
      <w:bookmarkEnd w:id="130"/>
      <w:bookmarkEnd w:id="131"/>
      <w:bookmarkEnd w:id="132"/>
    </w:p>
    <w:p w14:paraId="332782C3">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rPr>
        <w:t>港口必须配备监测PM10等环境参数的监测设备</w:t>
      </w:r>
      <w:r>
        <w:rPr>
          <w:rFonts w:hint="eastAsia" w:ascii="宋体" w:hAnsi="宋体" w:cs="宋体"/>
          <w:b w:val="0"/>
          <w:bCs w:val="0"/>
          <w:color w:val="auto"/>
          <w:sz w:val="21"/>
          <w:szCs w:val="21"/>
          <w:lang w:val="en-US" w:eastAsia="zh-CN"/>
        </w:rPr>
        <w:t>，</w:t>
      </w:r>
      <w:r>
        <w:rPr>
          <w:rFonts w:hint="eastAsia" w:ascii="宋体" w:hAnsi="宋体" w:eastAsia="宋体" w:cs="宋体"/>
          <w:b w:val="0"/>
          <w:bCs w:val="0"/>
          <w:color w:val="auto"/>
          <w:sz w:val="21"/>
          <w:szCs w:val="21"/>
        </w:rPr>
        <w:t>至少在港区常风向的上风向和下风向各设置1个监测设备</w:t>
      </w:r>
      <w:r>
        <w:rPr>
          <w:rFonts w:hint="eastAsia" w:ascii="宋体" w:hAnsi="宋体" w:eastAsia="宋体" w:cs="宋体"/>
          <w:b w:val="0"/>
          <w:bCs w:val="0"/>
          <w:color w:val="auto"/>
          <w:sz w:val="21"/>
          <w:szCs w:val="21"/>
          <w:lang w:eastAsia="zh-CN"/>
        </w:rPr>
        <w:t>，</w:t>
      </w:r>
      <w:r>
        <w:rPr>
          <w:rFonts w:hint="eastAsia" w:ascii="宋体" w:hAnsi="宋体" w:cs="宋体"/>
          <w:b w:val="0"/>
          <w:bCs w:val="0"/>
          <w:color w:val="auto"/>
          <w:sz w:val="21"/>
          <w:szCs w:val="21"/>
          <w:lang w:eastAsia="zh-CN"/>
        </w:rPr>
        <w:t>大气污染物限值应符合</w:t>
      </w:r>
      <w:r>
        <w:rPr>
          <w:rFonts w:hint="eastAsia" w:ascii="宋体" w:hAnsi="宋体" w:cs="宋体"/>
          <w:b w:val="0"/>
          <w:bCs w:val="0"/>
          <w:color w:val="auto"/>
          <w:sz w:val="21"/>
          <w:szCs w:val="21"/>
          <w:lang w:val="en-US" w:eastAsia="zh-CN"/>
        </w:rPr>
        <w:t>DB37 2376</w:t>
      </w:r>
      <w:r>
        <w:rPr>
          <w:rFonts w:hint="eastAsia" w:ascii="宋体" w:hAnsi="宋体" w:cs="宋体"/>
          <w:b w:val="0"/>
          <w:bCs w:val="0"/>
          <w:color w:val="auto"/>
          <w:sz w:val="21"/>
          <w:szCs w:val="21"/>
          <w:lang w:eastAsia="zh-CN"/>
        </w:rPr>
        <w:t>的要求</w:t>
      </w:r>
      <w:r>
        <w:rPr>
          <w:rFonts w:hint="eastAsia" w:ascii="宋体" w:hAnsi="宋体" w:eastAsia="宋体" w:cs="宋体"/>
          <w:b w:val="0"/>
          <w:bCs w:val="0"/>
          <w:color w:val="auto"/>
          <w:sz w:val="21"/>
          <w:szCs w:val="21"/>
        </w:rPr>
        <w:t>。</w:t>
      </w:r>
    </w:p>
    <w:p w14:paraId="17426552">
      <w:pPr>
        <w:pStyle w:val="2"/>
        <w:bidi w:val="0"/>
        <w:rPr>
          <w:rFonts w:hint="eastAsia"/>
          <w:lang w:val="en-US" w:eastAsia="zh-CN"/>
        </w:rPr>
      </w:pPr>
      <w:bookmarkStart w:id="133" w:name="_Toc1175229665_WPSOffice_Level1"/>
      <w:r>
        <w:rPr>
          <w:rFonts w:hint="eastAsia"/>
          <w:lang w:val="en-US" w:eastAsia="zh-CN"/>
        </w:rPr>
        <w:t>12  生产污水处理</w:t>
      </w:r>
      <w:bookmarkEnd w:id="133"/>
    </w:p>
    <w:p w14:paraId="11940F6C">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bookmarkStart w:id="134" w:name="_Toc2076854226_WPSOffice_Level2"/>
      <w:bookmarkStart w:id="135" w:name="_Toc576843791_WPSOffice_Level2"/>
      <w:bookmarkStart w:id="136" w:name="_Toc1574284418_WPSOffice_Level2"/>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严禁港区生产污水排入周边水体。</w:t>
      </w:r>
      <w:bookmarkEnd w:id="134"/>
      <w:bookmarkEnd w:id="135"/>
      <w:bookmarkEnd w:id="136"/>
    </w:p>
    <w:p w14:paraId="3BF30091">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bookmarkStart w:id="137" w:name="_Toc454948503_WPSOffice_Level2"/>
      <w:bookmarkStart w:id="138" w:name="_Toc865502225_WPSOffice_Level2"/>
      <w:bookmarkStart w:id="139" w:name="_Toc1838388629_WPSOffice_Level2"/>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pacing w:val="-2"/>
          <w:sz w:val="21"/>
          <w:szCs w:val="21"/>
        </w:rPr>
        <w:t>港口</w:t>
      </w:r>
      <w:r>
        <w:rPr>
          <w:rFonts w:hint="eastAsia" w:ascii="宋体" w:hAnsi="宋体" w:eastAsia="宋体" w:cs="宋体"/>
          <w:b w:val="0"/>
          <w:bCs w:val="0"/>
          <w:color w:val="auto"/>
          <w:sz w:val="21"/>
          <w:szCs w:val="21"/>
        </w:rPr>
        <w:t>生产污水处理站应满足以下要求</w:t>
      </w:r>
      <w:bookmarkEnd w:id="137"/>
      <w:bookmarkEnd w:id="138"/>
      <w:bookmarkEnd w:id="139"/>
      <w:r>
        <w:rPr>
          <w:rFonts w:hint="eastAsia" w:ascii="宋体" w:hAnsi="宋体" w:cs="宋体"/>
          <w:b w:val="0"/>
          <w:bCs w:val="0"/>
          <w:color w:val="auto"/>
          <w:sz w:val="21"/>
          <w:szCs w:val="21"/>
          <w:lang w:eastAsia="zh-CN"/>
        </w:rPr>
        <w:t>：</w:t>
      </w:r>
    </w:p>
    <w:p w14:paraId="3F0C3863">
      <w:pPr>
        <w:pStyle w:val="44"/>
        <w:tabs>
          <w:tab w:val="left" w:pos="851"/>
        </w:tabs>
        <w:rPr>
          <w:rFonts w:hint="eastAsia" w:hAnsi="Times New Roman" w:eastAsia="宋体" w:cs="Times New Roman"/>
          <w:color w:val="auto"/>
          <w:lang w:eastAsia="zh-CN"/>
        </w:rPr>
      </w:pPr>
      <w:r>
        <w:rPr>
          <w:rFonts w:hint="eastAsia" w:hAnsi="Times New Roman" w:eastAsia="宋体" w:cs="Times New Roman"/>
          <w:color w:val="auto"/>
        </w:rPr>
        <w:t>生产污水处理站应包括沉淀池、加药装置、沉淀装置、回用水池等。</w:t>
      </w:r>
      <w:r>
        <w:rPr>
          <w:rFonts w:hint="eastAsia" w:hAnsi="Times New Roman" w:eastAsia="宋体" w:cs="Times New Roman"/>
          <w:color w:val="auto"/>
          <w:lang w:eastAsia="zh-CN"/>
        </w:rPr>
        <w:t>（</w:t>
      </w:r>
      <w:r>
        <w:rPr>
          <w:rFonts w:hint="eastAsia" w:hAnsi="Times New Roman" w:eastAsia="宋体" w:cs="Times New Roman"/>
          <w:color w:val="auto"/>
          <w:lang w:val="en-US" w:eastAsia="zh-CN"/>
        </w:rPr>
        <w:t>港口水污染防治设施检查指南</w:t>
      </w:r>
      <w:r>
        <w:rPr>
          <w:rFonts w:hint="eastAsia" w:hAnsi="Times New Roman" w:eastAsia="宋体" w:cs="Times New Roman"/>
          <w:color w:val="auto"/>
          <w:lang w:eastAsia="zh-CN"/>
        </w:rPr>
        <w:t>见附录</w:t>
      </w:r>
      <w:r>
        <w:rPr>
          <w:rFonts w:hint="eastAsia" w:hAnsi="Times New Roman" w:eastAsia="宋体" w:cs="Times New Roman"/>
          <w:color w:val="auto"/>
          <w:lang w:val="en-US" w:eastAsia="zh-CN"/>
        </w:rPr>
        <w:t>H、生产污水处理站工艺流程见附录I</w:t>
      </w:r>
      <w:r>
        <w:rPr>
          <w:rFonts w:hint="eastAsia" w:hAnsi="Times New Roman" w:eastAsia="宋体" w:cs="Times New Roman"/>
          <w:color w:val="auto"/>
          <w:lang w:eastAsia="zh-CN"/>
        </w:rPr>
        <w:t>）</w:t>
      </w:r>
    </w:p>
    <w:p w14:paraId="21CB9812">
      <w:pPr>
        <w:pStyle w:val="44"/>
        <w:tabs>
          <w:tab w:val="left" w:pos="851"/>
        </w:tabs>
        <w:rPr>
          <w:rFonts w:hint="eastAsia" w:hAnsi="Times New Roman" w:eastAsia="宋体" w:cs="Times New Roman"/>
        </w:rPr>
      </w:pPr>
      <w:r>
        <w:rPr>
          <w:rFonts w:hint="eastAsia" w:hAnsi="Times New Roman" w:eastAsia="宋体" w:cs="Times New Roman"/>
        </w:rPr>
        <w:t>生产污水通过沉淀池初步沉淀后，投加混凝剂，再经沉淀装置处理达标后进入回用水池，用于港区喷淋、绿化等。</w:t>
      </w:r>
    </w:p>
    <w:p w14:paraId="7CE5EF96">
      <w:pPr>
        <w:pStyle w:val="44"/>
        <w:tabs>
          <w:tab w:val="left" w:pos="851"/>
        </w:tabs>
        <w:rPr>
          <w:rFonts w:hint="eastAsia" w:hAnsi="Times New Roman" w:eastAsia="宋体" w:cs="Times New Roman"/>
        </w:rPr>
      </w:pPr>
      <w:r>
        <w:rPr>
          <w:rFonts w:hint="eastAsia" w:hAnsi="Times New Roman" w:eastAsia="宋体" w:cs="Times New Roman"/>
          <w:lang w:val="en-US" w:eastAsia="zh-CN"/>
        </w:rPr>
        <w:t>港口</w:t>
      </w:r>
      <w:r>
        <w:rPr>
          <w:rFonts w:hint="eastAsia" w:hAnsi="Times New Roman" w:eastAsia="宋体" w:cs="Times New Roman"/>
        </w:rPr>
        <w:t>根据生产污水的实际产水量、贮存时间等因素确定沉淀池和回用水池的大小及数量。</w:t>
      </w:r>
    </w:p>
    <w:p w14:paraId="2193DCA5">
      <w:pPr>
        <w:pStyle w:val="44"/>
        <w:tabs>
          <w:tab w:val="left" w:pos="851"/>
        </w:tabs>
        <w:rPr>
          <w:rFonts w:hint="eastAsia" w:hAnsi="Times New Roman" w:eastAsia="宋体" w:cs="Times New Roman"/>
        </w:rPr>
      </w:pPr>
      <w:r>
        <w:rPr>
          <w:rFonts w:hint="eastAsia" w:hAnsi="Times New Roman" w:eastAsia="宋体" w:cs="Times New Roman"/>
        </w:rPr>
        <w:t>沉淀池应设置泥位计在线监测装置，接入行业平台，泥位淤积超过1/3自动报警。</w:t>
      </w:r>
    </w:p>
    <w:p w14:paraId="7290DB5C">
      <w:pPr>
        <w:pStyle w:val="44"/>
        <w:tabs>
          <w:tab w:val="left" w:pos="851"/>
        </w:tabs>
        <w:rPr>
          <w:rFonts w:hint="eastAsia" w:hAnsi="Times New Roman" w:eastAsia="宋体" w:cs="Times New Roman"/>
        </w:rPr>
      </w:pPr>
      <w:r>
        <w:rPr>
          <w:rFonts w:hint="eastAsia" w:hAnsi="Times New Roman" w:eastAsia="宋体" w:cs="Times New Roman"/>
        </w:rPr>
        <w:t>生产污水处理站应设置用电监管设备，检测开机运行数据，接入行业平台实施在线监管。</w:t>
      </w:r>
    </w:p>
    <w:p w14:paraId="5137B4F6">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bookmarkStart w:id="140" w:name="_Toc1197371985_WPSOffice_Level2"/>
      <w:bookmarkStart w:id="141" w:name="_Toc177760406_WPSOffice_Level2"/>
      <w:bookmarkStart w:id="142" w:name="_Toc1319882097_WPSOffice_Level2"/>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黑体" w:hAnsi="黑体" w:eastAsia="黑体" w:cs="黑体"/>
          <w:b w:val="0"/>
          <w:bCs w:val="0"/>
          <w:color w:val="auto"/>
          <w:sz w:val="21"/>
          <w:szCs w:val="21"/>
        </w:rPr>
        <w:t>港区生产污水处理</w:t>
      </w:r>
      <w:bookmarkEnd w:id="140"/>
      <w:bookmarkEnd w:id="141"/>
      <w:bookmarkEnd w:id="142"/>
    </w:p>
    <w:p w14:paraId="51EA205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pacing w:val="-2"/>
          <w:sz w:val="21"/>
          <w:szCs w:val="21"/>
        </w:rPr>
      </w:pPr>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.3.1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pacing w:val="-2"/>
          <w:sz w:val="21"/>
          <w:szCs w:val="21"/>
        </w:rPr>
        <w:t>堆场、码头周围</w:t>
      </w:r>
      <w:r>
        <w:rPr>
          <w:rFonts w:hint="eastAsia" w:ascii="宋体" w:hAnsi="宋体" w:eastAsia="宋体" w:cs="宋体"/>
          <w:b w:val="0"/>
          <w:bCs w:val="0"/>
          <w:color w:val="auto"/>
          <w:spacing w:val="-2"/>
          <w:sz w:val="21"/>
          <w:szCs w:val="21"/>
          <w:lang w:eastAsia="zh-CN"/>
        </w:rPr>
        <w:t>应</w:t>
      </w:r>
      <w:r>
        <w:rPr>
          <w:rFonts w:hint="eastAsia" w:ascii="宋体" w:hAnsi="宋体" w:eastAsia="宋体" w:cs="宋体"/>
          <w:b w:val="0"/>
          <w:bCs w:val="0"/>
          <w:color w:val="auto"/>
          <w:spacing w:val="-2"/>
          <w:sz w:val="21"/>
          <w:szCs w:val="21"/>
        </w:rPr>
        <w:t>布置排水沟（管），收集径流雨污水，排至港区生产污水处理站处理达标后回用。</w:t>
      </w:r>
    </w:p>
    <w:p w14:paraId="68E817C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.3.2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码头前沿应三面设置连续挡水坎，确保污水不排入河道，挡水坎宽度不小于0.3m，高度不小于0.2m。</w:t>
      </w:r>
    </w:p>
    <w:p w14:paraId="7729521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bookmarkStart w:id="143" w:name="_Toc2063535324_WPSOffice_Level2"/>
      <w:bookmarkStart w:id="144" w:name="_Toc2074130360_WPSOffice_Level2"/>
      <w:bookmarkStart w:id="145" w:name="_Toc40478697_WPSOffice_Level2"/>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黑体" w:hAnsi="黑体" w:eastAsia="黑体" w:cs="黑体"/>
          <w:b w:val="0"/>
          <w:bCs w:val="0"/>
          <w:color w:val="auto"/>
          <w:sz w:val="21"/>
          <w:szCs w:val="21"/>
        </w:rPr>
        <w:t>洗车污水处理</w:t>
      </w:r>
      <w:bookmarkEnd w:id="143"/>
      <w:bookmarkEnd w:id="144"/>
      <w:bookmarkEnd w:id="145"/>
    </w:p>
    <w:p w14:paraId="00A59093">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rPr>
        <w:t>散货港区</w:t>
      </w:r>
      <w:r>
        <w:rPr>
          <w:rFonts w:hint="eastAsia" w:ascii="宋体" w:hAnsi="宋体" w:eastAsia="宋体" w:cs="宋体"/>
          <w:b w:val="0"/>
          <w:bCs w:val="0"/>
          <w:color w:val="auto"/>
          <w:spacing w:val="-2"/>
          <w:sz w:val="21"/>
          <w:szCs w:val="21"/>
          <w:lang w:eastAsia="zh-CN"/>
        </w:rPr>
        <w:t>应</w:t>
      </w:r>
      <w:r>
        <w:rPr>
          <w:rFonts w:hint="eastAsia" w:ascii="宋体" w:hAnsi="宋体" w:eastAsia="宋体" w:cs="宋体"/>
          <w:b w:val="0"/>
          <w:bCs w:val="0"/>
          <w:color w:val="auto"/>
          <w:sz w:val="21"/>
          <w:szCs w:val="21"/>
        </w:rPr>
        <w:t>设置洗车台对出港车辆进行清洗。洗车污水经预处理后汇入生产污水处理站处理达标后回用。</w:t>
      </w:r>
    </w:p>
    <w:p w14:paraId="362BB06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color w:val="auto"/>
          <w:sz w:val="21"/>
          <w:szCs w:val="21"/>
        </w:rPr>
      </w:pPr>
      <w:bookmarkStart w:id="146" w:name="_Toc2098243417_WPSOffice_Level2"/>
      <w:bookmarkStart w:id="147" w:name="_Toc769888917_WPSOffice_Level2"/>
      <w:bookmarkStart w:id="148" w:name="_Toc1072694127_WPSOffice_Level2"/>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 xml:space="preserve">5 </w:t>
      </w:r>
      <w:r>
        <w:rPr>
          <w:rFonts w:hint="eastAsia" w:ascii="黑体" w:hAnsi="黑体" w:eastAsia="黑体" w:cs="黑体"/>
          <w:b w:val="0"/>
          <w:bCs w:val="0"/>
          <w:color w:val="auto"/>
          <w:sz w:val="21"/>
          <w:szCs w:val="21"/>
        </w:rPr>
        <w:t>洗箱废水处理</w:t>
      </w:r>
      <w:bookmarkEnd w:id="146"/>
      <w:bookmarkEnd w:id="147"/>
      <w:bookmarkEnd w:id="148"/>
    </w:p>
    <w:p w14:paraId="505DA6F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港外有洗箱条件时，优先由港外洗箱企业进行洗箱作业。</w:t>
      </w:r>
    </w:p>
    <w:p w14:paraId="223ADAA8">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val="en-US" w:eastAsia="zh-CN"/>
        </w:rPr>
        <w:t>12</w:t>
      </w:r>
      <w:r>
        <w:rPr>
          <w:rFonts w:hint="eastAsia" w:ascii="黑体" w:hAnsi="黑体" w:eastAsia="黑体" w:cs="黑体"/>
          <w:b w:val="0"/>
          <w:bCs w:val="0"/>
          <w:color w:val="auto"/>
          <w:sz w:val="21"/>
          <w:szCs w:val="21"/>
        </w:rPr>
        <w:t>.</w:t>
      </w:r>
      <w:r>
        <w:rPr>
          <w:rFonts w:hint="eastAsia" w:ascii="黑体" w:hAnsi="黑体" w:eastAsia="黑体" w:cs="黑体"/>
          <w:b w:val="0"/>
          <w:bCs w:val="0"/>
          <w:color w:val="auto"/>
          <w:sz w:val="21"/>
          <w:szCs w:val="21"/>
          <w:lang w:val="en-US" w:eastAsia="zh-CN"/>
        </w:rPr>
        <w:t>5</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港外不具备洗箱条件时，港区应根据洗箱污水水质设置洗箱污水处理设施处理。</w:t>
      </w:r>
    </w:p>
    <w:p w14:paraId="2EADE79D">
      <w:pPr>
        <w:pStyle w:val="2"/>
        <w:bidi w:val="0"/>
        <w:rPr>
          <w:rFonts w:hint="eastAsia"/>
          <w:lang w:val="en-US" w:eastAsia="zh-CN"/>
        </w:rPr>
      </w:pPr>
      <w:bookmarkStart w:id="149" w:name="_Toc1839750999_WPSOffice_Level1"/>
      <w:r>
        <w:rPr>
          <w:rFonts w:hint="eastAsia"/>
          <w:lang w:val="en-US" w:eastAsia="zh-CN"/>
        </w:rPr>
        <w:t>13  生活污水处理</w:t>
      </w:r>
      <w:bookmarkEnd w:id="149"/>
    </w:p>
    <w:p w14:paraId="1815658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生活污水</w:t>
      </w:r>
      <w:r>
        <w:rPr>
          <w:rFonts w:hint="eastAsia" w:ascii="宋体" w:hAnsi="宋体" w:eastAsia="宋体" w:cs="宋体"/>
          <w:b w:val="0"/>
          <w:bCs w:val="0"/>
          <w:color w:val="auto"/>
          <w:sz w:val="21"/>
          <w:szCs w:val="21"/>
          <w:lang w:val="en-US" w:eastAsia="zh-CN"/>
        </w:rPr>
        <w:t>不得</w:t>
      </w:r>
      <w:r>
        <w:rPr>
          <w:rFonts w:hint="eastAsia" w:ascii="宋体" w:hAnsi="宋体" w:eastAsia="宋体" w:cs="宋体"/>
          <w:b w:val="0"/>
          <w:bCs w:val="0"/>
          <w:color w:val="auto"/>
          <w:sz w:val="21"/>
          <w:szCs w:val="21"/>
        </w:rPr>
        <w:t>直接排入周边水体。</w:t>
      </w:r>
    </w:p>
    <w:p w14:paraId="268D047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港口具备对接城乡环卫体系条件的，应和城乡环卫体系对接。</w:t>
      </w:r>
    </w:p>
    <w:p w14:paraId="2770255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港口不具备对接城乡环卫体系条件的，</w:t>
      </w:r>
      <w:r>
        <w:rPr>
          <w:rFonts w:hint="eastAsia" w:ascii="宋体" w:hAnsi="宋体" w:eastAsia="宋体" w:cs="宋体"/>
          <w:b w:val="0"/>
          <w:bCs w:val="0"/>
          <w:color w:val="auto"/>
          <w:sz w:val="21"/>
          <w:szCs w:val="21"/>
          <w:lang w:eastAsia="zh-CN"/>
        </w:rPr>
        <w:t>优先</w:t>
      </w:r>
      <w:r>
        <w:rPr>
          <w:rFonts w:hint="eastAsia" w:ascii="宋体" w:hAnsi="宋体" w:eastAsia="宋体" w:cs="宋体"/>
          <w:b w:val="0"/>
          <w:bCs w:val="0"/>
          <w:color w:val="auto"/>
          <w:sz w:val="21"/>
          <w:szCs w:val="21"/>
        </w:rPr>
        <w:t>自建生活污水处理站，处理达标后回用</w:t>
      </w:r>
      <w:r>
        <w:rPr>
          <w:rFonts w:hint="eastAsia" w:ascii="宋体" w:hAnsi="宋体" w:eastAsia="宋体" w:cs="宋体"/>
          <w:b w:val="0"/>
          <w:bCs w:val="0"/>
          <w:color w:val="auto"/>
          <w:sz w:val="21"/>
          <w:szCs w:val="21"/>
          <w:lang w:eastAsia="zh-CN"/>
        </w:rPr>
        <w:t>；未建设生活污水处理站的港口，应将</w:t>
      </w:r>
      <w:r>
        <w:rPr>
          <w:rFonts w:hint="eastAsia" w:ascii="宋体" w:hAnsi="宋体" w:eastAsia="宋体" w:cs="宋体"/>
          <w:b w:val="0"/>
          <w:bCs w:val="0"/>
          <w:color w:val="auto"/>
          <w:sz w:val="21"/>
          <w:szCs w:val="21"/>
        </w:rPr>
        <w:t>生活污水收集后委托有资质的企业处理。</w:t>
      </w:r>
    </w:p>
    <w:p w14:paraId="3F43872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lang w:eastAsia="zh-CN"/>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pacing w:val="-2"/>
          <w:sz w:val="21"/>
          <w:szCs w:val="21"/>
        </w:rPr>
        <w:t>港口设置生活污水处理站时</w:t>
      </w:r>
      <w:r>
        <w:rPr>
          <w:rFonts w:hint="eastAsia" w:ascii="宋体" w:hAnsi="宋体" w:eastAsia="宋体" w:cs="宋体"/>
          <w:b w:val="0"/>
          <w:bCs w:val="0"/>
          <w:color w:val="auto"/>
          <w:sz w:val="21"/>
          <w:szCs w:val="21"/>
        </w:rPr>
        <w:t>应满足以下要</w:t>
      </w:r>
      <w:r>
        <w:rPr>
          <w:rFonts w:hint="eastAsia" w:ascii="宋体" w:hAnsi="宋体" w:eastAsia="宋体" w:cs="宋体"/>
          <w:b w:val="0"/>
          <w:bCs w:val="0"/>
          <w:color w:val="auto"/>
          <w:spacing w:val="-2"/>
          <w:sz w:val="21"/>
          <w:szCs w:val="21"/>
        </w:rPr>
        <w:t>求</w:t>
      </w:r>
      <w:r>
        <w:rPr>
          <w:rFonts w:hint="eastAsia" w:ascii="宋体" w:hAnsi="宋体" w:eastAsia="宋体" w:cs="宋体"/>
          <w:b w:val="0"/>
          <w:bCs w:val="0"/>
          <w:color w:val="auto"/>
          <w:spacing w:val="-2"/>
          <w:sz w:val="21"/>
          <w:szCs w:val="21"/>
          <w:lang w:eastAsia="zh-CN"/>
        </w:rPr>
        <w:t>：（</w:t>
      </w:r>
      <w:r>
        <w:rPr>
          <w:rFonts w:hint="eastAsia" w:ascii="宋体" w:hAnsi="宋体" w:eastAsia="宋体" w:cs="宋体"/>
          <w:b w:val="0"/>
          <w:bCs w:val="0"/>
          <w:color w:val="auto"/>
          <w:spacing w:val="-2"/>
          <w:sz w:val="21"/>
          <w:szCs w:val="21"/>
          <w:lang w:val="en-US" w:eastAsia="zh-CN"/>
        </w:rPr>
        <w:t>生活污水处理站工艺流程</w:t>
      </w:r>
      <w:r>
        <w:rPr>
          <w:rFonts w:hint="eastAsia" w:ascii="宋体" w:hAnsi="宋体" w:eastAsia="宋体" w:cs="宋体"/>
          <w:b w:val="0"/>
          <w:bCs w:val="0"/>
          <w:color w:val="auto"/>
          <w:spacing w:val="-2"/>
          <w:sz w:val="21"/>
          <w:szCs w:val="21"/>
          <w:lang w:eastAsia="zh-CN"/>
        </w:rPr>
        <w:t>见附录</w:t>
      </w:r>
      <w:r>
        <w:rPr>
          <w:rFonts w:hint="eastAsia" w:ascii="宋体" w:hAnsi="宋体" w:eastAsia="宋体" w:cs="宋体"/>
          <w:b w:val="0"/>
          <w:bCs w:val="0"/>
          <w:color w:val="auto"/>
          <w:spacing w:val="-2"/>
          <w:sz w:val="21"/>
          <w:szCs w:val="21"/>
          <w:lang w:val="en-US" w:eastAsia="zh-CN"/>
        </w:rPr>
        <w:t>J</w:t>
      </w:r>
      <w:r>
        <w:rPr>
          <w:rFonts w:hint="eastAsia" w:ascii="宋体" w:hAnsi="宋体" w:eastAsia="宋体" w:cs="宋体"/>
          <w:b w:val="0"/>
          <w:bCs w:val="0"/>
          <w:color w:val="auto"/>
          <w:spacing w:val="-2"/>
          <w:sz w:val="21"/>
          <w:szCs w:val="21"/>
          <w:lang w:eastAsia="zh-CN"/>
        </w:rPr>
        <w:t>）</w:t>
      </w:r>
    </w:p>
    <w:p w14:paraId="0E67DF31">
      <w:pPr>
        <w:pStyle w:val="44"/>
        <w:tabs>
          <w:tab w:val="left" w:pos="851"/>
        </w:tabs>
        <w:rPr>
          <w:rFonts w:hint="eastAsia" w:hAnsi="Times New Roman" w:eastAsia="宋体" w:cs="Times New Roman"/>
          <w:lang w:eastAsia="zh-CN"/>
        </w:rPr>
      </w:pPr>
      <w:r>
        <w:rPr>
          <w:rFonts w:hint="eastAsia" w:hAnsi="Times New Roman" w:eastAsia="宋体" w:cs="Times New Roman"/>
        </w:rPr>
        <w:t>生活污水处理站</w:t>
      </w:r>
      <w:r>
        <w:rPr>
          <w:rFonts w:hint="eastAsia" w:hAnsi="Times New Roman" w:eastAsia="宋体" w:cs="Times New Roman"/>
          <w:lang w:eastAsia="zh-CN"/>
        </w:rPr>
        <w:t>应</w:t>
      </w:r>
      <w:r>
        <w:rPr>
          <w:rFonts w:hint="eastAsia" w:hAnsi="Times New Roman" w:eastAsia="宋体" w:cs="Times New Roman"/>
        </w:rPr>
        <w:t>包括调节池、一体化生活污水处理设备、回用水池等</w:t>
      </w:r>
      <w:r>
        <w:rPr>
          <w:rFonts w:hint="eastAsia" w:hAnsi="Times New Roman" w:eastAsia="宋体" w:cs="Times New Roman"/>
          <w:lang w:eastAsia="zh-CN"/>
        </w:rPr>
        <w:t>。</w:t>
      </w:r>
    </w:p>
    <w:p w14:paraId="583755D8">
      <w:pPr>
        <w:pStyle w:val="44"/>
        <w:tabs>
          <w:tab w:val="left" w:pos="851"/>
        </w:tabs>
        <w:rPr>
          <w:rFonts w:hint="eastAsia" w:hAnsi="Times New Roman" w:eastAsia="宋体" w:cs="Times New Roman"/>
          <w:lang w:eastAsia="zh-CN"/>
        </w:rPr>
      </w:pPr>
      <w:r>
        <w:rPr>
          <w:rFonts w:hint="eastAsia" w:hAnsi="Times New Roman" w:eastAsia="宋体" w:cs="Times New Roman"/>
        </w:rPr>
        <w:t>生活污水汇入调节池后，由一体化生活污水处理设备统一处理后进入回用水池，回用于港区喷淋、绿化等</w:t>
      </w:r>
      <w:r>
        <w:rPr>
          <w:rFonts w:hint="eastAsia" w:hAnsi="Times New Roman" w:eastAsia="宋体" w:cs="Times New Roman"/>
          <w:lang w:eastAsia="zh-CN"/>
        </w:rPr>
        <w:t>。</w:t>
      </w:r>
    </w:p>
    <w:p w14:paraId="4280C6BA">
      <w:pPr>
        <w:pStyle w:val="44"/>
        <w:tabs>
          <w:tab w:val="left" w:pos="851"/>
        </w:tabs>
        <w:rPr>
          <w:rFonts w:hint="eastAsia" w:hAnsi="Times New Roman" w:eastAsia="宋体" w:cs="Times New Roman"/>
        </w:rPr>
      </w:pPr>
      <w:r>
        <w:rPr>
          <w:rFonts w:hint="eastAsia" w:hAnsi="Times New Roman" w:eastAsia="宋体" w:cs="Times New Roman"/>
        </w:rPr>
        <w:t>应根据港口的实际产水量、贮存时间等因素合理确定生活污水处理站规模。</w:t>
      </w:r>
    </w:p>
    <w:p w14:paraId="5FE0319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3</w:t>
      </w:r>
      <w:r>
        <w:rPr>
          <w:rFonts w:hint="eastAsia" w:ascii="黑体" w:hAnsi="黑体" w:eastAsia="黑体" w:cs="黑体"/>
          <w:b w:val="0"/>
          <w:bCs w:val="0"/>
          <w:color w:val="auto"/>
          <w:sz w:val="21"/>
          <w:szCs w:val="21"/>
        </w:rPr>
        <w:t>.5</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生活污水处理站应设置用电监管设备，检测开机运行数据，接入行业平台在线监管。</w:t>
      </w:r>
    </w:p>
    <w:p w14:paraId="3DA8E449">
      <w:pPr>
        <w:pStyle w:val="2"/>
        <w:bidi w:val="0"/>
        <w:rPr>
          <w:rFonts w:hint="eastAsia"/>
          <w:lang w:val="en-US" w:eastAsia="zh-CN"/>
        </w:rPr>
      </w:pPr>
      <w:bookmarkStart w:id="150" w:name="_Toc190982762_WPSOffice_Level1"/>
      <w:r>
        <w:rPr>
          <w:rFonts w:hint="eastAsia"/>
          <w:lang w:val="en-US" w:eastAsia="zh-CN"/>
        </w:rPr>
        <w:t>14  雨污分流处理</w:t>
      </w:r>
      <w:bookmarkEnd w:id="150"/>
    </w:p>
    <w:p w14:paraId="2E6244F8">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因地制宜建设港区雨水收集池，增加港区雨水收容能力。</w:t>
      </w:r>
    </w:p>
    <w:p w14:paraId="205D1A7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.2</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具备条件的港口</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因港施策进行港区雨污分流技术改造。</w:t>
      </w:r>
    </w:p>
    <w:p w14:paraId="60E0A55C">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lang w:eastAsia="zh-CN"/>
        </w:rPr>
        <w:t>1</w:t>
      </w: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.3</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清洁雨水排放口应设置标志牌，并安装水质在线监控设备，监控指标主要包括流量、悬浮物、氨氮等，并与行业平台联网。</w:t>
      </w:r>
    </w:p>
    <w:p w14:paraId="3FCCF8B2">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color w:val="auto"/>
          <w:sz w:val="21"/>
          <w:szCs w:val="21"/>
        </w:rPr>
      </w:pPr>
      <w:r>
        <w:rPr>
          <w:rFonts w:hint="eastAsia" w:ascii="黑体" w:hAnsi="黑体" w:eastAsia="黑体" w:cs="黑体"/>
          <w:b w:val="0"/>
          <w:bCs w:val="0"/>
          <w:color w:val="auto"/>
          <w:sz w:val="21"/>
          <w:szCs w:val="21"/>
        </w:rPr>
        <w:t>1</w:t>
      </w:r>
      <w:r>
        <w:rPr>
          <w:rFonts w:hint="eastAsia" w:ascii="黑体" w:hAnsi="黑体" w:eastAsia="黑体" w:cs="黑体"/>
          <w:b w:val="0"/>
          <w:bCs w:val="0"/>
          <w:color w:val="auto"/>
          <w:sz w:val="21"/>
          <w:szCs w:val="21"/>
          <w:lang w:val="en-US" w:eastAsia="zh-CN"/>
        </w:rPr>
        <w:t>4</w:t>
      </w:r>
      <w:r>
        <w:rPr>
          <w:rFonts w:hint="eastAsia" w:ascii="黑体" w:hAnsi="黑体" w:eastAsia="黑体" w:cs="黑体"/>
          <w:b w:val="0"/>
          <w:bCs w:val="0"/>
          <w:color w:val="auto"/>
          <w:sz w:val="21"/>
          <w:szCs w:val="21"/>
        </w:rPr>
        <w:t>.4</w:t>
      </w:r>
      <w:r>
        <w:rPr>
          <w:rFonts w:hint="eastAsia" w:ascii="黑体" w:hAnsi="黑体" w:eastAsia="黑体" w:cs="黑体"/>
          <w:b w:val="0"/>
          <w:bCs w:val="0"/>
          <w:color w:val="auto"/>
          <w:sz w:val="21"/>
          <w:szCs w:val="21"/>
          <w:lang w:val="en-US" w:eastAsia="zh-CN"/>
        </w:rPr>
        <w:t xml:space="preserve"> </w:t>
      </w:r>
      <w:r>
        <w:rPr>
          <w:rFonts w:hint="eastAsia" w:ascii="宋体" w:hAnsi="宋体" w:eastAsia="宋体" w:cs="宋体"/>
          <w:b w:val="0"/>
          <w:bCs w:val="0"/>
          <w:color w:val="auto"/>
          <w:sz w:val="21"/>
          <w:szCs w:val="21"/>
        </w:rPr>
        <w:t>建设散货堆场封闭</w:t>
      </w:r>
      <w:r>
        <w:rPr>
          <w:rFonts w:hint="eastAsia" w:ascii="宋体" w:hAnsi="宋体" w:eastAsia="宋体" w:cs="宋体"/>
          <w:b w:val="0"/>
          <w:bCs w:val="0"/>
          <w:color w:val="auto"/>
          <w:sz w:val="21"/>
          <w:szCs w:val="21"/>
          <w:lang w:val="en-US" w:eastAsia="zh-CN"/>
        </w:rPr>
        <w:t>设施</w:t>
      </w:r>
      <w:r>
        <w:rPr>
          <w:rFonts w:hint="eastAsia" w:ascii="宋体" w:hAnsi="宋体" w:eastAsia="宋体" w:cs="宋体"/>
          <w:b w:val="0"/>
          <w:bCs w:val="0"/>
          <w:color w:val="auto"/>
          <w:sz w:val="21"/>
          <w:szCs w:val="21"/>
        </w:rPr>
        <w:t>的港口码头，</w:t>
      </w:r>
      <w:r>
        <w:rPr>
          <w:rFonts w:hint="eastAsia" w:ascii="宋体" w:hAnsi="宋体" w:cs="宋体"/>
          <w:b w:val="0"/>
          <w:bCs w:val="0"/>
          <w:color w:val="auto"/>
          <w:sz w:val="21"/>
          <w:szCs w:val="21"/>
          <w:lang w:eastAsia="zh-CN"/>
        </w:rPr>
        <w:t>宜</w:t>
      </w:r>
      <w:r>
        <w:rPr>
          <w:rFonts w:hint="eastAsia" w:ascii="宋体" w:hAnsi="宋体" w:eastAsia="宋体" w:cs="宋体"/>
          <w:b w:val="0"/>
          <w:bCs w:val="0"/>
          <w:color w:val="auto"/>
          <w:sz w:val="21"/>
          <w:szCs w:val="21"/>
        </w:rPr>
        <w:t>经专业机构规划设计后，利用收集管沟，清洁雨水不落地排放。</w:t>
      </w:r>
    </w:p>
    <w:p w14:paraId="54E86A46">
      <w:pPr>
        <w:pStyle w:val="2"/>
        <w:bidi w:val="0"/>
        <w:rPr>
          <w:rFonts w:hint="eastAsia"/>
          <w:lang w:val="en-US" w:eastAsia="zh-CN"/>
        </w:rPr>
      </w:pPr>
      <w:bookmarkStart w:id="151" w:name="_Toc81359038_WPSOffice_Level1"/>
      <w:r>
        <w:rPr>
          <w:rFonts w:hint="eastAsia"/>
          <w:lang w:val="en-US" w:eastAsia="zh-CN"/>
        </w:rPr>
        <w:t>15  污水再生利用</w:t>
      </w:r>
      <w:bookmarkEnd w:id="151"/>
    </w:p>
    <w:p w14:paraId="35B4F05A">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val="en-US" w:eastAsia="zh-CN"/>
        </w:rPr>
        <w:t>根据处理工艺，</w:t>
      </w:r>
      <w:r>
        <w:rPr>
          <w:rFonts w:hint="eastAsia" w:ascii="宋体" w:hAnsi="宋体" w:eastAsia="宋体" w:cs="宋体"/>
          <w:b w:val="0"/>
          <w:bCs w:val="0"/>
          <w:color w:val="auto"/>
          <w:sz w:val="21"/>
          <w:szCs w:val="21"/>
        </w:rPr>
        <w:t>生产污水和生活污水收集处理达标后进入回用水池，用于堆场道路喷洒、绿化、洗车等。</w:t>
      </w:r>
    </w:p>
    <w:p w14:paraId="7B5620B3">
      <w:pPr>
        <w:pStyle w:val="2"/>
        <w:bidi w:val="0"/>
        <w:rPr>
          <w:rFonts w:hint="eastAsia"/>
          <w:lang w:val="en-US" w:eastAsia="zh-CN"/>
        </w:rPr>
      </w:pPr>
      <w:bookmarkStart w:id="152" w:name="_Toc2045663933_WPSOffice_Level1"/>
      <w:r>
        <w:rPr>
          <w:rFonts w:hint="eastAsia"/>
          <w:lang w:val="en-US" w:eastAsia="zh-CN"/>
        </w:rPr>
        <w:t>16  维护保养</w:t>
      </w:r>
      <w:bookmarkEnd w:id="152"/>
    </w:p>
    <w:p w14:paraId="283BB347">
      <w:pPr>
        <w:keepNext w:val="0"/>
        <w:keepLines w:val="0"/>
        <w:pageBreakBefore w:val="0"/>
        <w:widowControl w:val="0"/>
        <w:kinsoku/>
        <w:wordWrap/>
        <w:overflowPunct/>
        <w:topLinePunct w:val="0"/>
        <w:autoSpaceDE/>
        <w:autoSpaceDN/>
        <w:bidi w:val="0"/>
        <w:adjustRightInd/>
        <w:snapToGrid/>
        <w:spacing w:line="240" w:lineRule="auto"/>
        <w:ind w:right="0" w:firstLine="420" w:firstLineChars="200"/>
        <w:textAlignment w:val="auto"/>
        <w:rPr>
          <w:rStyle w:val="38"/>
          <w:rFonts w:hint="eastAsia" w:ascii="宋体" w:hAnsi="宋体" w:eastAsia="宋体" w:cs="宋体"/>
          <w:b w:val="0"/>
          <w:bCs w:val="0"/>
          <w:smallCaps w:val="0"/>
          <w:strike w:val="0"/>
          <w:dstrike w:val="0"/>
          <w:color w:val="auto"/>
          <w:sz w:val="21"/>
          <w:szCs w:val="21"/>
          <w:u w:val="none"/>
        </w:rPr>
      </w:pPr>
      <w:r>
        <w:rPr>
          <w:rFonts w:hint="eastAsia" w:ascii="宋体" w:hAnsi="宋体" w:eastAsia="宋体" w:cs="宋体"/>
          <w:b w:val="0"/>
          <w:bCs w:val="0"/>
          <w:strike w:val="0"/>
          <w:dstrike w:val="0"/>
          <w:color w:val="auto"/>
          <w:sz w:val="21"/>
          <w:szCs w:val="21"/>
        </w:rPr>
        <w:t>港区设备设施应定期维护保养，制定日常保养、定期保养等计划，报</w:t>
      </w:r>
      <w:r>
        <w:rPr>
          <w:rFonts w:hint="eastAsia" w:ascii="宋体" w:hAnsi="宋体" w:eastAsia="宋体" w:cs="宋体"/>
          <w:b w:val="0"/>
          <w:bCs w:val="0"/>
          <w:strike w:val="0"/>
          <w:dstrike w:val="0"/>
          <w:color w:val="auto"/>
          <w:sz w:val="21"/>
          <w:szCs w:val="21"/>
          <w:lang w:val="en-US" w:eastAsia="zh-CN"/>
        </w:rPr>
        <w:t>行业主管部门</w:t>
      </w:r>
      <w:r>
        <w:rPr>
          <w:rFonts w:hint="eastAsia" w:ascii="宋体" w:hAnsi="宋体" w:eastAsia="宋体" w:cs="宋体"/>
          <w:b w:val="0"/>
          <w:bCs w:val="0"/>
          <w:strike w:val="0"/>
          <w:dstrike w:val="0"/>
          <w:color w:val="auto"/>
          <w:sz w:val="21"/>
          <w:szCs w:val="21"/>
        </w:rPr>
        <w:t>备案。</w:t>
      </w:r>
    </w:p>
    <w:p w14:paraId="718FC1E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strike w:val="0"/>
          <w:dstrike w:val="0"/>
          <w:color w:val="auto"/>
          <w:sz w:val="21"/>
          <w:szCs w:val="21"/>
        </w:rPr>
      </w:pPr>
      <w:bookmarkStart w:id="153" w:name="_Toc1750735364_WPSOffice_Level2"/>
      <w:bookmarkStart w:id="154" w:name="_Toc135921627_WPSOffice_Level2"/>
      <w:bookmarkStart w:id="155" w:name="_Toc1493379601_WPSOffice_Level2"/>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w:t>
      </w:r>
      <w:r>
        <w:rPr>
          <w:rFonts w:hint="eastAsia" w:ascii="黑体" w:hAnsi="黑体" w:eastAsia="黑体" w:cs="黑体"/>
          <w:b w:val="0"/>
          <w:bCs w:val="0"/>
          <w:strike w:val="0"/>
          <w:dstrike w:val="0"/>
          <w:color w:val="auto"/>
          <w:sz w:val="21"/>
          <w:szCs w:val="21"/>
          <w:lang w:val="en-US" w:eastAsia="zh-CN"/>
        </w:rPr>
        <w:t xml:space="preserve"> </w:t>
      </w:r>
      <w:r>
        <w:rPr>
          <w:rFonts w:hint="eastAsia" w:ascii="黑体" w:hAnsi="黑体" w:eastAsia="黑体" w:cs="黑体"/>
          <w:b w:val="0"/>
          <w:bCs w:val="0"/>
          <w:strike w:val="0"/>
          <w:dstrike w:val="0"/>
          <w:color w:val="auto"/>
          <w:sz w:val="21"/>
          <w:szCs w:val="21"/>
        </w:rPr>
        <w:t>设备维护保养</w:t>
      </w:r>
      <w:bookmarkEnd w:id="153"/>
      <w:bookmarkEnd w:id="154"/>
      <w:bookmarkEnd w:id="155"/>
    </w:p>
    <w:p w14:paraId="1D319E99">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.1.1</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码头装卸船设备、堆场装卸设备及皮带机等应定期维护保养，每年维护保养不少于2次，并做好相关台账资料。</w:t>
      </w:r>
    </w:p>
    <w:p w14:paraId="0F93AF0B">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.1.2</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洗车装置应每月维护保养不少于1次，发生损坏时应1日内修复。</w:t>
      </w:r>
    </w:p>
    <w:p w14:paraId="2885581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.1.3</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视频监控设备应定期维护保养</w:t>
      </w:r>
      <w:r>
        <w:rPr>
          <w:rFonts w:hint="eastAsia" w:ascii="宋体" w:hAnsi="宋体" w:eastAsia="宋体" w:cs="宋体"/>
          <w:b w:val="0"/>
          <w:bCs w:val="0"/>
          <w:strike w:val="0"/>
          <w:dstrike w:val="0"/>
          <w:color w:val="auto"/>
          <w:sz w:val="21"/>
          <w:szCs w:val="21"/>
          <w:lang w:eastAsia="zh-CN"/>
        </w:rPr>
        <w:t>，</w:t>
      </w:r>
      <w:r>
        <w:rPr>
          <w:rFonts w:hint="eastAsia" w:ascii="宋体" w:hAnsi="宋体" w:eastAsia="宋体" w:cs="宋体"/>
          <w:b w:val="0"/>
          <w:bCs w:val="0"/>
          <w:strike w:val="0"/>
          <w:dstrike w:val="0"/>
          <w:color w:val="auto"/>
          <w:sz w:val="21"/>
          <w:szCs w:val="21"/>
        </w:rPr>
        <w:t>发生损坏时应1日内修复。</w:t>
      </w:r>
    </w:p>
    <w:p w14:paraId="764E541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.1.4</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扬尘监测设备应每周维护保养不少于1次，发生损坏时应1日内修复。</w:t>
      </w:r>
    </w:p>
    <w:p w14:paraId="75F1B3E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.1.5</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喷淋设备应每月维护保养不少于1次，发生破损时应1日内完成修复。</w:t>
      </w:r>
    </w:p>
    <w:p w14:paraId="5E146EE5">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.1.6</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清扫车辆应每季度维护保养不少于1次。</w:t>
      </w:r>
    </w:p>
    <w:p w14:paraId="396598C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.1.</w:t>
      </w:r>
      <w:r>
        <w:rPr>
          <w:rFonts w:hint="eastAsia" w:ascii="黑体" w:hAnsi="黑体" w:eastAsia="黑体" w:cs="黑体"/>
          <w:b w:val="0"/>
          <w:bCs w:val="0"/>
          <w:strike w:val="0"/>
          <w:dstrike w:val="0"/>
          <w:color w:val="auto"/>
          <w:sz w:val="21"/>
          <w:szCs w:val="21"/>
          <w:lang w:eastAsia="zh-CN"/>
        </w:rPr>
        <w:t>7</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港作车辆应每季度维护保养不少于1次。</w:t>
      </w:r>
    </w:p>
    <w:p w14:paraId="14D4AAA3">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val="en-US" w:eastAsia="zh-CN"/>
        </w:rPr>
        <w:t xml:space="preserve">16.1.8 </w:t>
      </w:r>
      <w:r>
        <w:rPr>
          <w:rFonts w:hint="eastAsia" w:ascii="宋体" w:hAnsi="宋体" w:eastAsia="宋体" w:cs="宋体"/>
          <w:b w:val="0"/>
          <w:bCs w:val="0"/>
          <w:strike w:val="0"/>
          <w:dstrike w:val="0"/>
          <w:color w:val="auto"/>
          <w:sz w:val="21"/>
          <w:szCs w:val="21"/>
        </w:rPr>
        <w:t>生产污水处理设备、生活污水处理设备、油污水处理设备等设备应定期维护保养，每季度维护保养不少于1次，损坏时应1日内完成修复。</w:t>
      </w:r>
    </w:p>
    <w:p w14:paraId="5FA594DA">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黑体" w:hAnsi="黑体" w:eastAsia="黑体" w:cs="黑体"/>
          <w:b w:val="0"/>
          <w:bCs w:val="0"/>
          <w:strike w:val="0"/>
          <w:dstrike w:val="0"/>
          <w:color w:val="auto"/>
          <w:sz w:val="21"/>
          <w:szCs w:val="21"/>
        </w:rPr>
      </w:pPr>
      <w:bookmarkStart w:id="156" w:name="_Toc1077070431_WPSOffice_Level2"/>
      <w:bookmarkStart w:id="157" w:name="_Toc1572895815_WPSOffice_Level2"/>
      <w:bookmarkStart w:id="158" w:name="_Toc1856478269_WPSOffice_Level2"/>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.2</w:t>
      </w:r>
      <w:r>
        <w:rPr>
          <w:rFonts w:hint="eastAsia" w:ascii="黑体" w:hAnsi="黑体" w:eastAsia="黑体" w:cs="黑体"/>
          <w:b w:val="0"/>
          <w:bCs w:val="0"/>
          <w:strike w:val="0"/>
          <w:dstrike w:val="0"/>
          <w:color w:val="auto"/>
          <w:sz w:val="21"/>
          <w:szCs w:val="21"/>
          <w:lang w:val="en-US" w:eastAsia="zh-CN"/>
        </w:rPr>
        <w:t xml:space="preserve"> </w:t>
      </w:r>
      <w:r>
        <w:rPr>
          <w:rFonts w:hint="eastAsia" w:ascii="黑体" w:hAnsi="黑体" w:eastAsia="黑体" w:cs="黑体"/>
          <w:b w:val="0"/>
          <w:bCs w:val="0"/>
          <w:strike w:val="0"/>
          <w:dstrike w:val="0"/>
          <w:color w:val="auto"/>
          <w:sz w:val="21"/>
          <w:szCs w:val="21"/>
        </w:rPr>
        <w:t>设施维护保养</w:t>
      </w:r>
      <w:bookmarkEnd w:id="156"/>
      <w:bookmarkEnd w:id="157"/>
      <w:bookmarkEnd w:id="158"/>
    </w:p>
    <w:p w14:paraId="492FE104">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.2.1</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堆场、道路等土建设施破损时应3日内完成修复。</w:t>
      </w:r>
    </w:p>
    <w:p w14:paraId="75050BB0">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.2.2</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防风抑尘网破损时应3日内完成修复。</w:t>
      </w:r>
    </w:p>
    <w:p w14:paraId="08EEA31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.2.3</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堆场、落料口等封闭设施破损时应3日内完成修复。</w:t>
      </w:r>
    </w:p>
    <w:p w14:paraId="309DAB88">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.2.4</w:t>
      </w:r>
      <w:r>
        <w:rPr>
          <w:rFonts w:hint="eastAsia" w:ascii="黑体" w:hAnsi="黑体" w:eastAsia="黑体" w:cs="黑体"/>
          <w:b w:val="0"/>
          <w:bCs w:val="0"/>
          <w:strike w:val="0"/>
          <w:dstrike w:val="0"/>
          <w:color w:val="auto"/>
          <w:sz w:val="21"/>
          <w:szCs w:val="21"/>
          <w:lang w:val="en-US" w:eastAsia="zh-CN"/>
        </w:rPr>
        <w:t xml:space="preserve"> </w:t>
      </w:r>
      <w:r>
        <w:rPr>
          <w:rFonts w:hint="eastAsia" w:ascii="宋体" w:hAnsi="宋体" w:eastAsia="宋体" w:cs="宋体"/>
          <w:b w:val="0"/>
          <w:bCs w:val="0"/>
          <w:strike w:val="0"/>
          <w:dstrike w:val="0"/>
          <w:color w:val="auto"/>
          <w:sz w:val="21"/>
          <w:szCs w:val="21"/>
        </w:rPr>
        <w:t>排水沟（管）、检查井、沉淀池、化粪池等设施应定期清理。排水沟（管）、检查井、沉淀池的淤积厚度不得超过总深度的1/3，应1日内完成清淤；化粪池应每年至少清理2次。</w:t>
      </w:r>
    </w:p>
    <w:p w14:paraId="1C02B95D">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r>
        <w:rPr>
          <w:rFonts w:hint="eastAsia" w:ascii="黑体" w:hAnsi="黑体" w:eastAsia="黑体" w:cs="黑体"/>
          <w:b w:val="0"/>
          <w:bCs w:val="0"/>
          <w:strike w:val="0"/>
          <w:dstrike w:val="0"/>
          <w:color w:val="auto"/>
          <w:sz w:val="21"/>
          <w:szCs w:val="21"/>
          <w:lang w:val="en-US" w:eastAsia="zh-CN"/>
        </w:rPr>
        <w:t xml:space="preserve">16.2.5 </w:t>
      </w:r>
      <w:r>
        <w:rPr>
          <w:rFonts w:hint="eastAsia" w:ascii="宋体" w:hAnsi="宋体" w:eastAsia="宋体" w:cs="宋体"/>
          <w:b w:val="0"/>
          <w:bCs w:val="0"/>
          <w:strike w:val="0"/>
          <w:dstrike w:val="0"/>
          <w:color w:val="auto"/>
          <w:sz w:val="21"/>
          <w:szCs w:val="21"/>
        </w:rPr>
        <w:t>船舶污染物接收设施应定期维护保养，损坏时3日内完成修复。</w:t>
      </w:r>
    </w:p>
    <w:p w14:paraId="4839AB3F">
      <w:pPr>
        <w:keepNext w:val="0"/>
        <w:keepLines w:val="0"/>
        <w:pageBreakBefore w:val="0"/>
        <w:widowControl w:val="0"/>
        <w:kinsoku/>
        <w:wordWrap/>
        <w:overflowPunct/>
        <w:topLinePunct w:val="0"/>
        <w:autoSpaceDE/>
        <w:autoSpaceDN/>
        <w:bidi w:val="0"/>
        <w:adjustRightInd/>
        <w:snapToGrid/>
        <w:spacing w:line="240" w:lineRule="auto"/>
        <w:ind w:right="0" w:firstLine="0" w:firstLineChars="0"/>
        <w:textAlignment w:val="auto"/>
        <w:rPr>
          <w:rFonts w:hint="eastAsia" w:ascii="宋体" w:hAnsi="宋体" w:eastAsia="宋体" w:cs="宋体"/>
          <w:b w:val="0"/>
          <w:bCs w:val="0"/>
          <w:strike w:val="0"/>
          <w:dstrike w:val="0"/>
          <w:color w:val="auto"/>
          <w:sz w:val="21"/>
          <w:szCs w:val="21"/>
        </w:rPr>
      </w:pPr>
      <w:bookmarkStart w:id="159" w:name="_Toc566223773_WPSOffice_Level2"/>
      <w:bookmarkStart w:id="160" w:name="_Toc1711893903_WPSOffice_Level2"/>
      <w:bookmarkStart w:id="161" w:name="_Toc870885419_WPSOffice_Level2"/>
      <w:r>
        <w:rPr>
          <w:rFonts w:hint="eastAsia" w:ascii="黑体" w:hAnsi="黑体" w:eastAsia="黑体" w:cs="黑体"/>
          <w:b w:val="0"/>
          <w:bCs w:val="0"/>
          <w:strike w:val="0"/>
          <w:dstrike w:val="0"/>
          <w:color w:val="auto"/>
          <w:sz w:val="21"/>
          <w:szCs w:val="21"/>
          <w:lang w:eastAsia="zh-CN"/>
        </w:rPr>
        <w:t>1</w:t>
      </w:r>
      <w:r>
        <w:rPr>
          <w:rFonts w:hint="eastAsia" w:ascii="黑体" w:hAnsi="黑体" w:eastAsia="黑体" w:cs="黑体"/>
          <w:b w:val="0"/>
          <w:bCs w:val="0"/>
          <w:strike w:val="0"/>
          <w:dstrike w:val="0"/>
          <w:color w:val="auto"/>
          <w:sz w:val="21"/>
          <w:szCs w:val="21"/>
          <w:lang w:val="en-US" w:eastAsia="zh-CN"/>
        </w:rPr>
        <w:t>6</w:t>
      </w:r>
      <w:r>
        <w:rPr>
          <w:rFonts w:hint="eastAsia" w:ascii="黑体" w:hAnsi="黑体" w:eastAsia="黑体" w:cs="黑体"/>
          <w:b w:val="0"/>
          <w:bCs w:val="0"/>
          <w:strike w:val="0"/>
          <w:dstrike w:val="0"/>
          <w:color w:val="auto"/>
          <w:sz w:val="21"/>
          <w:szCs w:val="21"/>
        </w:rPr>
        <w:t>.</w:t>
      </w:r>
      <w:r>
        <w:rPr>
          <w:rFonts w:hint="eastAsia" w:ascii="黑体" w:hAnsi="黑体" w:eastAsia="黑体" w:cs="黑体"/>
          <w:b w:val="0"/>
          <w:bCs w:val="0"/>
          <w:strike w:val="0"/>
          <w:dstrike w:val="0"/>
          <w:color w:val="auto"/>
          <w:sz w:val="21"/>
          <w:szCs w:val="21"/>
          <w:lang w:val="en-US" w:eastAsia="zh-CN"/>
        </w:rPr>
        <w:t>3</w:t>
      </w:r>
      <w:r>
        <w:rPr>
          <w:rFonts w:hint="eastAsia" w:ascii="宋体" w:hAnsi="宋体" w:eastAsia="宋体" w:cs="宋体"/>
          <w:b w:val="0"/>
          <w:bCs w:val="0"/>
          <w:strike w:val="0"/>
          <w:dstrike w:val="0"/>
          <w:color w:val="auto"/>
          <w:sz w:val="21"/>
          <w:szCs w:val="21"/>
        </w:rPr>
        <w:t xml:space="preserve"> 港口企业应建立设备设施维护保养台账。</w:t>
      </w:r>
      <w:bookmarkEnd w:id="159"/>
      <w:bookmarkEnd w:id="160"/>
      <w:bookmarkEnd w:id="161"/>
    </w:p>
    <w:p w14:paraId="0205551F">
      <w:pPr>
        <w:pStyle w:val="2"/>
        <w:bidi w:val="0"/>
        <w:rPr>
          <w:rFonts w:hint="eastAsia"/>
          <w:lang w:val="en-US" w:eastAsia="zh-CN"/>
        </w:rPr>
      </w:pPr>
      <w:bookmarkStart w:id="162" w:name="_Toc1209599561_WPSOffice_Level1"/>
      <w:r>
        <w:rPr>
          <w:rFonts w:hint="eastAsia"/>
          <w:lang w:val="en-US" w:eastAsia="zh-CN"/>
        </w:rPr>
        <w:t>17  固体废物</w:t>
      </w:r>
      <w:bookmarkEnd w:id="162"/>
    </w:p>
    <w:p w14:paraId="1D2AEB73">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17.1 </w:t>
      </w:r>
      <w:r>
        <w:rPr>
          <w:rFonts w:hint="eastAsia" w:ascii="宋体" w:hAnsi="宋体" w:eastAsia="宋体" w:cs="宋体"/>
          <w:b w:val="0"/>
          <w:bCs w:val="0"/>
          <w:color w:val="auto"/>
          <w:sz w:val="21"/>
          <w:szCs w:val="21"/>
          <w:lang w:eastAsia="zh-CN" w:bidi="ar-SA"/>
        </w:rPr>
        <w:t>港口码头应</w:t>
      </w:r>
      <w:r>
        <w:rPr>
          <w:rFonts w:hint="eastAsia" w:cs="宋体"/>
          <w:b w:val="0"/>
          <w:bCs w:val="0"/>
          <w:color w:val="auto"/>
          <w:sz w:val="21"/>
          <w:szCs w:val="21"/>
          <w:lang w:val="en-US" w:eastAsia="zh-CN" w:bidi="ar-SA"/>
        </w:rPr>
        <w:t>在办公区、生活区配备</w:t>
      </w:r>
      <w:r>
        <w:rPr>
          <w:rFonts w:hint="eastAsia" w:ascii="宋体" w:hAnsi="宋体" w:eastAsia="宋体" w:cs="宋体"/>
          <w:b w:val="0"/>
          <w:bCs w:val="0"/>
          <w:color w:val="auto"/>
          <w:sz w:val="21"/>
          <w:szCs w:val="21"/>
          <w:lang w:eastAsia="zh-CN" w:bidi="ar-SA"/>
        </w:rPr>
        <w:t>生活垃圾</w:t>
      </w:r>
      <w:r>
        <w:rPr>
          <w:rFonts w:hint="eastAsia" w:cs="宋体"/>
          <w:b w:val="0"/>
          <w:bCs w:val="0"/>
          <w:color w:val="auto"/>
          <w:sz w:val="21"/>
          <w:szCs w:val="21"/>
          <w:lang w:val="en-US" w:eastAsia="zh-CN" w:bidi="ar-SA"/>
        </w:rPr>
        <w:t>分类</w:t>
      </w:r>
      <w:r>
        <w:rPr>
          <w:rFonts w:hint="eastAsia" w:ascii="宋体" w:hAnsi="宋体" w:eastAsia="宋体" w:cs="宋体"/>
          <w:b w:val="0"/>
          <w:bCs w:val="0"/>
          <w:color w:val="auto"/>
          <w:sz w:val="21"/>
          <w:szCs w:val="21"/>
          <w:lang w:eastAsia="zh-CN" w:bidi="ar-SA"/>
        </w:rPr>
        <w:t>收集设施。</w:t>
      </w:r>
    </w:p>
    <w:p w14:paraId="09869089">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17.2 </w:t>
      </w:r>
      <w:r>
        <w:rPr>
          <w:rFonts w:hint="eastAsia" w:ascii="宋体" w:hAnsi="宋体" w:eastAsia="宋体" w:cs="宋体"/>
          <w:b w:val="0"/>
          <w:bCs w:val="0"/>
          <w:color w:val="auto"/>
          <w:sz w:val="21"/>
          <w:szCs w:val="21"/>
          <w:lang w:eastAsia="zh-CN" w:bidi="ar-SA"/>
        </w:rPr>
        <w:t xml:space="preserve">生活垃圾应日产日清，垃圾收集区域应无暴露、积存垃圾。 </w:t>
      </w:r>
    </w:p>
    <w:p w14:paraId="1B1A50FC">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17.3 </w:t>
      </w:r>
      <w:r>
        <w:rPr>
          <w:rFonts w:hint="eastAsia" w:ascii="宋体" w:hAnsi="宋体" w:eastAsia="宋体" w:cs="宋体"/>
          <w:b w:val="0"/>
          <w:bCs w:val="0"/>
          <w:color w:val="auto"/>
          <w:sz w:val="21"/>
          <w:szCs w:val="21"/>
          <w:lang w:eastAsia="zh-CN" w:bidi="ar-SA"/>
        </w:rPr>
        <w:t>按规定鉴别属于危险废物的固体废物，其贮存和处置应符合GB 18597的有关规定。</w:t>
      </w:r>
    </w:p>
    <w:p w14:paraId="26AF2F21">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17.4 </w:t>
      </w:r>
      <w:r>
        <w:rPr>
          <w:rFonts w:hint="eastAsia" w:ascii="宋体" w:hAnsi="宋体" w:eastAsia="宋体" w:cs="宋体"/>
          <w:b w:val="0"/>
          <w:bCs w:val="0"/>
          <w:color w:val="auto"/>
          <w:sz w:val="21"/>
          <w:szCs w:val="21"/>
          <w:lang w:eastAsia="zh-CN" w:bidi="ar-SA"/>
        </w:rPr>
        <w:t xml:space="preserve">设有机修车间的码头应设置废油、油泥、废旧蓄电池等危废临时贮存设施，不得擅自倾倒、堆放。 </w:t>
      </w:r>
    </w:p>
    <w:p w14:paraId="0DF8DAE5">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17.5 </w:t>
      </w:r>
      <w:r>
        <w:rPr>
          <w:rFonts w:hint="eastAsia" w:ascii="宋体" w:hAnsi="宋体" w:eastAsia="宋体" w:cs="宋体"/>
          <w:b w:val="0"/>
          <w:bCs w:val="0"/>
          <w:color w:val="auto"/>
          <w:sz w:val="21"/>
          <w:szCs w:val="21"/>
          <w:lang w:eastAsia="zh-CN" w:bidi="ar-SA"/>
        </w:rPr>
        <w:t>禁止将危险废物提供或者委托给无许可证的单位或者其他生产经营者从事收集、贮存、利用、处置活动。</w:t>
      </w:r>
    </w:p>
    <w:p w14:paraId="00BA2F64">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17.6</w:t>
      </w:r>
      <w:r>
        <w:rPr>
          <w:rFonts w:hint="eastAsia" w:ascii="宋体" w:hAnsi="宋体" w:eastAsia="宋体" w:cs="宋体"/>
          <w:b w:val="0"/>
          <w:bCs w:val="0"/>
          <w:color w:val="auto"/>
          <w:sz w:val="21"/>
          <w:szCs w:val="21"/>
          <w:lang w:eastAsia="zh-CN" w:bidi="ar-SA"/>
        </w:rPr>
        <w:t xml:space="preserve"> 码头应与</w:t>
      </w:r>
      <w:r>
        <w:rPr>
          <w:rFonts w:hint="eastAsia" w:cs="宋体"/>
          <w:b w:val="0"/>
          <w:bCs w:val="0"/>
          <w:color w:val="auto"/>
          <w:sz w:val="21"/>
          <w:szCs w:val="21"/>
          <w:lang w:val="en-US" w:eastAsia="zh-CN" w:bidi="ar-SA"/>
        </w:rPr>
        <w:t>有</w:t>
      </w:r>
      <w:r>
        <w:rPr>
          <w:rFonts w:hint="eastAsia" w:ascii="宋体" w:hAnsi="宋体" w:eastAsia="宋体" w:cs="宋体"/>
          <w:b w:val="0"/>
          <w:bCs w:val="0"/>
          <w:color w:val="auto"/>
          <w:sz w:val="21"/>
          <w:szCs w:val="21"/>
          <w:lang w:eastAsia="zh-CN" w:bidi="ar-SA"/>
        </w:rPr>
        <w:t xml:space="preserve">资质单位签订垃圾、危险废物清运协议并定期清运。 </w:t>
      </w:r>
    </w:p>
    <w:p w14:paraId="4271BC3F">
      <w:pPr>
        <w:pStyle w:val="2"/>
        <w:bidi w:val="0"/>
        <w:rPr>
          <w:rFonts w:hint="eastAsia"/>
          <w:lang w:val="en-US" w:eastAsia="zh-CN"/>
        </w:rPr>
      </w:pPr>
      <w:bookmarkStart w:id="163" w:name="_Toc1139667437_WPSOffice_Level1"/>
      <w:r>
        <w:rPr>
          <w:rFonts w:hint="eastAsia"/>
          <w:lang w:val="en-US" w:eastAsia="zh-CN"/>
        </w:rPr>
        <w:t>18  噪声</w:t>
      </w:r>
      <w:bookmarkEnd w:id="163"/>
    </w:p>
    <w:p w14:paraId="004D8E2C">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default" w:ascii="宋体" w:hAnsi="宋体" w:eastAsia="宋体" w:cs="宋体"/>
          <w:b w:val="0"/>
          <w:bCs w:val="0"/>
          <w:color w:val="auto"/>
          <w:sz w:val="21"/>
          <w:szCs w:val="21"/>
          <w:lang w:val="en-US" w:eastAsia="zh-CN" w:bidi="ar-SA"/>
        </w:rPr>
      </w:pPr>
      <w:r>
        <w:rPr>
          <w:rFonts w:hint="eastAsia" w:ascii="黑体" w:hAnsi="黑体" w:eastAsia="黑体" w:cs="黑体"/>
          <w:b w:val="0"/>
          <w:bCs w:val="0"/>
          <w:color w:val="auto"/>
          <w:kern w:val="2"/>
          <w:sz w:val="21"/>
          <w:szCs w:val="21"/>
          <w:lang w:val="en-US" w:eastAsia="zh-CN" w:bidi="ar-SA"/>
        </w:rPr>
        <w:t>18.1</w:t>
      </w:r>
      <w:r>
        <w:rPr>
          <w:rFonts w:hint="eastAsia" w:ascii="宋体" w:hAnsi="宋体" w:eastAsia="宋体" w:cs="宋体"/>
          <w:b w:val="0"/>
          <w:bCs w:val="0"/>
          <w:color w:val="auto"/>
          <w:sz w:val="21"/>
          <w:szCs w:val="21"/>
          <w:lang w:eastAsia="zh-CN" w:bidi="ar-SA"/>
        </w:rPr>
        <w:t xml:space="preserve"> 码头噪声排放应符合GB 12348的有关规定。 </w:t>
      </w:r>
    </w:p>
    <w:p w14:paraId="4CD89B13">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 xml:space="preserve">18.2 </w:t>
      </w:r>
      <w:r>
        <w:rPr>
          <w:rFonts w:hint="eastAsia" w:ascii="宋体" w:hAnsi="宋体" w:eastAsia="宋体" w:cs="宋体"/>
          <w:b w:val="0"/>
          <w:bCs w:val="0"/>
          <w:color w:val="auto"/>
          <w:sz w:val="21"/>
          <w:szCs w:val="21"/>
          <w:lang w:eastAsia="zh-CN" w:bidi="ar-SA"/>
        </w:rPr>
        <w:t xml:space="preserve">对超过噪声排放标准或高噪声的设备和区域应采取隔声罩、隔声间、隔声屏障等降低噪声的措施。 </w:t>
      </w:r>
    </w:p>
    <w:p w14:paraId="72A8E3B8">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eastAsia="zh-CN" w:bidi="ar-SA"/>
        </w:rPr>
      </w:pPr>
      <w:r>
        <w:rPr>
          <w:rFonts w:hint="eastAsia" w:ascii="黑体" w:hAnsi="黑体" w:eastAsia="黑体" w:cs="黑体"/>
          <w:b w:val="0"/>
          <w:bCs w:val="0"/>
          <w:color w:val="auto"/>
          <w:kern w:val="2"/>
          <w:sz w:val="21"/>
          <w:szCs w:val="21"/>
          <w:lang w:val="en-US" w:eastAsia="zh-CN" w:bidi="ar-SA"/>
        </w:rPr>
        <w:t>18.3</w:t>
      </w:r>
      <w:r>
        <w:rPr>
          <w:rFonts w:hint="eastAsia" w:ascii="宋体" w:hAnsi="宋体" w:eastAsia="宋体" w:cs="宋体"/>
          <w:b w:val="0"/>
          <w:bCs w:val="0"/>
          <w:color w:val="auto"/>
          <w:sz w:val="21"/>
          <w:szCs w:val="21"/>
          <w:lang w:eastAsia="zh-CN" w:bidi="ar-SA"/>
        </w:rPr>
        <w:t xml:space="preserve"> 产生振动的机械设备应采取防振或减振措施。</w:t>
      </w:r>
    </w:p>
    <w:p w14:paraId="352A6759">
      <w:pPr>
        <w:pStyle w:val="40"/>
        <w:keepNext w:val="0"/>
        <w:keepLines w:val="0"/>
        <w:pageBreakBefore w:val="0"/>
        <w:widowControl w:val="0"/>
        <w:tabs>
          <w:tab w:val="left" w:pos="953"/>
          <w:tab w:val="left" w:pos="954"/>
        </w:tabs>
        <w:kinsoku/>
        <w:wordWrap/>
        <w:overflowPunct/>
        <w:topLinePunct w:val="0"/>
        <w:autoSpaceDE/>
        <w:autoSpaceDN/>
        <w:bidi w:val="0"/>
        <w:adjustRightInd/>
        <w:snapToGrid/>
        <w:spacing w:line="240" w:lineRule="auto"/>
        <w:ind w:left="0" w:right="0" w:firstLine="0" w:firstLineChars="0"/>
        <w:jc w:val="left"/>
        <w:textAlignment w:val="auto"/>
        <w:rPr>
          <w:rFonts w:hint="eastAsia" w:ascii="宋体" w:hAnsi="宋体" w:eastAsia="宋体" w:cs="宋体"/>
          <w:b w:val="0"/>
          <w:bCs w:val="0"/>
          <w:color w:val="auto"/>
          <w:sz w:val="21"/>
          <w:szCs w:val="21"/>
          <w:lang w:val="en-US" w:eastAsia="zh-CN" w:bidi="ar-SA"/>
        </w:rPr>
      </w:pPr>
      <w:r>
        <w:rPr>
          <w:rFonts w:hint="eastAsia" w:ascii="黑体" w:hAnsi="黑体" w:eastAsia="黑体" w:cs="黑体"/>
          <w:b w:val="0"/>
          <w:bCs w:val="0"/>
          <w:color w:val="auto"/>
          <w:kern w:val="2"/>
          <w:sz w:val="21"/>
          <w:szCs w:val="21"/>
          <w:lang w:val="en-US" w:eastAsia="zh-CN" w:bidi="ar-SA"/>
        </w:rPr>
        <w:t xml:space="preserve">18.4 </w:t>
      </w:r>
      <w:r>
        <w:rPr>
          <w:rFonts w:hint="eastAsia" w:ascii="宋体" w:hAnsi="宋体" w:eastAsia="宋体" w:cs="宋体"/>
          <w:b w:val="0"/>
          <w:bCs w:val="0"/>
          <w:color w:val="auto"/>
          <w:sz w:val="21"/>
          <w:szCs w:val="21"/>
          <w:lang w:eastAsia="zh-CN" w:bidi="ar-SA"/>
        </w:rPr>
        <w:t>在港口指挥作业时使用广播喇叭的，应当控制音量，减轻噪声污染。</w:t>
      </w:r>
    </w:p>
    <w:p w14:paraId="70FCEF01">
      <w:pPr>
        <w:spacing w:line="240" w:lineRule="auto"/>
        <w:jc w:val="center"/>
        <w:outlineLvl w:val="0"/>
        <w:rPr>
          <w:rFonts w:hint="eastAsia" w:ascii="黑体" w:hAnsi="黑体" w:eastAsia="黑体" w:cs="黑体"/>
          <w:b w:val="0"/>
          <w:bCs w:val="0"/>
          <w:color w:val="FF0000"/>
          <w:sz w:val="21"/>
          <w:szCs w:val="21"/>
          <w:lang w:val="en-US" w:eastAsia="zh-CN"/>
        </w:rPr>
        <w:sectPr>
          <w:footerReference r:id="rId7" w:type="default"/>
          <w:pgSz w:w="11850" w:h="16783"/>
          <w:pgMar w:top="2154" w:right="1474" w:bottom="2041" w:left="1587" w:header="851" w:footer="737" w:gutter="0"/>
          <w:pgNumType w:fmt="decimal" w:start="1"/>
          <w:cols w:space="720" w:num="1"/>
          <w:docGrid w:type="lines" w:linePitch="312" w:charSpace="0"/>
        </w:sectPr>
      </w:pPr>
    </w:p>
    <w:p w14:paraId="31CA0C7D">
      <w:pPr>
        <w:pStyle w:val="4"/>
        <w:bidi w:val="0"/>
        <w:ind w:firstLine="0"/>
        <w:rPr>
          <w:rFonts w:hint="eastAsia" w:ascii="黑体" w:hAnsi="黑体" w:eastAsia="黑体" w:cs="黑体"/>
          <w:b w:val="0"/>
          <w:bCs/>
          <w:lang w:val="en-US" w:eastAsia="zh-CN"/>
        </w:rPr>
      </w:pPr>
      <w:bookmarkStart w:id="164" w:name="_Toc1253616977_WPSOffice_Level1"/>
      <w:r>
        <w:rPr>
          <w:rFonts w:hint="eastAsia" w:ascii="黑体" w:hAnsi="黑体" w:eastAsia="黑体" w:cs="黑体"/>
          <w:b w:val="0"/>
          <w:bCs/>
          <w:lang w:val="en-US" w:eastAsia="zh-CN"/>
        </w:rPr>
        <w:t>附录A</w:t>
      </w:r>
    </w:p>
    <w:p w14:paraId="717FD9E1">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64"/>
    </w:p>
    <w:p w14:paraId="5E406215">
      <w:pPr>
        <w:keepNext w:val="0"/>
        <w:keepLines w:val="0"/>
        <w:pageBreakBefore w:val="0"/>
        <w:widowControl w:val="0"/>
        <w:kinsoku/>
        <w:wordWrap/>
        <w:overflowPunct/>
        <w:topLinePunct w:val="0"/>
        <w:autoSpaceDE/>
        <w:autoSpaceDN/>
        <w:bidi w:val="0"/>
        <w:adjustRightInd/>
        <w:spacing w:after="157" w:afterLines="50" w:line="240" w:lineRule="auto"/>
        <w:ind w:firstLine="2940" w:firstLineChars="1400"/>
        <w:textAlignment w:val="auto"/>
        <w:rPr>
          <w:rFonts w:hint="eastAsia" w:ascii="黑体" w:hAnsi="黑体" w:eastAsia="黑体" w:cs="黑体"/>
          <w:b w:val="0"/>
          <w:bCs/>
          <w:lang w:val="en-US" w:eastAsia="zh-CN"/>
        </w:rPr>
      </w:pPr>
      <w:r>
        <w:rPr>
          <w:rFonts w:hint="eastAsia" w:ascii="黑体" w:hAnsi="黑体" w:eastAsia="黑体" w:cs="黑体"/>
          <w:b w:val="0"/>
          <w:bCs/>
          <w:color w:val="000000"/>
          <w:sz w:val="21"/>
          <w:szCs w:val="21"/>
        </w:rPr>
        <w:t>港口大气污染防治设施检查指南</w:t>
      </w:r>
    </w:p>
    <w:p w14:paraId="45926603">
      <w:pPr>
        <w:keepNext w:val="0"/>
        <w:keepLines w:val="0"/>
        <w:pageBreakBefore w:val="0"/>
        <w:widowControl w:val="0"/>
        <w:kinsoku/>
        <w:wordWrap/>
        <w:overflowPunct/>
        <w:topLinePunct w:val="0"/>
        <w:autoSpaceDE/>
        <w:autoSpaceDN/>
        <w:bidi w:val="0"/>
        <w:adjustRightInd/>
        <w:spacing w:after="157" w:afterLines="50" w:line="240" w:lineRule="auto"/>
        <w:jc w:val="both"/>
        <w:textAlignment w:val="auto"/>
        <w:outlineLvl w:val="0"/>
        <w:rPr>
          <w:rFonts w:hint="eastAsia" w:ascii="宋体" w:hAnsi="宋体" w:cs="宋体"/>
          <w:b w:val="0"/>
          <w:bCs w:val="0"/>
          <w:color w:val="000000"/>
          <w:sz w:val="21"/>
          <w:szCs w:val="21"/>
          <w:lang w:val="en-US" w:eastAsia="zh-CN"/>
        </w:rPr>
      </w:pPr>
      <w:bookmarkStart w:id="165" w:name="_Toc798008634_WPSOffice_Level2"/>
      <w:bookmarkStart w:id="166" w:name="_Toc887098384_WPSOffice_Level1"/>
      <w:r>
        <w:rPr>
          <w:rFonts w:hint="eastAsia" w:ascii="宋体" w:hAnsi="宋体" w:eastAsia="宋体" w:cs="宋体"/>
          <w:b w:val="0"/>
          <w:bCs w:val="0"/>
          <w:color w:val="000000"/>
          <w:sz w:val="21"/>
          <w:szCs w:val="21"/>
        </w:rPr>
        <w:t>港口大气污染防治设施检查指南</w:t>
      </w:r>
      <w:bookmarkEnd w:id="165"/>
      <w:bookmarkEnd w:id="166"/>
      <w:r>
        <w:rPr>
          <w:rFonts w:hint="eastAsia" w:ascii="宋体" w:hAnsi="宋体" w:cs="宋体"/>
          <w:b w:val="0"/>
          <w:bCs w:val="0"/>
          <w:color w:val="000000"/>
          <w:sz w:val="21"/>
          <w:szCs w:val="21"/>
          <w:lang w:eastAsia="zh-CN"/>
        </w:rPr>
        <w:t>见表</w:t>
      </w:r>
      <w:r>
        <w:rPr>
          <w:rFonts w:hint="eastAsia" w:ascii="宋体" w:hAnsi="宋体" w:cs="宋体"/>
          <w:b w:val="0"/>
          <w:bCs w:val="0"/>
          <w:color w:val="000000"/>
          <w:sz w:val="21"/>
          <w:szCs w:val="21"/>
          <w:lang w:val="en-US" w:eastAsia="zh-CN"/>
        </w:rPr>
        <w:t>A.1。</w:t>
      </w:r>
    </w:p>
    <w:p w14:paraId="660D047F">
      <w:pPr>
        <w:pStyle w:val="2"/>
        <w:keepNext w:val="0"/>
        <w:keepLines w:val="0"/>
        <w:pageBreakBefore w:val="0"/>
        <w:widowControl w:val="0"/>
        <w:kinsoku/>
        <w:wordWrap/>
        <w:overflowPunct/>
        <w:topLinePunct w:val="0"/>
        <w:autoSpaceDE/>
        <w:autoSpaceDN/>
        <w:bidi w:val="0"/>
        <w:adjustRightInd/>
        <w:spacing w:after="157" w:afterLines="50" w:line="240" w:lineRule="auto"/>
        <w:jc w:val="center"/>
        <w:textAlignment w:val="auto"/>
        <w:rPr>
          <w:rFonts w:hint="eastAsia" w:ascii="黑体" w:hAnsi="黑体" w:eastAsia="黑体" w:cs="黑体"/>
          <w:b w:val="0"/>
          <w:bCs w:val="0"/>
          <w:lang w:val="en-US" w:eastAsia="zh-CN"/>
        </w:rPr>
      </w:pPr>
      <w:r>
        <w:rPr>
          <w:rFonts w:hint="eastAsia" w:ascii="黑体" w:hAnsi="黑体" w:eastAsia="黑体" w:cs="黑体"/>
          <w:b w:val="0"/>
          <w:bCs w:val="0"/>
          <w:color w:val="000000"/>
          <w:sz w:val="21"/>
          <w:szCs w:val="21"/>
          <w:lang w:eastAsia="zh-CN"/>
        </w:rPr>
        <w:t>表</w:t>
      </w:r>
      <w:r>
        <w:rPr>
          <w:rFonts w:hint="eastAsia" w:ascii="黑体" w:hAnsi="黑体" w:eastAsia="黑体" w:cs="黑体"/>
          <w:b w:val="0"/>
          <w:bCs w:val="0"/>
          <w:color w:val="000000"/>
          <w:sz w:val="21"/>
          <w:szCs w:val="21"/>
          <w:lang w:val="en-US" w:eastAsia="zh-CN"/>
        </w:rPr>
        <w:t>A.1</w:t>
      </w:r>
      <w:r>
        <w:rPr>
          <w:rFonts w:hint="eastAsia" w:ascii="黑体" w:hAnsi="黑体" w:eastAsia="黑体" w:cs="黑体"/>
          <w:b w:val="0"/>
          <w:bCs w:val="0"/>
          <w:color w:val="000000"/>
          <w:sz w:val="21"/>
          <w:szCs w:val="21"/>
        </w:rPr>
        <w:t>港口大气污染防治设施检查指南</w:t>
      </w:r>
    </w:p>
    <w:tbl>
      <w:tblPr>
        <w:tblStyle w:val="15"/>
        <w:tblW w:w="96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3"/>
        <w:gridCol w:w="1838"/>
        <w:gridCol w:w="7029"/>
      </w:tblGrid>
      <w:tr w14:paraId="1E913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blHeader/>
          <w:jc w:val="center"/>
        </w:trPr>
        <w:tc>
          <w:tcPr>
            <w:tcW w:w="783" w:type="dxa"/>
            <w:noWrap w:val="0"/>
            <w:vAlign w:val="center"/>
          </w:tcPr>
          <w:p w14:paraId="0771A1DF">
            <w:pPr>
              <w:tabs>
                <w:tab w:val="center" w:pos="122"/>
              </w:tabs>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序号</w:t>
            </w:r>
          </w:p>
        </w:tc>
        <w:tc>
          <w:tcPr>
            <w:tcW w:w="1838" w:type="dxa"/>
            <w:tcBorders>
              <w:right w:val="single" w:color="auto" w:sz="4" w:space="0"/>
            </w:tcBorders>
            <w:noWrap w:val="0"/>
            <w:vAlign w:val="center"/>
          </w:tcPr>
          <w:p w14:paraId="1393034F">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项目</w:t>
            </w:r>
          </w:p>
        </w:tc>
        <w:tc>
          <w:tcPr>
            <w:tcW w:w="7029" w:type="dxa"/>
            <w:noWrap w:val="0"/>
            <w:vAlign w:val="center"/>
          </w:tcPr>
          <w:p w14:paraId="03201A53">
            <w:pPr>
              <w:spacing w:line="400" w:lineRule="exact"/>
              <w:ind w:firstLine="360" w:firstLineChars="200"/>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检查内容</w:t>
            </w:r>
          </w:p>
        </w:tc>
      </w:tr>
      <w:tr w14:paraId="0A7B7E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8" w:hRule="atLeast"/>
          <w:jc w:val="center"/>
        </w:trPr>
        <w:tc>
          <w:tcPr>
            <w:tcW w:w="783" w:type="dxa"/>
            <w:noWrap w:val="0"/>
            <w:vAlign w:val="center"/>
          </w:tcPr>
          <w:p w14:paraId="3D61E8F3">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w:t>
            </w:r>
          </w:p>
        </w:tc>
        <w:tc>
          <w:tcPr>
            <w:tcW w:w="1838" w:type="dxa"/>
            <w:tcBorders>
              <w:right w:val="single" w:color="auto" w:sz="4" w:space="0"/>
            </w:tcBorders>
            <w:noWrap w:val="0"/>
            <w:vAlign w:val="center"/>
          </w:tcPr>
          <w:p w14:paraId="00A11329">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功能分区</w:t>
            </w:r>
          </w:p>
        </w:tc>
        <w:tc>
          <w:tcPr>
            <w:tcW w:w="7029" w:type="dxa"/>
            <w:noWrap w:val="0"/>
            <w:vAlign w:val="center"/>
          </w:tcPr>
          <w:p w14:paraId="29CF1935">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1、设置环保标识牌，公示码头平面布置图和防污染设施一览表。</w:t>
            </w:r>
          </w:p>
          <w:p w14:paraId="442A565C">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2、堆场范围明确标示并设置隔离设施。</w:t>
            </w:r>
          </w:p>
          <w:p w14:paraId="508AF78A">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3、货物堆存于堆场区域内，严禁占压道路、排水系统等设施。</w:t>
            </w:r>
          </w:p>
        </w:tc>
      </w:tr>
      <w:tr w14:paraId="2B032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2" w:hRule="atLeast"/>
          <w:jc w:val="center"/>
        </w:trPr>
        <w:tc>
          <w:tcPr>
            <w:tcW w:w="783" w:type="dxa"/>
            <w:noWrap w:val="0"/>
            <w:vAlign w:val="center"/>
          </w:tcPr>
          <w:p w14:paraId="778D9E71">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w:t>
            </w:r>
          </w:p>
        </w:tc>
        <w:tc>
          <w:tcPr>
            <w:tcW w:w="1838" w:type="dxa"/>
            <w:tcBorders>
              <w:right w:val="single" w:color="auto" w:sz="4" w:space="0"/>
            </w:tcBorders>
            <w:noWrap w:val="0"/>
            <w:vAlign w:val="center"/>
          </w:tcPr>
          <w:p w14:paraId="48F9ECF4">
            <w:pPr>
              <w:spacing w:line="400" w:lineRule="exact"/>
              <w:jc w:val="center"/>
              <w:rPr>
                <w:rFonts w:hint="eastAsia" w:ascii="宋体" w:hAnsi="宋体" w:eastAsia="宋体" w:cs="宋体"/>
                <w:b w:val="0"/>
                <w:bCs w:val="0"/>
                <w:color w:val="auto"/>
                <w:sz w:val="18"/>
                <w:szCs w:val="18"/>
                <w:lang w:val="en-US" w:eastAsia="zh-CN"/>
              </w:rPr>
            </w:pPr>
            <w:r>
              <w:rPr>
                <w:rFonts w:hint="eastAsia" w:ascii="宋体" w:hAnsi="宋体" w:eastAsia="宋体" w:cs="宋体"/>
                <w:b w:val="0"/>
                <w:bCs w:val="0"/>
                <w:color w:val="auto"/>
                <w:sz w:val="18"/>
                <w:szCs w:val="18"/>
              </w:rPr>
              <w:t>封闭</w:t>
            </w:r>
            <w:r>
              <w:rPr>
                <w:rFonts w:hint="eastAsia" w:ascii="宋体" w:hAnsi="宋体" w:eastAsia="宋体" w:cs="宋体"/>
                <w:b w:val="0"/>
                <w:bCs w:val="0"/>
                <w:color w:val="auto"/>
                <w:sz w:val="18"/>
                <w:szCs w:val="18"/>
                <w:lang w:eastAsia="zh-CN"/>
              </w:rPr>
              <w:t>设施</w:t>
            </w:r>
          </w:p>
          <w:p w14:paraId="3AF9E72D">
            <w:pPr>
              <w:pStyle w:val="18"/>
              <w:rPr>
                <w:rFonts w:hint="eastAsia" w:ascii="宋体" w:hAnsi="宋体" w:eastAsia="宋体" w:cs="宋体"/>
                <w:b w:val="0"/>
                <w:bCs w:val="0"/>
                <w:sz w:val="18"/>
                <w:szCs w:val="18"/>
              </w:rPr>
            </w:pPr>
          </w:p>
        </w:tc>
        <w:tc>
          <w:tcPr>
            <w:tcW w:w="7029" w:type="dxa"/>
            <w:noWrap w:val="0"/>
            <w:vAlign w:val="center"/>
          </w:tcPr>
          <w:p w14:paraId="47E44B75">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1、散货堆场落料口全封闭；皮带机全封闭；装船机装船、皮带机装船的落料口应配置伸缩溜筒及防尘帘。抓斗卸船时配备移动漏斗。</w:t>
            </w:r>
          </w:p>
          <w:p w14:paraId="33E1DCF0">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2、散货堆场四周按规定设置防风抑尘网。</w:t>
            </w:r>
          </w:p>
          <w:p w14:paraId="156B3616">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3、露天散货堆场堆垛全部苫盖并用重物压实，堆垛规范整齐、美观、易苫盖。苫盖网满足规定要求。</w:t>
            </w:r>
          </w:p>
          <w:p w14:paraId="52D6C335">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4、</w:t>
            </w:r>
            <w:r>
              <w:rPr>
                <w:rFonts w:hint="eastAsia" w:ascii="宋体" w:hAnsi="宋体" w:eastAsia="宋体" w:cs="宋体"/>
                <w:b w:val="0"/>
                <w:bCs w:val="0"/>
                <w:color w:val="000000"/>
                <w:sz w:val="18"/>
                <w:szCs w:val="18"/>
                <w:lang w:eastAsia="zh-CN"/>
              </w:rPr>
              <w:t>封闭设施</w:t>
            </w:r>
            <w:r>
              <w:rPr>
                <w:rFonts w:hint="eastAsia" w:ascii="宋体" w:hAnsi="宋体" w:eastAsia="宋体" w:cs="宋体"/>
                <w:b w:val="0"/>
                <w:bCs w:val="0"/>
                <w:color w:val="000000"/>
                <w:sz w:val="18"/>
                <w:szCs w:val="18"/>
              </w:rPr>
              <w:t>推进计划及落实情况。</w:t>
            </w:r>
          </w:p>
        </w:tc>
      </w:tr>
      <w:tr w14:paraId="194B7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783" w:type="dxa"/>
            <w:noWrap w:val="0"/>
            <w:vAlign w:val="center"/>
          </w:tcPr>
          <w:p w14:paraId="03E71765">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w:t>
            </w:r>
          </w:p>
        </w:tc>
        <w:tc>
          <w:tcPr>
            <w:tcW w:w="1838" w:type="dxa"/>
            <w:tcBorders>
              <w:right w:val="single" w:color="auto" w:sz="4" w:space="0"/>
            </w:tcBorders>
            <w:noWrap w:val="0"/>
            <w:vAlign w:val="center"/>
          </w:tcPr>
          <w:p w14:paraId="0FF68755">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抑尘设施设备</w:t>
            </w:r>
          </w:p>
        </w:tc>
        <w:tc>
          <w:tcPr>
            <w:tcW w:w="7029" w:type="dxa"/>
            <w:noWrap w:val="0"/>
            <w:vAlign w:val="center"/>
          </w:tcPr>
          <w:p w14:paraId="4E55C1D5">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1、煤炭、砂石料等散货堆场设智能喷淋设施，按要求设置泵房及设备、管网、高压洒水喷枪等。喷淋设施喷洒范围覆盖堆场全部区域。</w:t>
            </w:r>
          </w:p>
          <w:p w14:paraId="7C0FE5A0">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2、表面含水率检测仪器。</w:t>
            </w:r>
          </w:p>
          <w:p w14:paraId="7DBF53EA">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3、散货装卸及转运时的起尘点设喷淋装置或干式除尘装置。</w:t>
            </w:r>
          </w:p>
          <w:p w14:paraId="48473AFC">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4、按要求配备喷雾机（雾炮）。</w:t>
            </w:r>
          </w:p>
        </w:tc>
      </w:tr>
      <w:tr w14:paraId="52BEE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4" w:hRule="atLeast"/>
          <w:jc w:val="center"/>
        </w:trPr>
        <w:tc>
          <w:tcPr>
            <w:tcW w:w="783" w:type="dxa"/>
            <w:noWrap w:val="0"/>
            <w:vAlign w:val="center"/>
          </w:tcPr>
          <w:p w14:paraId="5F16F0C7">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4</w:t>
            </w:r>
          </w:p>
        </w:tc>
        <w:tc>
          <w:tcPr>
            <w:tcW w:w="1838" w:type="dxa"/>
            <w:tcBorders>
              <w:right w:val="single" w:color="auto" w:sz="4" w:space="0"/>
            </w:tcBorders>
            <w:noWrap w:val="0"/>
            <w:vAlign w:val="center"/>
          </w:tcPr>
          <w:p w14:paraId="73790E75">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场地硬化</w:t>
            </w:r>
          </w:p>
        </w:tc>
        <w:tc>
          <w:tcPr>
            <w:tcW w:w="7029" w:type="dxa"/>
            <w:noWrap w:val="0"/>
            <w:vAlign w:val="center"/>
          </w:tcPr>
          <w:p w14:paraId="5273C2B9">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1、堆场、港内道路、疏港道路全部硬化。</w:t>
            </w:r>
          </w:p>
          <w:p w14:paraId="0D5244DD">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2、港区内堆场、道路、码头前沿等之外的裸露地面应绿化或硬化。</w:t>
            </w:r>
          </w:p>
        </w:tc>
      </w:tr>
      <w:tr w14:paraId="4CDB59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783" w:type="dxa"/>
            <w:noWrap w:val="0"/>
            <w:vAlign w:val="center"/>
          </w:tcPr>
          <w:p w14:paraId="4B50CA88">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5</w:t>
            </w:r>
          </w:p>
        </w:tc>
        <w:tc>
          <w:tcPr>
            <w:tcW w:w="1838" w:type="dxa"/>
            <w:tcBorders>
              <w:right w:val="single" w:color="auto" w:sz="4" w:space="0"/>
            </w:tcBorders>
            <w:noWrap w:val="0"/>
            <w:vAlign w:val="center"/>
          </w:tcPr>
          <w:p w14:paraId="73EFF1BA">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防风抑尘网</w:t>
            </w:r>
          </w:p>
        </w:tc>
        <w:tc>
          <w:tcPr>
            <w:tcW w:w="7029" w:type="dxa"/>
            <w:noWrap w:val="0"/>
            <w:vAlign w:val="center"/>
          </w:tcPr>
          <w:p w14:paraId="0133B22A">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1、沿散货堆场四周设置，装卸通道除外。</w:t>
            </w:r>
          </w:p>
          <w:p w14:paraId="73E59DB3">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高度：采用堆取料机的散货堆场，堆垛高度不大于12m，防风抑尘网高度不小于15m；采用简易皮带机的散货堆场，堆垛高度不大于6m，防风抑尘网高度不小于9m；采用推土机、装载机的散货堆场，堆垛高度不大于3m，防风抑尘网高度不小于5m。</w:t>
            </w:r>
          </w:p>
          <w:p w14:paraId="18A93E4D">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3、防风抑尘网间隔应小于200m。</w:t>
            </w:r>
          </w:p>
        </w:tc>
      </w:tr>
      <w:tr w14:paraId="78FE8B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8" w:hRule="atLeast"/>
          <w:jc w:val="center"/>
        </w:trPr>
        <w:tc>
          <w:tcPr>
            <w:tcW w:w="783" w:type="dxa"/>
            <w:noWrap w:val="0"/>
            <w:vAlign w:val="center"/>
          </w:tcPr>
          <w:p w14:paraId="5EF78BE4">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6</w:t>
            </w:r>
          </w:p>
        </w:tc>
        <w:tc>
          <w:tcPr>
            <w:tcW w:w="1838" w:type="dxa"/>
            <w:tcBorders>
              <w:right w:val="single" w:color="auto" w:sz="4" w:space="0"/>
            </w:tcBorders>
            <w:noWrap w:val="0"/>
            <w:vAlign w:val="center"/>
          </w:tcPr>
          <w:p w14:paraId="2FE19E5D">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洗车台</w:t>
            </w:r>
          </w:p>
        </w:tc>
        <w:tc>
          <w:tcPr>
            <w:tcW w:w="7029" w:type="dxa"/>
            <w:noWrap w:val="0"/>
            <w:vAlign w:val="center"/>
          </w:tcPr>
          <w:p w14:paraId="489D9A93">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1、洗车台长度应不低于10m，应四面喷水洗车，水压不低于0.5MPa。</w:t>
            </w:r>
          </w:p>
          <w:p w14:paraId="54B7D3E3">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2、车辆单次清洗时间不低于1分钟。</w:t>
            </w:r>
          </w:p>
          <w:p w14:paraId="775B9653">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3、冲洗污水收集系统完备、运转正常。</w:t>
            </w:r>
          </w:p>
        </w:tc>
      </w:tr>
      <w:tr w14:paraId="422336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783" w:type="dxa"/>
            <w:noWrap w:val="0"/>
            <w:vAlign w:val="center"/>
          </w:tcPr>
          <w:p w14:paraId="62DDE267">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7</w:t>
            </w:r>
          </w:p>
        </w:tc>
        <w:tc>
          <w:tcPr>
            <w:tcW w:w="1838" w:type="dxa"/>
            <w:tcBorders>
              <w:right w:val="single" w:color="auto" w:sz="4" w:space="0"/>
            </w:tcBorders>
            <w:noWrap w:val="0"/>
            <w:vAlign w:val="center"/>
          </w:tcPr>
          <w:p w14:paraId="7F49E923">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清扫设施</w:t>
            </w:r>
          </w:p>
        </w:tc>
        <w:tc>
          <w:tcPr>
            <w:tcW w:w="7029" w:type="dxa"/>
            <w:noWrap w:val="0"/>
            <w:vAlign w:val="center"/>
          </w:tcPr>
          <w:p w14:paraId="01746BE4">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1、按要求配备清扫车、洒水车或洒扫两用车等设备。</w:t>
            </w:r>
          </w:p>
          <w:p w14:paraId="0DE58BFE">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2、年吞吐量200万吨以上的大型港口应配备真空吸尘车。</w:t>
            </w:r>
          </w:p>
          <w:p w14:paraId="28ABE453">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3、年吞吐量200万吨以下的港口，委托第三方吸尘车辆吸尘或相邻港口联合配备真空吸尘车。</w:t>
            </w:r>
          </w:p>
        </w:tc>
      </w:tr>
      <w:tr w14:paraId="1D4C3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8" w:hRule="atLeast"/>
          <w:jc w:val="center"/>
        </w:trPr>
        <w:tc>
          <w:tcPr>
            <w:tcW w:w="783" w:type="dxa"/>
            <w:noWrap w:val="0"/>
            <w:vAlign w:val="center"/>
          </w:tcPr>
          <w:p w14:paraId="2EF3B924">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8</w:t>
            </w:r>
          </w:p>
        </w:tc>
        <w:tc>
          <w:tcPr>
            <w:tcW w:w="1838" w:type="dxa"/>
            <w:tcBorders>
              <w:right w:val="single" w:color="auto" w:sz="4" w:space="0"/>
            </w:tcBorders>
            <w:noWrap w:val="0"/>
            <w:vAlign w:val="center"/>
          </w:tcPr>
          <w:p w14:paraId="75E110E3">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防尘林带</w:t>
            </w:r>
          </w:p>
        </w:tc>
        <w:tc>
          <w:tcPr>
            <w:tcW w:w="7029" w:type="dxa"/>
            <w:noWrap w:val="0"/>
            <w:vAlign w:val="center"/>
          </w:tcPr>
          <w:p w14:paraId="52D86C4E">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1、应种植防尘林带，宽度</w:t>
            </w:r>
            <w:r>
              <w:rPr>
                <w:rFonts w:hint="eastAsia" w:ascii="宋体" w:hAnsi="宋体" w:eastAsia="宋体" w:cs="宋体"/>
                <w:b w:val="0"/>
                <w:bCs w:val="0"/>
                <w:color w:val="000000"/>
                <w:sz w:val="18"/>
                <w:szCs w:val="18"/>
                <w:lang w:val="en-US" w:eastAsia="zh-CN"/>
              </w:rPr>
              <w:t>15</w:t>
            </w:r>
            <w:r>
              <w:rPr>
                <w:rFonts w:hint="eastAsia" w:ascii="宋体" w:hAnsi="宋体" w:eastAsia="宋体" w:cs="宋体"/>
                <w:b w:val="0"/>
                <w:bCs w:val="0"/>
                <w:color w:val="000000"/>
                <w:sz w:val="18"/>
                <w:szCs w:val="18"/>
              </w:rPr>
              <w:t>～</w:t>
            </w:r>
            <w:r>
              <w:rPr>
                <w:rFonts w:hint="eastAsia" w:ascii="宋体" w:hAnsi="宋体" w:eastAsia="宋体" w:cs="宋体"/>
                <w:b w:val="0"/>
                <w:bCs w:val="0"/>
                <w:color w:val="000000"/>
                <w:sz w:val="18"/>
                <w:szCs w:val="18"/>
                <w:lang w:val="en-US" w:eastAsia="zh-CN"/>
              </w:rPr>
              <w:t>3</w:t>
            </w:r>
            <w:r>
              <w:rPr>
                <w:rFonts w:hint="eastAsia" w:ascii="宋体" w:hAnsi="宋体" w:eastAsia="宋体" w:cs="宋体"/>
                <w:b w:val="0"/>
                <w:bCs w:val="0"/>
                <w:color w:val="000000"/>
                <w:sz w:val="18"/>
                <w:szCs w:val="18"/>
              </w:rPr>
              <w:t>0m。</w:t>
            </w:r>
          </w:p>
          <w:p w14:paraId="28E2A584">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2、堆场装卸作业区周边抑尘网外缘，因地制宜栽植2～3行林带。</w:t>
            </w:r>
          </w:p>
          <w:p w14:paraId="12AF177B">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3、进港道路两侧分别栽植2～3行防尘林带。</w:t>
            </w:r>
          </w:p>
        </w:tc>
      </w:tr>
      <w:tr w14:paraId="47253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2" w:hRule="atLeast"/>
          <w:jc w:val="center"/>
        </w:trPr>
        <w:tc>
          <w:tcPr>
            <w:tcW w:w="783" w:type="dxa"/>
            <w:noWrap w:val="0"/>
            <w:vAlign w:val="center"/>
          </w:tcPr>
          <w:p w14:paraId="45A2BDDF">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9</w:t>
            </w:r>
          </w:p>
        </w:tc>
        <w:tc>
          <w:tcPr>
            <w:tcW w:w="1838" w:type="dxa"/>
            <w:tcBorders>
              <w:right w:val="single" w:color="auto" w:sz="4" w:space="0"/>
            </w:tcBorders>
            <w:noWrap w:val="0"/>
            <w:vAlign w:val="center"/>
          </w:tcPr>
          <w:p w14:paraId="484FC0DE">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监控、监测设备</w:t>
            </w:r>
          </w:p>
        </w:tc>
        <w:tc>
          <w:tcPr>
            <w:tcW w:w="7029" w:type="dxa"/>
            <w:noWrap w:val="0"/>
            <w:vAlign w:val="center"/>
          </w:tcPr>
          <w:p w14:paraId="13B9327D">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1、堆场、码头装卸、车辆清洗、疏港道路、门禁系统五处重点监控点视频监控设备按要求设置。</w:t>
            </w:r>
          </w:p>
          <w:p w14:paraId="416D57E9">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2、堆场、码头装卸监控系统安装高度大于最大堆垛高度3m。</w:t>
            </w:r>
          </w:p>
          <w:p w14:paraId="597A12D2">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3、港口至少在港区常风向的上风向和下风向各设置1个PM10监测设备。</w:t>
            </w:r>
          </w:p>
          <w:p w14:paraId="527483F0">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4、监控、监测设备信号稳定，满足24小时在线监控。</w:t>
            </w:r>
          </w:p>
        </w:tc>
      </w:tr>
      <w:tr w14:paraId="4EAED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2" w:hRule="atLeast"/>
          <w:jc w:val="center"/>
        </w:trPr>
        <w:tc>
          <w:tcPr>
            <w:tcW w:w="783" w:type="dxa"/>
            <w:noWrap w:val="0"/>
            <w:vAlign w:val="center"/>
          </w:tcPr>
          <w:p w14:paraId="3470A2E2">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10</w:t>
            </w:r>
          </w:p>
        </w:tc>
        <w:tc>
          <w:tcPr>
            <w:tcW w:w="1838" w:type="dxa"/>
            <w:tcBorders>
              <w:right w:val="single" w:color="auto" w:sz="4" w:space="0"/>
            </w:tcBorders>
            <w:noWrap w:val="0"/>
            <w:vAlign w:val="center"/>
          </w:tcPr>
          <w:p w14:paraId="0845C47B">
            <w:pPr>
              <w:spacing w:line="400" w:lineRule="exact"/>
              <w:jc w:val="center"/>
              <w:rPr>
                <w:rFonts w:hint="eastAsia" w:ascii="宋体" w:hAnsi="宋体" w:eastAsia="宋体" w:cs="宋体"/>
                <w:b w:val="0"/>
                <w:bCs w:val="0"/>
                <w:color w:val="000000"/>
                <w:kern w:val="0"/>
                <w:sz w:val="18"/>
                <w:szCs w:val="18"/>
              </w:rPr>
            </w:pPr>
            <w:r>
              <w:rPr>
                <w:rFonts w:hint="eastAsia" w:ascii="宋体" w:hAnsi="宋体" w:eastAsia="宋体" w:cs="宋体"/>
                <w:b w:val="0"/>
                <w:bCs w:val="0"/>
                <w:color w:val="000000"/>
                <w:kern w:val="0"/>
                <w:sz w:val="18"/>
                <w:szCs w:val="18"/>
              </w:rPr>
              <w:t>设备设施</w:t>
            </w:r>
          </w:p>
          <w:p w14:paraId="6A118EB4">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kern w:val="0"/>
                <w:sz w:val="18"/>
                <w:szCs w:val="18"/>
              </w:rPr>
              <w:t>维护保养</w:t>
            </w:r>
          </w:p>
        </w:tc>
        <w:tc>
          <w:tcPr>
            <w:tcW w:w="7029" w:type="dxa"/>
            <w:noWrap w:val="0"/>
            <w:vAlign w:val="center"/>
          </w:tcPr>
          <w:p w14:paraId="1AD34C69">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1、港区设备设施应做好维护保养，确保性能良好、运转正常。</w:t>
            </w:r>
          </w:p>
          <w:p w14:paraId="73AC4E35">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2、港口</w:t>
            </w:r>
            <w:r>
              <w:rPr>
                <w:rFonts w:hint="eastAsia" w:ascii="宋体" w:hAnsi="宋体" w:eastAsia="宋体" w:cs="宋体"/>
                <w:b w:val="0"/>
                <w:bCs w:val="0"/>
                <w:color w:val="auto"/>
                <w:sz w:val="18"/>
                <w:szCs w:val="18"/>
                <w:lang w:val="en-US" w:eastAsia="zh-CN"/>
              </w:rPr>
              <w:t>码头应</w:t>
            </w:r>
            <w:r>
              <w:rPr>
                <w:rFonts w:hint="eastAsia" w:ascii="宋体" w:hAnsi="宋体" w:eastAsia="宋体" w:cs="宋体"/>
                <w:b w:val="0"/>
                <w:bCs w:val="0"/>
                <w:color w:val="000000"/>
                <w:sz w:val="18"/>
                <w:szCs w:val="18"/>
              </w:rPr>
              <w:t>建立设备设施维护保养台账。</w:t>
            </w:r>
          </w:p>
        </w:tc>
      </w:tr>
      <w:tr w14:paraId="68EA5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0" w:hRule="atLeast"/>
          <w:jc w:val="center"/>
        </w:trPr>
        <w:tc>
          <w:tcPr>
            <w:tcW w:w="783" w:type="dxa"/>
            <w:noWrap w:val="0"/>
            <w:vAlign w:val="center"/>
          </w:tcPr>
          <w:p w14:paraId="0B504CDD">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11</w:t>
            </w:r>
          </w:p>
        </w:tc>
        <w:tc>
          <w:tcPr>
            <w:tcW w:w="1838" w:type="dxa"/>
            <w:tcBorders>
              <w:right w:val="single" w:color="auto" w:sz="4" w:space="0"/>
            </w:tcBorders>
            <w:noWrap w:val="0"/>
            <w:vAlign w:val="center"/>
          </w:tcPr>
          <w:p w14:paraId="60FA56AA">
            <w:pPr>
              <w:spacing w:line="400" w:lineRule="exact"/>
              <w:jc w:val="center"/>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污染防治队伍</w:t>
            </w:r>
          </w:p>
        </w:tc>
        <w:tc>
          <w:tcPr>
            <w:tcW w:w="7029" w:type="dxa"/>
            <w:noWrap w:val="0"/>
            <w:vAlign w:val="center"/>
          </w:tcPr>
          <w:p w14:paraId="519AF958">
            <w:pPr>
              <w:spacing w:line="400" w:lineRule="exact"/>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建立污染防治队伍。</w:t>
            </w:r>
          </w:p>
        </w:tc>
      </w:tr>
    </w:tbl>
    <w:p w14:paraId="4AE25672">
      <w:pPr>
        <w:ind w:firstLine="482" w:firstLineChars="200"/>
        <w:rPr>
          <w:rFonts w:ascii="Times New Roman" w:hAnsi="Times New Roman" w:eastAsia="黑体"/>
          <w:b/>
          <w:bCs/>
          <w:color w:val="000000"/>
          <w:sz w:val="24"/>
        </w:rPr>
        <w:sectPr>
          <w:pgSz w:w="11850" w:h="16783"/>
          <w:pgMar w:top="2154" w:right="1474" w:bottom="2041" w:left="1587" w:header="851" w:footer="737" w:gutter="0"/>
          <w:pgNumType w:fmt="decimal"/>
          <w:cols w:space="720" w:num="1"/>
          <w:docGrid w:type="lines" w:linePitch="312" w:charSpace="0"/>
        </w:sectPr>
      </w:pPr>
    </w:p>
    <w:p w14:paraId="33848CA1">
      <w:pPr>
        <w:pStyle w:val="4"/>
        <w:bidi w:val="0"/>
        <w:ind w:firstLine="0"/>
        <w:rPr>
          <w:rFonts w:hint="eastAsia" w:ascii="黑体" w:hAnsi="黑体" w:eastAsia="黑体" w:cs="黑体"/>
          <w:b w:val="0"/>
          <w:bCs/>
          <w:lang w:val="en-US" w:eastAsia="zh-CN"/>
        </w:rPr>
      </w:pPr>
      <w:bookmarkStart w:id="167" w:name="_Toc1215385214_WPSOffice_Level1"/>
      <w:r>
        <w:rPr>
          <w:rFonts w:hint="eastAsia" w:ascii="黑体" w:hAnsi="黑体" w:eastAsia="黑体" w:cs="黑体"/>
          <w:b w:val="0"/>
          <w:bCs/>
          <w:lang w:val="en-US" w:eastAsia="zh-CN"/>
        </w:rPr>
        <w:t>附录B</w:t>
      </w:r>
    </w:p>
    <w:p w14:paraId="43499580">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67"/>
    </w:p>
    <w:p w14:paraId="2998B2BA">
      <w:pPr>
        <w:pStyle w:val="4"/>
        <w:bidi w:val="0"/>
        <w:ind w:firstLine="0"/>
        <w:rPr>
          <w:rFonts w:hint="eastAsia" w:ascii="宋体" w:hAnsi="宋体" w:cs="宋体"/>
          <w:b w:val="0"/>
          <w:bCs w:val="0"/>
          <w:color w:val="000000"/>
          <w:sz w:val="21"/>
          <w:szCs w:val="21"/>
          <w:lang w:val="en-US" w:eastAsia="zh-CN"/>
        </w:rPr>
      </w:pPr>
      <w:r>
        <w:rPr>
          <w:rFonts w:hint="eastAsia" w:ascii="黑体" w:hAnsi="黑体" w:eastAsia="黑体" w:cs="黑体"/>
          <w:b w:val="0"/>
          <w:bCs/>
          <w:lang w:val="en-US" w:eastAsia="zh-CN"/>
        </w:rPr>
        <w:t xml:space="preserve">港口污染防治关键位置示意图   </w:t>
      </w:r>
      <w:r>
        <w:rPr>
          <w:rFonts w:hint="eastAsia" w:ascii="宋体" w:hAnsi="宋体" w:cs="宋体"/>
          <w:b w:val="0"/>
          <w:bCs w:val="0"/>
          <w:color w:val="000000"/>
          <w:sz w:val="21"/>
          <w:szCs w:val="21"/>
          <w:lang w:val="en-US" w:eastAsia="zh-CN"/>
        </w:rPr>
        <w:t xml:space="preserve">   </w:t>
      </w:r>
    </w:p>
    <w:p w14:paraId="3FD0DB44">
      <w:pPr>
        <w:pStyle w:val="13"/>
        <w:ind w:left="0" w:leftChars="0" w:firstLine="0" w:firstLineChars="0"/>
        <w:jc w:val="both"/>
        <w:rPr>
          <w:rFonts w:hint="eastAsia" w:ascii="宋体" w:hAnsi="宋体" w:cs="宋体"/>
          <w:b w:val="0"/>
          <w:bCs w:val="0"/>
          <w:color w:val="000000"/>
          <w:sz w:val="21"/>
          <w:szCs w:val="21"/>
          <w:lang w:val="en-US" w:eastAsia="zh-CN"/>
        </w:rPr>
      </w:pPr>
      <w:r>
        <w:rPr>
          <w:rFonts w:hint="eastAsia" w:asciiTheme="majorEastAsia" w:hAnsiTheme="majorEastAsia" w:eastAsiaTheme="majorEastAsia" w:cstheme="majorEastAsia"/>
          <w:b w:val="0"/>
          <w:bCs w:val="0"/>
          <w:color w:val="000000"/>
          <w:sz w:val="21"/>
          <w:szCs w:val="21"/>
        </w:rPr>
        <w:t>港口污染防治关键位置示意图</w:t>
      </w:r>
      <w:r>
        <w:rPr>
          <w:rFonts w:hint="eastAsia" w:asciiTheme="majorEastAsia" w:hAnsiTheme="majorEastAsia" w:eastAsiaTheme="majorEastAsia" w:cstheme="majorEastAsia"/>
          <w:b w:val="0"/>
          <w:bCs w:val="0"/>
          <w:color w:val="000000"/>
          <w:sz w:val="21"/>
          <w:szCs w:val="21"/>
          <w:lang w:eastAsia="zh-CN"/>
        </w:rPr>
        <w:t>见图</w:t>
      </w:r>
      <w:r>
        <w:rPr>
          <w:rFonts w:hint="eastAsia" w:asciiTheme="majorEastAsia" w:hAnsiTheme="majorEastAsia" w:eastAsiaTheme="majorEastAsia" w:cstheme="majorEastAsia"/>
          <w:b w:val="0"/>
          <w:bCs w:val="0"/>
          <w:color w:val="000000"/>
          <w:sz w:val="21"/>
          <w:szCs w:val="21"/>
          <w:lang w:val="en-US" w:eastAsia="zh-CN"/>
        </w:rPr>
        <w:t>B.1</w:t>
      </w:r>
      <w:r>
        <w:rPr>
          <w:rFonts w:hint="eastAsia" w:ascii="宋体" w:hAnsi="宋体" w:cs="宋体"/>
          <w:b w:val="0"/>
          <w:bCs w:val="0"/>
          <w:color w:val="000000"/>
          <w:sz w:val="21"/>
          <w:szCs w:val="21"/>
          <w:lang w:val="en-US" w:eastAsia="zh-CN"/>
        </w:rPr>
        <w:t>。</w:t>
      </w:r>
    </w:p>
    <w:p w14:paraId="4E905C24">
      <w:pPr>
        <w:pStyle w:val="13"/>
        <w:ind w:left="0" w:leftChars="0" w:firstLine="0" w:firstLineChars="0"/>
        <w:jc w:val="both"/>
        <w:rPr>
          <w:rFonts w:hint="eastAsia" w:ascii="宋体" w:hAnsi="宋体" w:cs="宋体"/>
          <w:b w:val="0"/>
          <w:bCs w:val="0"/>
          <w:color w:val="000000"/>
          <w:sz w:val="21"/>
          <w:szCs w:val="21"/>
          <w:lang w:val="en-US" w:eastAsia="zh-CN"/>
        </w:rPr>
      </w:pPr>
    </w:p>
    <w:p w14:paraId="2BAB371C">
      <w:pPr>
        <w:pStyle w:val="13"/>
        <w:ind w:left="0" w:leftChars="0" w:firstLine="0" w:firstLineChars="0"/>
        <w:jc w:val="center"/>
        <w:rPr>
          <w:rFonts w:hint="eastAsia" w:ascii="Times New Roman" w:hAnsi="Times New Roman" w:eastAsia="宋体"/>
          <w:b/>
          <w:bCs/>
          <w:color w:val="000000"/>
          <w:sz w:val="30"/>
          <w:szCs w:val="30"/>
          <w:lang w:eastAsia="zh-CN"/>
        </w:rPr>
      </w:pPr>
      <w:r>
        <w:rPr>
          <w:rFonts w:hint="eastAsia" w:ascii="Times New Roman" w:hAnsi="Times New Roman" w:eastAsia="宋体"/>
          <w:b/>
          <w:bCs/>
          <w:color w:val="000000"/>
          <w:sz w:val="30"/>
          <w:szCs w:val="30"/>
          <w:lang w:eastAsia="zh-CN"/>
        </w:rPr>
        <w:drawing>
          <wp:inline distT="0" distB="0" distL="114300" distR="114300">
            <wp:extent cx="6907530" cy="3922395"/>
            <wp:effectExtent l="0" t="0" r="7620" b="1905"/>
            <wp:docPr id="11" name="图片 1" descr="港口污染防治关键位置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港口污染防治关键位置示意图"/>
                    <pic:cNvPicPr>
                      <a:picLocks noChangeAspect="1"/>
                    </pic:cNvPicPr>
                  </pic:nvPicPr>
                  <pic:blipFill>
                    <a:blip r:embed="rId13"/>
                    <a:stretch>
                      <a:fillRect/>
                    </a:stretch>
                  </pic:blipFill>
                  <pic:spPr>
                    <a:xfrm>
                      <a:off x="0" y="0"/>
                      <a:ext cx="6907530" cy="3922395"/>
                    </a:xfrm>
                    <a:prstGeom prst="rect">
                      <a:avLst/>
                    </a:prstGeom>
                    <a:noFill/>
                    <a:ln>
                      <a:noFill/>
                    </a:ln>
                  </pic:spPr>
                </pic:pic>
              </a:graphicData>
            </a:graphic>
          </wp:inline>
        </w:drawing>
      </w:r>
    </w:p>
    <w:p w14:paraId="37E1498A">
      <w:pPr>
        <w:pStyle w:val="13"/>
        <w:ind w:left="0" w:leftChars="0" w:firstLine="0" w:firstLineChars="0"/>
        <w:jc w:val="center"/>
        <w:rPr>
          <w:rFonts w:hint="eastAsia" w:ascii="Times New Roman" w:hAnsi="Times New Roman" w:eastAsia="宋体"/>
          <w:b/>
          <w:bCs/>
          <w:color w:val="000000"/>
          <w:sz w:val="30"/>
          <w:szCs w:val="30"/>
          <w:lang w:eastAsia="zh-CN"/>
        </w:rPr>
        <w:sectPr>
          <w:footerReference r:id="rId8" w:type="default"/>
          <w:pgSz w:w="16783" w:h="11850" w:orient="landscape"/>
          <w:pgMar w:top="1114" w:right="1474" w:bottom="2041" w:left="1587" w:header="851" w:footer="737" w:gutter="0"/>
          <w:pgNumType w:fmt="decimal"/>
          <w:cols w:space="720" w:num="1"/>
          <w:docGrid w:type="lines" w:linePitch="312" w:charSpace="0"/>
        </w:sectPr>
      </w:pPr>
      <w:r>
        <w:rPr>
          <w:rFonts w:hint="eastAsia" w:ascii="方正黑体_GBK" w:hAnsi="方正黑体_GBK" w:eastAsia="方正黑体_GBK" w:cs="方正黑体_GBK"/>
          <w:b w:val="0"/>
          <w:bCs w:val="0"/>
          <w:color w:val="000000"/>
          <w:sz w:val="21"/>
          <w:szCs w:val="21"/>
          <w:lang w:eastAsia="zh-CN"/>
        </w:rPr>
        <w:t>图</w:t>
      </w:r>
      <w:r>
        <w:rPr>
          <w:rFonts w:hint="eastAsia" w:ascii="方正黑体_GBK" w:hAnsi="方正黑体_GBK" w:eastAsia="方正黑体_GBK" w:cs="方正黑体_GBK"/>
          <w:b w:val="0"/>
          <w:bCs w:val="0"/>
          <w:color w:val="000000"/>
          <w:sz w:val="21"/>
          <w:szCs w:val="21"/>
          <w:lang w:val="en-US" w:eastAsia="zh-CN"/>
        </w:rPr>
        <w:t>B.1</w:t>
      </w:r>
      <w:r>
        <w:rPr>
          <w:rFonts w:hint="eastAsia" w:ascii="方正黑体_GBK" w:hAnsi="方正黑体_GBK" w:eastAsia="方正黑体_GBK" w:cs="方正黑体_GBK"/>
          <w:b w:val="0"/>
          <w:bCs w:val="0"/>
          <w:color w:val="000000"/>
          <w:sz w:val="21"/>
          <w:szCs w:val="21"/>
        </w:rPr>
        <w:t>港口污染防治关键位置示意图</w:t>
      </w:r>
    </w:p>
    <w:p w14:paraId="7479A074">
      <w:pPr>
        <w:pStyle w:val="4"/>
        <w:bidi w:val="0"/>
        <w:ind w:firstLine="0"/>
        <w:rPr>
          <w:rFonts w:hint="eastAsia" w:ascii="黑体" w:hAnsi="黑体" w:eastAsia="黑体" w:cs="黑体"/>
          <w:b w:val="0"/>
          <w:bCs/>
          <w:lang w:val="en-US" w:eastAsia="zh-CN"/>
        </w:rPr>
      </w:pPr>
      <w:bookmarkStart w:id="168" w:name="_Toc523877355_WPSOffice_Level1"/>
      <w:r>
        <w:rPr>
          <w:rFonts w:hint="eastAsia" w:ascii="黑体" w:hAnsi="黑体" w:eastAsia="黑体" w:cs="黑体"/>
          <w:b w:val="0"/>
          <w:bCs/>
          <w:lang w:val="en-US" w:eastAsia="zh-CN"/>
        </w:rPr>
        <w:t xml:space="preserve">附录C </w:t>
      </w:r>
    </w:p>
    <w:p w14:paraId="707F950C">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68"/>
    </w:p>
    <w:p w14:paraId="4B46B327">
      <w:pPr>
        <w:pStyle w:val="4"/>
        <w:bidi w:val="0"/>
        <w:ind w:firstLine="0"/>
        <w:rPr>
          <w:rFonts w:hint="eastAsia" w:ascii="黑体" w:hAnsi="黑体" w:eastAsia="黑体" w:cs="黑体"/>
          <w:b w:val="0"/>
          <w:bCs/>
          <w:lang w:val="en-US" w:eastAsia="zh-CN"/>
        </w:rPr>
      </w:pPr>
      <w:bookmarkStart w:id="169" w:name="_Toc1410309651_WPSOffice_Level2"/>
      <w:bookmarkStart w:id="170" w:name="_Toc1518463140_WPSOffice_Level2"/>
      <w:r>
        <w:rPr>
          <w:rFonts w:hint="eastAsia" w:ascii="黑体" w:hAnsi="黑体" w:eastAsia="黑体" w:cs="黑体"/>
          <w:b w:val="0"/>
          <w:bCs/>
          <w:lang w:val="en-US" w:eastAsia="zh-CN"/>
        </w:rPr>
        <w:t>污染防治风险隐患告知牌（模板）</w:t>
      </w:r>
      <w:bookmarkEnd w:id="169"/>
      <w:bookmarkEnd w:id="170"/>
    </w:p>
    <w:p w14:paraId="69EEA74F">
      <w:pPr>
        <w:pStyle w:val="4"/>
        <w:pageBreakBefore w:val="0"/>
        <w:widowControl w:val="0"/>
        <w:kinsoku/>
        <w:wordWrap/>
        <w:overflowPunct/>
        <w:topLinePunct w:val="0"/>
        <w:autoSpaceDE/>
        <w:autoSpaceDN/>
        <w:bidi w:val="0"/>
        <w:adjustRightInd/>
        <w:snapToGrid/>
        <w:spacing w:after="157" w:afterLines="50"/>
        <w:jc w:val="both"/>
        <w:textAlignment w:val="auto"/>
        <w:rPr>
          <w:rFonts w:hint="eastAsia" w:asciiTheme="majorEastAsia" w:hAnsiTheme="majorEastAsia" w:eastAsiaTheme="majorEastAsia" w:cstheme="majorEastAsia"/>
          <w:lang w:val="en-US" w:eastAsia="zh-CN"/>
        </w:rPr>
      </w:pPr>
    </w:p>
    <w:p w14:paraId="2D22A175">
      <w:pPr>
        <w:pStyle w:val="4"/>
        <w:pageBreakBefore w:val="0"/>
        <w:widowControl w:val="0"/>
        <w:kinsoku/>
        <w:wordWrap/>
        <w:overflowPunct/>
        <w:topLinePunct w:val="0"/>
        <w:autoSpaceDE/>
        <w:autoSpaceDN/>
        <w:bidi w:val="0"/>
        <w:adjustRightInd/>
        <w:snapToGrid/>
        <w:spacing w:after="157" w:afterLines="50"/>
        <w:jc w:val="both"/>
        <w:textAlignment w:val="auto"/>
        <w:rPr>
          <w:rFonts w:hint="eastAsia" w:asciiTheme="majorEastAsia" w:hAnsiTheme="majorEastAsia" w:eastAsiaTheme="majorEastAsia" w:cstheme="majorEastAsia"/>
          <w:lang w:val="en-US" w:eastAsia="zh-CN"/>
        </w:rPr>
      </w:pPr>
      <w:r>
        <w:rPr>
          <w:rFonts w:hint="eastAsia" w:asciiTheme="majorEastAsia" w:hAnsiTheme="majorEastAsia" w:eastAsiaTheme="majorEastAsia" w:cstheme="majorEastAsia"/>
          <w:lang w:val="en-US" w:eastAsia="zh-CN"/>
        </w:rPr>
        <w:t>污染防治风险隐患告知牌（模板）见表C.1。</w:t>
      </w:r>
    </w:p>
    <w:p w14:paraId="6692A071">
      <w:pPr>
        <w:pageBreakBefore w:val="0"/>
        <w:widowControl w:val="0"/>
        <w:kinsoku/>
        <w:wordWrap/>
        <w:overflowPunct/>
        <w:topLinePunct w:val="0"/>
        <w:autoSpaceDE/>
        <w:autoSpaceDN/>
        <w:bidi w:val="0"/>
        <w:adjustRightInd/>
        <w:snapToGrid/>
        <w:spacing w:after="157" w:afterLines="50"/>
        <w:jc w:val="center"/>
        <w:textAlignment w:val="auto"/>
        <w:rPr>
          <w:rFonts w:hint="eastAsia" w:ascii="黑体" w:hAnsi="黑体" w:cs="黑体"/>
          <w:lang w:val="en-US" w:eastAsia="zh-CN"/>
        </w:rPr>
      </w:pPr>
    </w:p>
    <w:p w14:paraId="5089B8B3">
      <w:pPr>
        <w:pageBreakBefore w:val="0"/>
        <w:widowControl w:val="0"/>
        <w:kinsoku/>
        <w:wordWrap/>
        <w:overflowPunct/>
        <w:topLinePunct w:val="0"/>
        <w:autoSpaceDE/>
        <w:autoSpaceDN/>
        <w:bidi w:val="0"/>
        <w:adjustRightInd/>
        <w:snapToGrid/>
        <w:spacing w:after="157" w:afterLines="50"/>
        <w:jc w:val="center"/>
        <w:textAlignment w:val="auto"/>
        <w:rPr>
          <w:rFonts w:hint="eastAsia"/>
          <w:lang w:val="en-US" w:eastAsia="zh-CN"/>
        </w:rPr>
      </w:pPr>
      <w:r>
        <w:rPr>
          <w:rFonts w:hint="eastAsia" w:ascii="黑体" w:hAnsi="黑体" w:cs="黑体"/>
          <w:lang w:val="en-US" w:eastAsia="zh-CN"/>
        </w:rPr>
        <w:t>表C.1</w:t>
      </w:r>
      <w:r>
        <w:rPr>
          <w:rFonts w:hint="eastAsia" w:ascii="黑体" w:hAnsi="黑体" w:eastAsia="黑体" w:cs="黑体"/>
          <w:lang w:val="en-US" w:eastAsia="zh-CN"/>
        </w:rPr>
        <w:t>污染防治风险隐患告知牌（模板）</w:t>
      </w:r>
    </w:p>
    <w:tbl>
      <w:tblPr>
        <w:tblStyle w:val="15"/>
        <w:tblpPr w:leftFromText="180" w:rightFromText="180" w:vertAnchor="text" w:horzAnchor="page" w:tblpX="1875" w:tblpY="123"/>
        <w:tblOverlap w:val="never"/>
        <w:tblW w:w="87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7"/>
        <w:gridCol w:w="2652"/>
        <w:gridCol w:w="2386"/>
        <w:gridCol w:w="2205"/>
      </w:tblGrid>
      <w:tr w14:paraId="4DDF4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497" w:type="dxa"/>
            <w:noWrap w:val="0"/>
            <w:vAlign w:val="center"/>
          </w:tcPr>
          <w:p w14:paraId="4A129071">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风险点</w:t>
            </w:r>
          </w:p>
        </w:tc>
        <w:tc>
          <w:tcPr>
            <w:tcW w:w="2652" w:type="dxa"/>
            <w:noWrap w:val="0"/>
            <w:vAlign w:val="center"/>
          </w:tcPr>
          <w:p w14:paraId="5088CE3D">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码头前沿水域</w:t>
            </w:r>
          </w:p>
        </w:tc>
        <w:tc>
          <w:tcPr>
            <w:tcW w:w="2386" w:type="dxa"/>
            <w:noWrap w:val="0"/>
            <w:vAlign w:val="center"/>
          </w:tcPr>
          <w:p w14:paraId="013C61FC">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风险概述</w:t>
            </w:r>
          </w:p>
        </w:tc>
        <w:tc>
          <w:tcPr>
            <w:tcW w:w="2205" w:type="dxa"/>
            <w:noWrap w:val="0"/>
            <w:vAlign w:val="center"/>
          </w:tcPr>
          <w:p w14:paraId="3BF659B5">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控制措施</w:t>
            </w:r>
          </w:p>
        </w:tc>
      </w:tr>
      <w:tr w14:paraId="3A4B6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497" w:type="dxa"/>
            <w:noWrap w:val="0"/>
            <w:vAlign w:val="center"/>
          </w:tcPr>
          <w:p w14:paraId="363BF8FC">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风险等级</w:t>
            </w:r>
          </w:p>
        </w:tc>
        <w:tc>
          <w:tcPr>
            <w:tcW w:w="2652" w:type="dxa"/>
            <w:noWrap w:val="0"/>
            <w:vAlign w:val="center"/>
          </w:tcPr>
          <w:p w14:paraId="69949745">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重大风险</w:t>
            </w:r>
          </w:p>
        </w:tc>
        <w:tc>
          <w:tcPr>
            <w:tcW w:w="2386" w:type="dxa"/>
            <w:vMerge w:val="restart"/>
            <w:noWrap w:val="0"/>
            <w:vAlign w:val="center"/>
          </w:tcPr>
          <w:p w14:paraId="3B7FC515">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码头前沿出现油污泄漏</w:t>
            </w:r>
          </w:p>
        </w:tc>
        <w:tc>
          <w:tcPr>
            <w:tcW w:w="2205" w:type="dxa"/>
            <w:vMerge w:val="restart"/>
            <w:noWrap w:val="0"/>
            <w:vAlign w:val="center"/>
          </w:tcPr>
          <w:p w14:paraId="7B7CF97F">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r>
      <w:tr w14:paraId="7766D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497" w:type="dxa"/>
            <w:noWrap w:val="0"/>
            <w:vAlign w:val="center"/>
          </w:tcPr>
          <w:p w14:paraId="4B89C4F1">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责任单位</w:t>
            </w:r>
          </w:p>
        </w:tc>
        <w:tc>
          <w:tcPr>
            <w:tcW w:w="2652" w:type="dxa"/>
            <w:noWrap w:val="0"/>
            <w:vAlign w:val="center"/>
          </w:tcPr>
          <w:p w14:paraId="73FF07DD">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c>
          <w:tcPr>
            <w:tcW w:w="2386" w:type="dxa"/>
            <w:vMerge w:val="continue"/>
            <w:noWrap w:val="0"/>
            <w:vAlign w:val="center"/>
          </w:tcPr>
          <w:p w14:paraId="690007C7">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p>
        </w:tc>
        <w:tc>
          <w:tcPr>
            <w:tcW w:w="2205" w:type="dxa"/>
            <w:vMerge w:val="continue"/>
            <w:noWrap w:val="0"/>
            <w:vAlign w:val="center"/>
          </w:tcPr>
          <w:p w14:paraId="38478379">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p>
        </w:tc>
      </w:tr>
      <w:tr w14:paraId="0F8F2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497" w:type="dxa"/>
            <w:noWrap w:val="0"/>
            <w:vAlign w:val="center"/>
          </w:tcPr>
          <w:p w14:paraId="15E0A027">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责任人员</w:t>
            </w:r>
          </w:p>
        </w:tc>
        <w:tc>
          <w:tcPr>
            <w:tcW w:w="2652" w:type="dxa"/>
            <w:noWrap w:val="0"/>
            <w:vAlign w:val="center"/>
          </w:tcPr>
          <w:p w14:paraId="462287B0">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c>
          <w:tcPr>
            <w:tcW w:w="2386" w:type="dxa"/>
            <w:vMerge w:val="continue"/>
            <w:noWrap w:val="0"/>
            <w:vAlign w:val="center"/>
          </w:tcPr>
          <w:p w14:paraId="435AD938">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p>
        </w:tc>
        <w:tc>
          <w:tcPr>
            <w:tcW w:w="2205" w:type="dxa"/>
            <w:vMerge w:val="continue"/>
            <w:noWrap w:val="0"/>
            <w:vAlign w:val="center"/>
          </w:tcPr>
          <w:p w14:paraId="0EE9834F">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p>
        </w:tc>
      </w:tr>
      <w:tr w14:paraId="732B9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8740" w:type="dxa"/>
            <w:gridSpan w:val="4"/>
            <w:noWrap w:val="0"/>
            <w:vAlign w:val="center"/>
          </w:tcPr>
          <w:p w14:paraId="6B971D6B">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应急处置措施</w:t>
            </w:r>
          </w:p>
        </w:tc>
      </w:tr>
      <w:tr w14:paraId="509C2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8740" w:type="dxa"/>
            <w:gridSpan w:val="4"/>
            <w:noWrap w:val="0"/>
            <w:vAlign w:val="center"/>
          </w:tcPr>
          <w:p w14:paraId="5BC875BD">
            <w:pPr>
              <w:tabs>
                <w:tab w:val="left" w:pos="8100"/>
              </w:tabs>
              <w:spacing w:line="600" w:lineRule="exact"/>
              <w:ind w:right="-153" w:rightChars="-73"/>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r>
    </w:tbl>
    <w:p w14:paraId="5886A0F3">
      <w:pPr>
        <w:tabs>
          <w:tab w:val="left" w:pos="8100"/>
        </w:tabs>
        <w:spacing w:line="240" w:lineRule="auto"/>
        <w:jc w:val="left"/>
        <w:rPr>
          <w:rFonts w:hint="eastAsia" w:ascii="宋体" w:hAnsi="宋体" w:eastAsia="宋体" w:cs="宋体"/>
          <w:b w:val="0"/>
          <w:bCs w:val="0"/>
          <w:color w:val="auto"/>
          <w:sz w:val="18"/>
          <w:szCs w:val="18"/>
        </w:rPr>
      </w:pPr>
      <w:r>
        <w:rPr>
          <w:rFonts w:hint="eastAsia" w:ascii="宋体" w:hAnsi="宋体" w:eastAsia="宋体" w:cs="宋体"/>
          <w:b w:val="0"/>
          <w:bCs w:val="0"/>
          <w:color w:val="auto"/>
          <w:sz w:val="18"/>
          <w:szCs w:val="18"/>
        </w:rPr>
        <w:t>注：1</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按风险等级分（红、黄、蓝）三色管控。</w:t>
      </w:r>
    </w:p>
    <w:p w14:paraId="3DE09CF5">
      <w:pPr>
        <w:tabs>
          <w:tab w:val="left" w:pos="8100"/>
        </w:tabs>
        <w:spacing w:line="240" w:lineRule="auto"/>
        <w:ind w:firstLine="360" w:firstLineChars="200"/>
        <w:jc w:val="left"/>
        <w:rPr>
          <w:rFonts w:hint="eastAsia" w:ascii="宋体" w:hAnsi="宋体" w:eastAsia="宋体" w:cs="宋体"/>
          <w:b w:val="0"/>
          <w:bCs w:val="0"/>
          <w:color w:val="auto"/>
          <w:sz w:val="18"/>
          <w:szCs w:val="18"/>
          <w:lang w:eastAsia="zh-CN"/>
        </w:rPr>
      </w:pPr>
      <w:bookmarkStart w:id="171" w:name="_Toc1735825355_WPSOffice_Level1"/>
      <w:bookmarkStart w:id="172" w:name="_Toc1020219511_WPSOffice_Level1"/>
      <w:r>
        <w:rPr>
          <w:rFonts w:hint="eastAsia" w:ascii="宋体" w:hAnsi="宋体" w:eastAsia="宋体" w:cs="宋体"/>
          <w:b w:val="0"/>
          <w:bCs w:val="0"/>
          <w:color w:val="auto"/>
          <w:sz w:val="18"/>
          <w:szCs w:val="18"/>
        </w:rPr>
        <w:t>2</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告知牌高度1.2m，宽度1.5m</w:t>
      </w:r>
      <w:bookmarkEnd w:id="171"/>
      <w:bookmarkEnd w:id="172"/>
      <w:r>
        <w:rPr>
          <w:rFonts w:hint="eastAsia" w:ascii="宋体" w:hAnsi="宋体" w:cs="宋体"/>
          <w:b w:val="0"/>
          <w:bCs w:val="0"/>
          <w:color w:val="auto"/>
          <w:sz w:val="18"/>
          <w:szCs w:val="18"/>
          <w:lang w:val="en-US" w:eastAsia="zh-CN"/>
        </w:rPr>
        <w:t>。</w:t>
      </w:r>
    </w:p>
    <w:p w14:paraId="3821D3F8">
      <w:pPr>
        <w:tabs>
          <w:tab w:val="left" w:pos="8100"/>
        </w:tabs>
        <w:spacing w:line="240" w:lineRule="auto"/>
        <w:ind w:firstLine="360" w:firstLineChars="200"/>
        <w:jc w:val="left"/>
        <w:rPr>
          <w:rFonts w:hint="eastAsia" w:ascii="宋体" w:hAnsi="宋体" w:eastAsia="宋体" w:cs="宋体"/>
          <w:b w:val="0"/>
          <w:bCs w:val="0"/>
          <w:color w:val="auto"/>
          <w:sz w:val="18"/>
          <w:szCs w:val="18"/>
        </w:rPr>
      </w:pPr>
      <w:bookmarkStart w:id="173" w:name="_Toc1701583039_WPSOffice_Level1"/>
      <w:bookmarkStart w:id="174" w:name="_Toc1430799281_WPSOffice_Level1"/>
      <w:r>
        <w:rPr>
          <w:rFonts w:hint="eastAsia" w:ascii="宋体" w:hAnsi="宋体" w:eastAsia="宋体" w:cs="宋体"/>
          <w:b w:val="0"/>
          <w:bCs w:val="0"/>
          <w:color w:val="auto"/>
          <w:sz w:val="18"/>
          <w:szCs w:val="18"/>
        </w:rPr>
        <w:t>3</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内容供参照，结合各自实际完善提升。</w:t>
      </w:r>
      <w:bookmarkEnd w:id="173"/>
      <w:bookmarkEnd w:id="174"/>
    </w:p>
    <w:p w14:paraId="299400FA">
      <w:pPr>
        <w:widowControl/>
        <w:ind w:firstLine="482" w:firstLineChars="200"/>
        <w:jc w:val="left"/>
        <w:rPr>
          <w:rFonts w:ascii="Times New Roman" w:hAnsi="Times New Roman" w:eastAsia="黑体" w:cs="黑体"/>
          <w:b/>
          <w:bCs/>
          <w:color w:val="00B0F0"/>
          <w:sz w:val="24"/>
        </w:rPr>
      </w:pPr>
    </w:p>
    <w:p w14:paraId="080F4094">
      <w:pPr>
        <w:pStyle w:val="4"/>
        <w:bidi w:val="0"/>
        <w:rPr>
          <w:rFonts w:hint="eastAsia" w:ascii="黑体" w:hAnsi="黑体" w:eastAsia="黑体" w:cs="黑体"/>
          <w:lang w:eastAsia="zh-CN"/>
        </w:rPr>
      </w:pPr>
      <w:bookmarkStart w:id="175" w:name="_Toc1823597230_WPSOffice_Level1"/>
    </w:p>
    <w:p w14:paraId="17C0C02B">
      <w:pPr>
        <w:pStyle w:val="4"/>
        <w:bidi w:val="0"/>
        <w:rPr>
          <w:rFonts w:hint="eastAsia" w:ascii="黑体" w:hAnsi="黑体" w:eastAsia="黑体" w:cs="黑体"/>
          <w:lang w:eastAsia="zh-CN"/>
        </w:rPr>
      </w:pPr>
    </w:p>
    <w:p w14:paraId="46E7D5F9">
      <w:pPr>
        <w:pStyle w:val="4"/>
        <w:bidi w:val="0"/>
        <w:rPr>
          <w:rFonts w:hint="eastAsia" w:ascii="黑体" w:hAnsi="黑体" w:eastAsia="黑体" w:cs="黑体"/>
          <w:lang w:eastAsia="zh-CN"/>
        </w:rPr>
      </w:pPr>
    </w:p>
    <w:p w14:paraId="02CAD79E">
      <w:pPr>
        <w:pStyle w:val="4"/>
        <w:bidi w:val="0"/>
        <w:rPr>
          <w:rFonts w:hint="eastAsia" w:ascii="黑体" w:hAnsi="黑体" w:eastAsia="黑体" w:cs="黑体"/>
          <w:lang w:eastAsia="zh-CN"/>
        </w:rPr>
      </w:pPr>
    </w:p>
    <w:p w14:paraId="68F5D73A">
      <w:pPr>
        <w:pStyle w:val="4"/>
        <w:bidi w:val="0"/>
        <w:rPr>
          <w:rFonts w:hint="eastAsia" w:ascii="黑体" w:hAnsi="黑体" w:eastAsia="黑体" w:cs="黑体"/>
          <w:lang w:eastAsia="zh-CN"/>
        </w:rPr>
      </w:pPr>
    </w:p>
    <w:p w14:paraId="01727451">
      <w:pPr>
        <w:pStyle w:val="4"/>
        <w:bidi w:val="0"/>
        <w:rPr>
          <w:rFonts w:hint="eastAsia" w:ascii="黑体" w:hAnsi="黑体" w:eastAsia="黑体" w:cs="黑体"/>
          <w:lang w:eastAsia="zh-CN"/>
        </w:rPr>
      </w:pPr>
    </w:p>
    <w:p w14:paraId="491AB9AF">
      <w:pPr>
        <w:pStyle w:val="4"/>
        <w:bidi w:val="0"/>
        <w:rPr>
          <w:rFonts w:hint="eastAsia" w:ascii="黑体" w:hAnsi="黑体" w:eastAsia="黑体" w:cs="黑体"/>
          <w:lang w:eastAsia="zh-CN"/>
        </w:rPr>
      </w:pPr>
    </w:p>
    <w:p w14:paraId="01826E0B">
      <w:pPr>
        <w:pStyle w:val="4"/>
        <w:bidi w:val="0"/>
        <w:rPr>
          <w:rFonts w:hint="eastAsia" w:ascii="黑体" w:hAnsi="黑体" w:eastAsia="黑体" w:cs="黑体"/>
          <w:lang w:eastAsia="zh-CN"/>
        </w:rPr>
      </w:pPr>
    </w:p>
    <w:p w14:paraId="317F66C1">
      <w:pPr>
        <w:pStyle w:val="4"/>
        <w:bidi w:val="0"/>
        <w:rPr>
          <w:rFonts w:hint="eastAsia" w:ascii="黑体" w:hAnsi="黑体" w:eastAsia="黑体" w:cs="黑体"/>
          <w:lang w:eastAsia="zh-CN"/>
        </w:rPr>
      </w:pPr>
    </w:p>
    <w:p w14:paraId="7699C586">
      <w:pPr>
        <w:rPr>
          <w:rFonts w:hint="eastAsia"/>
          <w:lang w:eastAsia="zh-CN"/>
        </w:rPr>
      </w:pPr>
    </w:p>
    <w:p w14:paraId="78197074">
      <w:pPr>
        <w:pStyle w:val="4"/>
        <w:bidi w:val="0"/>
        <w:rPr>
          <w:rFonts w:hint="eastAsia" w:ascii="黑体" w:hAnsi="黑体" w:eastAsia="黑体" w:cs="黑体"/>
          <w:lang w:eastAsia="zh-CN"/>
        </w:rPr>
      </w:pPr>
    </w:p>
    <w:p w14:paraId="56ACA7FA">
      <w:pPr>
        <w:rPr>
          <w:rFonts w:hint="eastAsia" w:ascii="黑体" w:hAnsi="黑体" w:eastAsia="黑体" w:cs="黑体"/>
          <w:lang w:eastAsia="zh-CN"/>
        </w:rPr>
      </w:pPr>
    </w:p>
    <w:p w14:paraId="28CB4CC9">
      <w:pPr>
        <w:pStyle w:val="2"/>
        <w:spacing w:before="0" w:beforeLines="0" w:after="0" w:afterLines="0"/>
        <w:rPr>
          <w:rFonts w:hint="eastAsia"/>
          <w:lang w:eastAsia="zh-CN"/>
        </w:rPr>
      </w:pPr>
    </w:p>
    <w:p w14:paraId="58908891">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附录D</w:t>
      </w:r>
    </w:p>
    <w:p w14:paraId="393A46E5">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75"/>
    </w:p>
    <w:p w14:paraId="02092DD1">
      <w:pPr>
        <w:pStyle w:val="4"/>
        <w:bidi w:val="0"/>
        <w:ind w:firstLine="0"/>
        <w:rPr>
          <w:rFonts w:hint="eastAsia" w:ascii="黑体" w:hAnsi="黑体" w:eastAsia="黑体" w:cs="黑体"/>
          <w:b w:val="0"/>
          <w:bCs/>
          <w:lang w:val="en-US" w:eastAsia="zh-CN"/>
        </w:rPr>
      </w:pPr>
      <w:bookmarkStart w:id="176" w:name="_Toc348845779_WPSOffice_Level2"/>
      <w:bookmarkStart w:id="177" w:name="_Toc1542356477_WPSOffice_Level2"/>
      <w:r>
        <w:rPr>
          <w:rFonts w:hint="eastAsia" w:ascii="黑体" w:hAnsi="黑体" w:eastAsia="黑体" w:cs="黑体"/>
          <w:b w:val="0"/>
          <w:bCs/>
          <w:lang w:val="en-US" w:eastAsia="zh-CN"/>
        </w:rPr>
        <w:t>污染防治风险隐患告知卡（模板）</w:t>
      </w:r>
      <w:bookmarkEnd w:id="176"/>
      <w:bookmarkEnd w:id="177"/>
    </w:p>
    <w:p w14:paraId="3CE06C48">
      <w:pPr>
        <w:pStyle w:val="4"/>
        <w:keepNext/>
        <w:keepLines/>
        <w:pageBreakBefore w:val="0"/>
        <w:widowControl w:val="0"/>
        <w:kinsoku/>
        <w:wordWrap/>
        <w:overflowPunct/>
        <w:topLinePunct w:val="0"/>
        <w:autoSpaceDE/>
        <w:autoSpaceDN/>
        <w:bidi w:val="0"/>
        <w:adjustRightInd/>
        <w:snapToGrid/>
        <w:spacing w:after="157" w:afterLines="50"/>
        <w:jc w:val="both"/>
        <w:textAlignment w:val="auto"/>
        <w:rPr>
          <w:rFonts w:hint="eastAsia" w:asciiTheme="majorEastAsia" w:hAnsiTheme="majorEastAsia" w:eastAsiaTheme="majorEastAsia" w:cstheme="majorEastAsia"/>
          <w:lang w:eastAsia="zh-CN"/>
        </w:rPr>
      </w:pPr>
    </w:p>
    <w:p w14:paraId="0025B154">
      <w:pPr>
        <w:pStyle w:val="4"/>
        <w:keepNext/>
        <w:keepLines/>
        <w:pageBreakBefore w:val="0"/>
        <w:widowControl w:val="0"/>
        <w:kinsoku/>
        <w:wordWrap/>
        <w:overflowPunct/>
        <w:topLinePunct w:val="0"/>
        <w:autoSpaceDE/>
        <w:autoSpaceDN/>
        <w:bidi w:val="0"/>
        <w:adjustRightInd/>
        <w:snapToGrid/>
        <w:spacing w:after="157" w:afterLines="50"/>
        <w:jc w:val="both"/>
        <w:textAlignment w:val="auto"/>
        <w:rPr>
          <w:rFonts w:hint="eastAsia" w:asciiTheme="majorEastAsia" w:hAnsiTheme="majorEastAsia" w:eastAsiaTheme="majorEastAsia" w:cstheme="majorEastAsia"/>
          <w:lang w:val="en-US" w:eastAsia="zh-CN"/>
        </w:rPr>
      </w:pPr>
      <w:r>
        <w:rPr>
          <w:rFonts w:hint="eastAsia" w:asciiTheme="majorEastAsia" w:hAnsiTheme="majorEastAsia" w:eastAsiaTheme="majorEastAsia" w:cstheme="majorEastAsia"/>
          <w:lang w:eastAsia="zh-CN"/>
        </w:rPr>
        <w:t>污染防治风险隐患告知卡（模板）见表</w:t>
      </w:r>
      <w:r>
        <w:rPr>
          <w:rFonts w:hint="eastAsia" w:asciiTheme="majorEastAsia" w:hAnsiTheme="majorEastAsia" w:eastAsiaTheme="majorEastAsia" w:cstheme="majorEastAsia"/>
          <w:lang w:val="en-US" w:eastAsia="zh-CN"/>
        </w:rPr>
        <w:t>D.1。</w:t>
      </w:r>
    </w:p>
    <w:p w14:paraId="0B1EE675">
      <w:pPr>
        <w:pStyle w:val="4"/>
        <w:keepNext/>
        <w:keepLines/>
        <w:pageBreakBefore w:val="0"/>
        <w:widowControl w:val="0"/>
        <w:kinsoku/>
        <w:wordWrap/>
        <w:overflowPunct/>
        <w:topLinePunct w:val="0"/>
        <w:autoSpaceDE/>
        <w:autoSpaceDN/>
        <w:bidi w:val="0"/>
        <w:adjustRightInd/>
        <w:snapToGrid/>
        <w:spacing w:after="157" w:afterLines="50"/>
        <w:jc w:val="center"/>
        <w:textAlignment w:val="auto"/>
        <w:rPr>
          <w:rFonts w:hint="eastAsia" w:ascii="黑体" w:hAnsi="黑体" w:cs="黑体"/>
          <w:lang w:eastAsia="zh-CN"/>
        </w:rPr>
      </w:pPr>
    </w:p>
    <w:p w14:paraId="3B7C66B8">
      <w:pPr>
        <w:pStyle w:val="4"/>
        <w:keepNext/>
        <w:keepLines/>
        <w:pageBreakBefore w:val="0"/>
        <w:widowControl w:val="0"/>
        <w:kinsoku/>
        <w:wordWrap/>
        <w:overflowPunct/>
        <w:topLinePunct w:val="0"/>
        <w:autoSpaceDE/>
        <w:autoSpaceDN/>
        <w:bidi w:val="0"/>
        <w:adjustRightInd/>
        <w:snapToGrid/>
        <w:spacing w:after="157" w:afterLines="50"/>
        <w:jc w:val="center"/>
        <w:textAlignment w:val="auto"/>
        <w:rPr>
          <w:rFonts w:hint="default" w:ascii="黑体" w:hAnsi="黑体" w:eastAsia="黑体" w:cs="黑体"/>
          <w:lang w:val="en-US" w:eastAsia="zh-CN"/>
        </w:rPr>
      </w:pPr>
      <w:r>
        <w:rPr>
          <w:rFonts w:hint="eastAsia" w:ascii="黑体" w:hAnsi="黑体" w:cs="黑体"/>
          <w:lang w:eastAsia="zh-CN"/>
        </w:rPr>
        <w:t>表</w:t>
      </w:r>
      <w:r>
        <w:rPr>
          <w:rFonts w:hint="eastAsia" w:ascii="黑体" w:hAnsi="黑体" w:cs="黑体"/>
          <w:lang w:val="en-US" w:eastAsia="zh-CN"/>
        </w:rPr>
        <w:t>D.1</w:t>
      </w:r>
      <w:r>
        <w:rPr>
          <w:rFonts w:hint="eastAsia" w:ascii="黑体" w:hAnsi="黑体" w:eastAsia="黑体" w:cs="黑体"/>
          <w:lang w:eastAsia="zh-CN"/>
        </w:rPr>
        <w:t>污染防治风险隐患告知卡（模板）</w:t>
      </w:r>
    </w:p>
    <w:tbl>
      <w:tblPr>
        <w:tblStyle w:val="15"/>
        <w:tblpPr w:leftFromText="180" w:rightFromText="180" w:vertAnchor="text" w:horzAnchor="page" w:tblpX="1828" w:tblpY="171"/>
        <w:tblOverlap w:val="never"/>
        <w:tblW w:w="49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0"/>
        <w:gridCol w:w="2411"/>
        <w:gridCol w:w="2349"/>
        <w:gridCol w:w="3012"/>
      </w:tblGrid>
      <w:tr w14:paraId="0DC58E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8" w:hRule="atLeast"/>
          <w:jc w:val="center"/>
        </w:trPr>
        <w:tc>
          <w:tcPr>
            <w:tcW w:w="862" w:type="pct"/>
            <w:noWrap w:val="0"/>
            <w:vAlign w:val="center"/>
          </w:tcPr>
          <w:p w14:paraId="0BE5653D">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风险点</w:t>
            </w:r>
          </w:p>
        </w:tc>
        <w:tc>
          <w:tcPr>
            <w:tcW w:w="1283" w:type="pct"/>
            <w:noWrap w:val="0"/>
            <w:vAlign w:val="center"/>
          </w:tcPr>
          <w:p w14:paraId="7BE089A6">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码头前沿水域</w:t>
            </w:r>
          </w:p>
        </w:tc>
        <w:tc>
          <w:tcPr>
            <w:tcW w:w="1250" w:type="pct"/>
            <w:noWrap w:val="0"/>
            <w:vAlign w:val="center"/>
          </w:tcPr>
          <w:p w14:paraId="7FDEA266">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风险概述</w:t>
            </w:r>
          </w:p>
        </w:tc>
        <w:tc>
          <w:tcPr>
            <w:tcW w:w="1603" w:type="pct"/>
            <w:noWrap w:val="0"/>
            <w:vAlign w:val="center"/>
          </w:tcPr>
          <w:p w14:paraId="1F8BA7FA">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码头前沿出现油污泄漏</w:t>
            </w:r>
          </w:p>
        </w:tc>
      </w:tr>
      <w:tr w14:paraId="20645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862" w:type="pct"/>
            <w:noWrap w:val="0"/>
            <w:vAlign w:val="top"/>
          </w:tcPr>
          <w:p w14:paraId="281E85BC">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风险等级</w:t>
            </w:r>
          </w:p>
        </w:tc>
        <w:tc>
          <w:tcPr>
            <w:tcW w:w="1283" w:type="pct"/>
            <w:noWrap w:val="0"/>
            <w:vAlign w:val="top"/>
          </w:tcPr>
          <w:p w14:paraId="4AFE8F0D">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重大风险</w:t>
            </w:r>
          </w:p>
        </w:tc>
        <w:tc>
          <w:tcPr>
            <w:tcW w:w="1250" w:type="pct"/>
            <w:noWrap w:val="0"/>
            <w:vAlign w:val="top"/>
          </w:tcPr>
          <w:p w14:paraId="747EA182">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控制措施</w:t>
            </w:r>
          </w:p>
        </w:tc>
        <w:tc>
          <w:tcPr>
            <w:tcW w:w="1603" w:type="pct"/>
            <w:noWrap w:val="0"/>
            <w:vAlign w:val="top"/>
          </w:tcPr>
          <w:p w14:paraId="7DE00249">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r>
      <w:tr w14:paraId="1B3B7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862" w:type="pct"/>
            <w:noWrap w:val="0"/>
            <w:vAlign w:val="top"/>
          </w:tcPr>
          <w:p w14:paraId="533182AA">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责任单位</w:t>
            </w:r>
          </w:p>
        </w:tc>
        <w:tc>
          <w:tcPr>
            <w:tcW w:w="1283" w:type="pct"/>
            <w:noWrap w:val="0"/>
            <w:vAlign w:val="top"/>
          </w:tcPr>
          <w:p w14:paraId="2411122A">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c>
          <w:tcPr>
            <w:tcW w:w="1250" w:type="pct"/>
            <w:vMerge w:val="restart"/>
            <w:noWrap w:val="0"/>
            <w:vAlign w:val="top"/>
          </w:tcPr>
          <w:p w14:paraId="4E25FDAE">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应急处置措施</w:t>
            </w:r>
          </w:p>
        </w:tc>
        <w:tc>
          <w:tcPr>
            <w:tcW w:w="1603" w:type="pct"/>
            <w:vMerge w:val="restart"/>
            <w:noWrap w:val="0"/>
            <w:vAlign w:val="top"/>
          </w:tcPr>
          <w:p w14:paraId="2AAAECED">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r>
      <w:tr w14:paraId="635C5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862" w:type="pct"/>
            <w:shd w:val="clear" w:color="auto" w:fill="auto"/>
            <w:noWrap w:val="0"/>
            <w:vAlign w:val="top"/>
          </w:tcPr>
          <w:p w14:paraId="6CDD542C">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责任人员</w:t>
            </w:r>
          </w:p>
        </w:tc>
        <w:tc>
          <w:tcPr>
            <w:tcW w:w="1283" w:type="pct"/>
            <w:shd w:val="clear" w:color="auto" w:fill="auto"/>
            <w:noWrap w:val="0"/>
            <w:vAlign w:val="top"/>
          </w:tcPr>
          <w:p w14:paraId="3D933F91">
            <w:pPr>
              <w:spacing w:line="600" w:lineRule="exact"/>
              <w:jc w:val="center"/>
              <w:rPr>
                <w:rFonts w:hint="eastAsia" w:asciiTheme="majorEastAsia" w:hAnsiTheme="majorEastAsia" w:eastAsiaTheme="majorEastAsia" w:cstheme="majorEastAsia"/>
                <w:b w:val="0"/>
                <w:bCs w:val="0"/>
                <w:color w:val="auto"/>
                <w:sz w:val="18"/>
                <w:szCs w:val="18"/>
              </w:rPr>
            </w:pPr>
            <w:r>
              <w:rPr>
                <w:rFonts w:hint="eastAsia" w:asciiTheme="majorEastAsia" w:hAnsiTheme="majorEastAsia" w:eastAsiaTheme="majorEastAsia" w:cstheme="majorEastAsia"/>
                <w:b w:val="0"/>
                <w:bCs w:val="0"/>
                <w:color w:val="auto"/>
                <w:sz w:val="18"/>
                <w:szCs w:val="18"/>
              </w:rPr>
              <w:t>xxxxxx</w:t>
            </w:r>
          </w:p>
        </w:tc>
        <w:tc>
          <w:tcPr>
            <w:tcW w:w="1250" w:type="pct"/>
            <w:vMerge w:val="continue"/>
            <w:shd w:val="clear" w:color="auto" w:fill="FF0000"/>
            <w:noWrap w:val="0"/>
            <w:vAlign w:val="top"/>
          </w:tcPr>
          <w:p w14:paraId="02DA00C1">
            <w:pPr>
              <w:spacing w:line="600" w:lineRule="exact"/>
              <w:jc w:val="center"/>
              <w:rPr>
                <w:rFonts w:hint="eastAsia" w:asciiTheme="majorEastAsia" w:hAnsiTheme="majorEastAsia" w:eastAsiaTheme="majorEastAsia" w:cstheme="majorEastAsia"/>
                <w:b w:val="0"/>
                <w:bCs w:val="0"/>
                <w:color w:val="auto"/>
                <w:sz w:val="21"/>
                <w:szCs w:val="21"/>
              </w:rPr>
            </w:pPr>
          </w:p>
        </w:tc>
        <w:tc>
          <w:tcPr>
            <w:tcW w:w="1603" w:type="pct"/>
            <w:vMerge w:val="continue"/>
            <w:shd w:val="clear" w:color="auto" w:fill="D9E2F3"/>
            <w:noWrap w:val="0"/>
            <w:vAlign w:val="top"/>
          </w:tcPr>
          <w:p w14:paraId="1BA3671D">
            <w:pPr>
              <w:numPr>
                <w:ilvl w:val="0"/>
                <w:numId w:val="2"/>
              </w:numPr>
              <w:spacing w:line="600" w:lineRule="exact"/>
              <w:jc w:val="center"/>
              <w:rPr>
                <w:rFonts w:hint="eastAsia" w:asciiTheme="majorEastAsia" w:hAnsiTheme="majorEastAsia" w:eastAsiaTheme="majorEastAsia" w:cstheme="majorEastAsia"/>
                <w:b w:val="0"/>
                <w:bCs w:val="0"/>
                <w:color w:val="auto"/>
                <w:sz w:val="21"/>
                <w:szCs w:val="21"/>
              </w:rPr>
            </w:pPr>
          </w:p>
        </w:tc>
      </w:tr>
    </w:tbl>
    <w:p w14:paraId="54F9E2D4">
      <w:pPr>
        <w:tabs>
          <w:tab w:val="left" w:pos="8100"/>
        </w:tabs>
        <w:spacing w:line="280" w:lineRule="exact"/>
        <w:ind w:right="-153" w:rightChars="-73"/>
        <w:rPr>
          <w:rFonts w:hint="eastAsia" w:ascii="Times New Roman" w:hAnsi="Times New Roman" w:eastAsia="仿宋_GB2312"/>
          <w:b/>
          <w:bCs/>
          <w:sz w:val="18"/>
          <w:szCs w:val="18"/>
        </w:rPr>
      </w:pPr>
    </w:p>
    <w:p w14:paraId="6AEDB968">
      <w:pPr>
        <w:tabs>
          <w:tab w:val="left" w:pos="8100"/>
        </w:tabs>
        <w:spacing w:line="240" w:lineRule="auto"/>
        <w:ind w:firstLine="180" w:firstLineChars="100"/>
        <w:rPr>
          <w:rFonts w:hint="eastAsia" w:ascii="宋体" w:hAnsi="宋体" w:eastAsia="宋体" w:cs="宋体"/>
          <w:b w:val="0"/>
          <w:bCs w:val="0"/>
          <w:color w:val="auto"/>
          <w:sz w:val="18"/>
          <w:szCs w:val="18"/>
        </w:rPr>
      </w:pPr>
      <w:r>
        <w:rPr>
          <w:rFonts w:hint="eastAsia" w:ascii="宋体" w:hAnsi="宋体" w:eastAsia="宋体" w:cs="宋体"/>
          <w:b w:val="0"/>
          <w:bCs w:val="0"/>
          <w:color w:val="auto"/>
          <w:sz w:val="18"/>
          <w:szCs w:val="18"/>
        </w:rPr>
        <w:t>注：1</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按风险等级分（红、黄、蓝）三色管控。</w:t>
      </w:r>
    </w:p>
    <w:p w14:paraId="32FCA37C">
      <w:pPr>
        <w:tabs>
          <w:tab w:val="left" w:pos="8100"/>
        </w:tabs>
        <w:spacing w:line="240" w:lineRule="auto"/>
        <w:ind w:firstLine="540" w:firstLineChars="300"/>
        <w:rPr>
          <w:rFonts w:hint="eastAsia" w:ascii="宋体" w:hAnsi="宋体" w:eastAsia="宋体" w:cs="宋体"/>
          <w:b w:val="0"/>
          <w:bCs w:val="0"/>
          <w:color w:val="auto"/>
          <w:sz w:val="18"/>
          <w:szCs w:val="18"/>
        </w:rPr>
      </w:pPr>
      <w:bookmarkStart w:id="178" w:name="_Toc644188383_WPSOffice_Level1"/>
      <w:bookmarkStart w:id="179" w:name="_Toc1650333137_WPSOffice_Level1"/>
      <w:r>
        <w:rPr>
          <w:rFonts w:hint="eastAsia" w:ascii="宋体" w:hAnsi="宋体" w:eastAsia="宋体" w:cs="宋体"/>
          <w:b w:val="0"/>
          <w:bCs w:val="0"/>
          <w:color w:val="auto"/>
          <w:sz w:val="18"/>
          <w:szCs w:val="18"/>
        </w:rPr>
        <w:t>2</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告知卡高度15cm,宽度10cm。</w:t>
      </w:r>
      <w:bookmarkEnd w:id="178"/>
      <w:bookmarkEnd w:id="179"/>
    </w:p>
    <w:p w14:paraId="77EB9F47">
      <w:pPr>
        <w:tabs>
          <w:tab w:val="left" w:pos="8100"/>
        </w:tabs>
        <w:spacing w:line="240" w:lineRule="auto"/>
        <w:ind w:firstLine="540" w:firstLineChars="300"/>
        <w:jc w:val="left"/>
        <w:rPr>
          <w:rFonts w:hint="eastAsia" w:ascii="宋体" w:hAnsi="宋体" w:eastAsia="宋体" w:cs="宋体"/>
          <w:b w:val="0"/>
          <w:bCs w:val="0"/>
          <w:color w:val="auto"/>
          <w:sz w:val="18"/>
          <w:szCs w:val="18"/>
        </w:rPr>
      </w:pPr>
      <w:bookmarkStart w:id="180" w:name="_Toc1538702591_WPSOffice_Level1"/>
      <w:bookmarkStart w:id="181" w:name="_Toc1166101734_WPSOffice_Level1"/>
      <w:r>
        <w:rPr>
          <w:rFonts w:hint="eastAsia" w:ascii="宋体" w:hAnsi="宋体" w:eastAsia="宋体" w:cs="宋体"/>
          <w:b w:val="0"/>
          <w:bCs w:val="0"/>
          <w:color w:val="auto"/>
          <w:sz w:val="18"/>
          <w:szCs w:val="18"/>
        </w:rPr>
        <w:t>3</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内容供参照，结合各自实际完善提升。</w:t>
      </w:r>
      <w:bookmarkEnd w:id="180"/>
      <w:bookmarkEnd w:id="181"/>
    </w:p>
    <w:p w14:paraId="1DF92E7E">
      <w:pPr>
        <w:widowControl/>
        <w:ind w:firstLine="482" w:firstLineChars="200"/>
        <w:jc w:val="left"/>
        <w:rPr>
          <w:rFonts w:ascii="Times New Roman" w:hAnsi="Times New Roman" w:eastAsia="黑体" w:cs="黑体"/>
          <w:b/>
          <w:bCs/>
          <w:color w:val="00B0F0"/>
          <w:sz w:val="24"/>
        </w:rPr>
      </w:pPr>
    </w:p>
    <w:p w14:paraId="40DB104F">
      <w:pPr>
        <w:tabs>
          <w:tab w:val="left" w:pos="8100"/>
        </w:tabs>
        <w:spacing w:line="600" w:lineRule="exact"/>
        <w:ind w:right="-153" w:rightChars="-73"/>
        <w:rPr>
          <w:rFonts w:hint="eastAsia" w:ascii="Times New Roman" w:hAnsi="Times New Roman" w:eastAsia="方正黑体简体" w:cs="方正黑体简体"/>
          <w:b/>
          <w:bCs/>
          <w:color w:val="000000"/>
          <w:sz w:val="32"/>
          <w:szCs w:val="32"/>
        </w:rPr>
        <w:sectPr>
          <w:pgSz w:w="11906" w:h="16838"/>
          <w:pgMar w:top="1440" w:right="1020" w:bottom="1440" w:left="1701" w:header="851" w:footer="992" w:gutter="0"/>
          <w:pgNumType w:fmt="decimal"/>
          <w:cols w:space="720" w:num="1"/>
          <w:docGrid w:type="lines" w:linePitch="312" w:charSpace="0"/>
        </w:sectPr>
      </w:pPr>
    </w:p>
    <w:p w14:paraId="735157AA">
      <w:pPr>
        <w:pStyle w:val="4"/>
        <w:bidi w:val="0"/>
        <w:ind w:firstLine="0"/>
        <w:rPr>
          <w:rFonts w:hint="eastAsia" w:ascii="黑体" w:hAnsi="黑体" w:eastAsia="黑体" w:cs="黑体"/>
          <w:b w:val="0"/>
          <w:bCs/>
          <w:lang w:val="en-US" w:eastAsia="zh-CN"/>
        </w:rPr>
      </w:pPr>
      <w:bookmarkStart w:id="182" w:name="_Toc721630062_WPSOffice_Level1"/>
      <w:r>
        <w:rPr>
          <w:rFonts w:hint="eastAsia" w:ascii="黑体" w:hAnsi="黑体" w:eastAsia="黑体" w:cs="黑体"/>
          <w:b w:val="0"/>
          <w:bCs/>
          <w:lang w:val="en-US" w:eastAsia="zh-CN"/>
        </w:rPr>
        <w:t>附录E</w:t>
      </w:r>
    </w:p>
    <w:p w14:paraId="7A313DEC">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82"/>
    </w:p>
    <w:p w14:paraId="55F49E69">
      <w:pPr>
        <w:pStyle w:val="4"/>
        <w:bidi w:val="0"/>
        <w:ind w:firstLine="0"/>
        <w:rPr>
          <w:rFonts w:hint="eastAsia" w:ascii="黑体" w:hAnsi="黑体" w:eastAsia="黑体" w:cs="黑体"/>
          <w:b w:val="0"/>
          <w:bCs/>
          <w:lang w:val="en-US" w:eastAsia="zh-CN"/>
        </w:rPr>
      </w:pPr>
      <w:bookmarkStart w:id="183" w:name="_Toc475562816_WPSOffice_Level2"/>
      <w:bookmarkStart w:id="184" w:name="_Toc545481187_WPSOffice_Level1"/>
      <w:r>
        <w:rPr>
          <w:rFonts w:hint="eastAsia" w:ascii="黑体" w:hAnsi="黑体" w:eastAsia="黑体" w:cs="黑体"/>
          <w:b w:val="0"/>
          <w:bCs/>
          <w:lang w:val="en-US" w:eastAsia="zh-CN"/>
        </w:rPr>
        <w:t>污染防治风险隐患分级管控清单（模板）</w:t>
      </w:r>
      <w:bookmarkEnd w:id="183"/>
      <w:bookmarkEnd w:id="184"/>
    </w:p>
    <w:p w14:paraId="278BE030">
      <w:pPr>
        <w:keepNext w:val="0"/>
        <w:keepLines w:val="0"/>
        <w:pageBreakBefore w:val="0"/>
        <w:widowControl w:val="0"/>
        <w:tabs>
          <w:tab w:val="left" w:pos="8100"/>
        </w:tabs>
        <w:kinsoku/>
        <w:wordWrap/>
        <w:overflowPunct/>
        <w:topLinePunct w:val="0"/>
        <w:autoSpaceDE/>
        <w:autoSpaceDN/>
        <w:bidi w:val="0"/>
        <w:adjustRightInd/>
        <w:snapToGrid/>
        <w:spacing w:after="157" w:afterLines="50" w:line="240" w:lineRule="auto"/>
        <w:ind w:right="-153" w:rightChars="-73"/>
        <w:jc w:val="both"/>
        <w:textAlignment w:val="auto"/>
        <w:rPr>
          <w:rFonts w:hint="eastAsia" w:asciiTheme="majorEastAsia" w:hAnsiTheme="majorEastAsia" w:eastAsiaTheme="majorEastAsia" w:cstheme="majorEastAsia"/>
          <w:bCs/>
          <w:kern w:val="2"/>
          <w:sz w:val="21"/>
          <w:szCs w:val="32"/>
          <w:lang w:val="en-US" w:eastAsia="zh-CN" w:bidi="ar-SA"/>
        </w:rPr>
      </w:pPr>
    </w:p>
    <w:p w14:paraId="6FBF83FC">
      <w:pPr>
        <w:keepNext w:val="0"/>
        <w:keepLines w:val="0"/>
        <w:pageBreakBefore w:val="0"/>
        <w:widowControl w:val="0"/>
        <w:tabs>
          <w:tab w:val="left" w:pos="8100"/>
        </w:tabs>
        <w:kinsoku/>
        <w:wordWrap/>
        <w:overflowPunct/>
        <w:topLinePunct w:val="0"/>
        <w:autoSpaceDE/>
        <w:autoSpaceDN/>
        <w:bidi w:val="0"/>
        <w:adjustRightInd/>
        <w:snapToGrid/>
        <w:spacing w:after="157" w:afterLines="50" w:line="240" w:lineRule="auto"/>
        <w:ind w:right="-153" w:rightChars="-73"/>
        <w:jc w:val="both"/>
        <w:textAlignment w:val="auto"/>
        <w:rPr>
          <w:rFonts w:hint="eastAsia" w:asciiTheme="majorEastAsia" w:hAnsiTheme="majorEastAsia" w:eastAsiaTheme="majorEastAsia" w:cstheme="majorEastAsia"/>
          <w:bCs/>
          <w:kern w:val="2"/>
          <w:sz w:val="21"/>
          <w:szCs w:val="32"/>
          <w:lang w:val="en-US" w:eastAsia="zh-CN" w:bidi="ar-SA"/>
        </w:rPr>
      </w:pPr>
      <w:r>
        <w:rPr>
          <w:rFonts w:hint="eastAsia" w:asciiTheme="majorEastAsia" w:hAnsiTheme="majorEastAsia" w:eastAsiaTheme="majorEastAsia" w:cstheme="majorEastAsia"/>
          <w:bCs/>
          <w:kern w:val="2"/>
          <w:sz w:val="21"/>
          <w:szCs w:val="32"/>
          <w:lang w:val="en-US" w:eastAsia="zh-CN" w:bidi="ar-SA"/>
        </w:rPr>
        <w:t>污染防治风险隐患分级管控清单（模板）见表E.1。</w:t>
      </w:r>
    </w:p>
    <w:p w14:paraId="685DE5C3">
      <w:pPr>
        <w:keepNext w:val="0"/>
        <w:keepLines w:val="0"/>
        <w:pageBreakBefore w:val="0"/>
        <w:widowControl w:val="0"/>
        <w:tabs>
          <w:tab w:val="left" w:pos="8100"/>
        </w:tabs>
        <w:kinsoku/>
        <w:wordWrap/>
        <w:overflowPunct/>
        <w:topLinePunct w:val="0"/>
        <w:autoSpaceDE/>
        <w:autoSpaceDN/>
        <w:bidi w:val="0"/>
        <w:adjustRightInd/>
        <w:snapToGrid/>
        <w:spacing w:after="157" w:afterLines="50" w:line="240" w:lineRule="auto"/>
        <w:ind w:right="-153" w:rightChars="-73"/>
        <w:jc w:val="center"/>
        <w:textAlignment w:val="auto"/>
        <w:rPr>
          <w:rFonts w:hint="eastAsia" w:ascii="Tahoma" w:hAnsi="Tahoma" w:eastAsia="黑体" w:cs="Times New Roman"/>
          <w:bCs/>
          <w:kern w:val="2"/>
          <w:sz w:val="21"/>
          <w:szCs w:val="32"/>
          <w:lang w:val="en-US" w:eastAsia="zh-CN" w:bidi="ar-SA"/>
        </w:rPr>
      </w:pPr>
    </w:p>
    <w:p w14:paraId="708E3269">
      <w:pPr>
        <w:keepNext w:val="0"/>
        <w:keepLines w:val="0"/>
        <w:pageBreakBefore w:val="0"/>
        <w:widowControl w:val="0"/>
        <w:tabs>
          <w:tab w:val="left" w:pos="8100"/>
        </w:tabs>
        <w:kinsoku/>
        <w:wordWrap/>
        <w:overflowPunct/>
        <w:topLinePunct w:val="0"/>
        <w:autoSpaceDE/>
        <w:autoSpaceDN/>
        <w:bidi w:val="0"/>
        <w:adjustRightInd/>
        <w:snapToGrid/>
        <w:spacing w:after="157" w:afterLines="50" w:line="240" w:lineRule="auto"/>
        <w:ind w:right="-153" w:rightChars="-73"/>
        <w:jc w:val="center"/>
        <w:textAlignment w:val="auto"/>
        <w:rPr>
          <w:rFonts w:hint="eastAsia" w:ascii="Tahoma" w:hAnsi="Tahoma" w:eastAsia="黑体" w:cs="Times New Roman"/>
          <w:bCs/>
          <w:kern w:val="2"/>
          <w:sz w:val="21"/>
          <w:szCs w:val="32"/>
          <w:lang w:val="en-US" w:eastAsia="zh-CN" w:bidi="ar-SA"/>
        </w:rPr>
      </w:pPr>
      <w:r>
        <w:rPr>
          <w:rFonts w:hint="eastAsia" w:ascii="Tahoma" w:hAnsi="Tahoma" w:eastAsia="黑体" w:cs="Times New Roman"/>
          <w:bCs/>
          <w:kern w:val="2"/>
          <w:sz w:val="21"/>
          <w:szCs w:val="32"/>
          <w:lang w:val="en-US" w:eastAsia="zh-CN" w:bidi="ar-SA"/>
        </w:rPr>
        <w:t>表E.1污染防治风险隐患分级管控清单（模板）</w:t>
      </w:r>
    </w:p>
    <w:tbl>
      <w:tblPr>
        <w:tblStyle w:val="15"/>
        <w:tblW w:w="99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2"/>
        <w:gridCol w:w="806"/>
        <w:gridCol w:w="844"/>
        <w:gridCol w:w="2357"/>
        <w:gridCol w:w="1131"/>
        <w:gridCol w:w="1181"/>
        <w:gridCol w:w="1237"/>
        <w:gridCol w:w="1048"/>
      </w:tblGrid>
      <w:tr w14:paraId="266CA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312" w:type="dxa"/>
            <w:noWrap w:val="0"/>
            <w:vAlign w:val="center"/>
          </w:tcPr>
          <w:p w14:paraId="43997D74">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评价级别</w:t>
            </w:r>
          </w:p>
        </w:tc>
        <w:tc>
          <w:tcPr>
            <w:tcW w:w="806" w:type="dxa"/>
            <w:noWrap w:val="0"/>
            <w:vAlign w:val="center"/>
          </w:tcPr>
          <w:p w14:paraId="6C59920A">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等级</w:t>
            </w:r>
          </w:p>
        </w:tc>
        <w:tc>
          <w:tcPr>
            <w:tcW w:w="844" w:type="dxa"/>
            <w:noWrap w:val="0"/>
            <w:vAlign w:val="center"/>
          </w:tcPr>
          <w:p w14:paraId="5663B1D8">
            <w:pPr>
              <w:tabs>
                <w:tab w:val="left" w:pos="8100"/>
              </w:tabs>
              <w:spacing w:line="600" w:lineRule="exact"/>
              <w:ind w:right="-153" w:rightChars="-73" w:firstLine="90" w:firstLineChars="50"/>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点位</w:t>
            </w:r>
          </w:p>
        </w:tc>
        <w:tc>
          <w:tcPr>
            <w:tcW w:w="2357" w:type="dxa"/>
            <w:noWrap w:val="0"/>
            <w:vAlign w:val="center"/>
          </w:tcPr>
          <w:p w14:paraId="46C94E8C">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风险隐患</w:t>
            </w:r>
          </w:p>
        </w:tc>
        <w:tc>
          <w:tcPr>
            <w:tcW w:w="1131" w:type="dxa"/>
            <w:noWrap w:val="0"/>
            <w:vAlign w:val="center"/>
          </w:tcPr>
          <w:p w14:paraId="71B2A6F6">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管控措施</w:t>
            </w:r>
          </w:p>
        </w:tc>
        <w:tc>
          <w:tcPr>
            <w:tcW w:w="1181" w:type="dxa"/>
            <w:noWrap w:val="0"/>
            <w:vAlign w:val="center"/>
          </w:tcPr>
          <w:p w14:paraId="1100646F">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管控层级</w:t>
            </w:r>
          </w:p>
        </w:tc>
        <w:tc>
          <w:tcPr>
            <w:tcW w:w="1237" w:type="dxa"/>
            <w:noWrap w:val="0"/>
            <w:vAlign w:val="center"/>
          </w:tcPr>
          <w:p w14:paraId="638407D5">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责任部门</w:t>
            </w:r>
          </w:p>
        </w:tc>
        <w:tc>
          <w:tcPr>
            <w:tcW w:w="1048" w:type="dxa"/>
            <w:noWrap w:val="0"/>
            <w:vAlign w:val="center"/>
          </w:tcPr>
          <w:p w14:paraId="72C0E10F">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责任人</w:t>
            </w:r>
          </w:p>
        </w:tc>
      </w:tr>
      <w:tr w14:paraId="6680B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jc w:val="center"/>
        </w:trPr>
        <w:tc>
          <w:tcPr>
            <w:tcW w:w="1312" w:type="dxa"/>
            <w:vMerge w:val="restart"/>
            <w:noWrap w:val="0"/>
            <w:vAlign w:val="center"/>
          </w:tcPr>
          <w:p w14:paraId="065530ED">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重大风险</w:t>
            </w:r>
          </w:p>
        </w:tc>
        <w:tc>
          <w:tcPr>
            <w:tcW w:w="806" w:type="dxa"/>
            <w:vMerge w:val="restart"/>
            <w:noWrap w:val="0"/>
            <w:vAlign w:val="center"/>
          </w:tcPr>
          <w:p w14:paraId="66BAE4DC">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红色</w:t>
            </w:r>
          </w:p>
        </w:tc>
        <w:tc>
          <w:tcPr>
            <w:tcW w:w="844" w:type="dxa"/>
            <w:noWrap w:val="0"/>
            <w:vAlign w:val="center"/>
          </w:tcPr>
          <w:p w14:paraId="40731D2F">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疏港路</w:t>
            </w:r>
          </w:p>
        </w:tc>
        <w:tc>
          <w:tcPr>
            <w:tcW w:w="2357" w:type="dxa"/>
            <w:vMerge w:val="restart"/>
            <w:noWrap w:val="0"/>
            <w:vAlign w:val="center"/>
          </w:tcPr>
          <w:p w14:paraId="61E6EF78">
            <w:pPr>
              <w:rPr>
                <w:rFonts w:hint="eastAsia" w:ascii="宋体" w:hAnsi="宋体" w:eastAsia="宋体" w:cs="宋体"/>
                <w:b w:val="0"/>
                <w:bCs w:val="0"/>
                <w:sz w:val="18"/>
                <w:szCs w:val="18"/>
              </w:rPr>
            </w:pPr>
            <w:r>
              <w:rPr>
                <w:rFonts w:hint="eastAsia" w:ascii="宋体" w:hAnsi="宋体" w:eastAsia="宋体" w:cs="宋体"/>
                <w:b w:val="0"/>
                <w:bCs w:val="0"/>
                <w:sz w:val="18"/>
                <w:szCs w:val="18"/>
              </w:rPr>
              <w:t>包括但不限于：油污染、港区污水外排溢流、作业扬尘、疏港路扬尘、重污染应急期间违规作业等。</w:t>
            </w:r>
          </w:p>
        </w:tc>
        <w:tc>
          <w:tcPr>
            <w:tcW w:w="1131" w:type="dxa"/>
            <w:noWrap w:val="0"/>
            <w:vAlign w:val="center"/>
          </w:tcPr>
          <w:p w14:paraId="618C832E">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398B1771">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53F13F62">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6D8B0120">
            <w:pPr>
              <w:tabs>
                <w:tab w:val="left" w:pos="8100"/>
              </w:tabs>
              <w:spacing w:line="600" w:lineRule="exact"/>
              <w:ind w:right="-153" w:rightChars="-73"/>
              <w:rPr>
                <w:rFonts w:hint="eastAsia" w:ascii="宋体" w:hAnsi="宋体" w:eastAsia="宋体" w:cs="宋体"/>
                <w:b w:val="0"/>
                <w:bCs w:val="0"/>
                <w:sz w:val="18"/>
                <w:szCs w:val="18"/>
              </w:rPr>
            </w:pPr>
          </w:p>
        </w:tc>
      </w:tr>
      <w:tr w14:paraId="2CA5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1312" w:type="dxa"/>
            <w:vMerge w:val="continue"/>
            <w:noWrap w:val="0"/>
            <w:vAlign w:val="center"/>
          </w:tcPr>
          <w:p w14:paraId="13B49274">
            <w:pPr>
              <w:tabs>
                <w:tab w:val="left" w:pos="8100"/>
              </w:tabs>
              <w:spacing w:line="600" w:lineRule="exact"/>
              <w:ind w:right="-153" w:rightChars="-73"/>
              <w:rPr>
                <w:rFonts w:hint="eastAsia" w:ascii="宋体" w:hAnsi="宋体" w:eastAsia="宋体" w:cs="宋体"/>
                <w:b w:val="0"/>
                <w:bCs w:val="0"/>
                <w:sz w:val="18"/>
                <w:szCs w:val="18"/>
              </w:rPr>
            </w:pPr>
          </w:p>
        </w:tc>
        <w:tc>
          <w:tcPr>
            <w:tcW w:w="806" w:type="dxa"/>
            <w:vMerge w:val="continue"/>
            <w:noWrap w:val="0"/>
            <w:vAlign w:val="center"/>
          </w:tcPr>
          <w:p w14:paraId="721F7285">
            <w:pPr>
              <w:tabs>
                <w:tab w:val="left" w:pos="8100"/>
              </w:tabs>
              <w:spacing w:line="600" w:lineRule="exact"/>
              <w:ind w:right="-153" w:rightChars="-73"/>
              <w:rPr>
                <w:rFonts w:hint="eastAsia" w:ascii="宋体" w:hAnsi="宋体" w:eastAsia="宋体" w:cs="宋体"/>
                <w:b w:val="0"/>
                <w:bCs w:val="0"/>
                <w:sz w:val="18"/>
                <w:szCs w:val="18"/>
              </w:rPr>
            </w:pPr>
          </w:p>
        </w:tc>
        <w:tc>
          <w:tcPr>
            <w:tcW w:w="844" w:type="dxa"/>
            <w:noWrap w:val="0"/>
            <w:vAlign w:val="center"/>
          </w:tcPr>
          <w:p w14:paraId="23E7A9B5">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堆场</w:t>
            </w:r>
          </w:p>
        </w:tc>
        <w:tc>
          <w:tcPr>
            <w:tcW w:w="2357" w:type="dxa"/>
            <w:vMerge w:val="continue"/>
            <w:noWrap w:val="0"/>
            <w:vAlign w:val="center"/>
          </w:tcPr>
          <w:p w14:paraId="7510D85A">
            <w:pPr>
              <w:rPr>
                <w:rFonts w:hint="eastAsia" w:ascii="宋体" w:hAnsi="宋体" w:eastAsia="宋体" w:cs="宋体"/>
                <w:b w:val="0"/>
                <w:bCs w:val="0"/>
                <w:sz w:val="18"/>
                <w:szCs w:val="18"/>
              </w:rPr>
            </w:pPr>
          </w:p>
        </w:tc>
        <w:tc>
          <w:tcPr>
            <w:tcW w:w="1131" w:type="dxa"/>
            <w:noWrap w:val="0"/>
            <w:vAlign w:val="center"/>
          </w:tcPr>
          <w:p w14:paraId="3F1DB661">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70839C7C">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5992DAF1">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58C9ACCC">
            <w:pPr>
              <w:tabs>
                <w:tab w:val="left" w:pos="8100"/>
              </w:tabs>
              <w:spacing w:line="600" w:lineRule="exact"/>
              <w:ind w:right="-153" w:rightChars="-73"/>
              <w:rPr>
                <w:rFonts w:hint="eastAsia" w:ascii="宋体" w:hAnsi="宋体" w:eastAsia="宋体" w:cs="宋体"/>
                <w:b w:val="0"/>
                <w:bCs w:val="0"/>
                <w:sz w:val="18"/>
                <w:szCs w:val="18"/>
              </w:rPr>
            </w:pPr>
          </w:p>
        </w:tc>
      </w:tr>
      <w:tr w14:paraId="44503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1" w:hRule="atLeast"/>
          <w:jc w:val="center"/>
        </w:trPr>
        <w:tc>
          <w:tcPr>
            <w:tcW w:w="1312" w:type="dxa"/>
            <w:vMerge w:val="continue"/>
            <w:noWrap w:val="0"/>
            <w:vAlign w:val="center"/>
          </w:tcPr>
          <w:p w14:paraId="30361E20">
            <w:pPr>
              <w:tabs>
                <w:tab w:val="left" w:pos="8100"/>
              </w:tabs>
              <w:spacing w:line="600" w:lineRule="exact"/>
              <w:ind w:right="-153" w:rightChars="-73"/>
              <w:rPr>
                <w:rFonts w:hint="eastAsia" w:ascii="宋体" w:hAnsi="宋体" w:eastAsia="宋体" w:cs="宋体"/>
                <w:b w:val="0"/>
                <w:bCs w:val="0"/>
                <w:sz w:val="18"/>
                <w:szCs w:val="18"/>
              </w:rPr>
            </w:pPr>
          </w:p>
        </w:tc>
        <w:tc>
          <w:tcPr>
            <w:tcW w:w="806" w:type="dxa"/>
            <w:vMerge w:val="continue"/>
            <w:noWrap w:val="0"/>
            <w:vAlign w:val="center"/>
          </w:tcPr>
          <w:p w14:paraId="075F4C08">
            <w:pPr>
              <w:tabs>
                <w:tab w:val="left" w:pos="8100"/>
              </w:tabs>
              <w:spacing w:line="600" w:lineRule="exact"/>
              <w:ind w:right="-153" w:rightChars="-73"/>
              <w:rPr>
                <w:rFonts w:hint="eastAsia" w:ascii="宋体" w:hAnsi="宋体" w:eastAsia="宋体" w:cs="宋体"/>
                <w:b w:val="0"/>
                <w:bCs w:val="0"/>
                <w:sz w:val="18"/>
                <w:szCs w:val="18"/>
              </w:rPr>
            </w:pPr>
          </w:p>
        </w:tc>
        <w:tc>
          <w:tcPr>
            <w:tcW w:w="844" w:type="dxa"/>
            <w:noWrap w:val="0"/>
            <w:vAlign w:val="center"/>
          </w:tcPr>
          <w:p w14:paraId="59AFAC32">
            <w:pPr>
              <w:tabs>
                <w:tab w:val="left" w:pos="8100"/>
              </w:tabs>
              <w:spacing w:line="600" w:lineRule="exact"/>
              <w:ind w:right="-153" w:rightChars="-73"/>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XXXX</w:t>
            </w:r>
          </w:p>
        </w:tc>
        <w:tc>
          <w:tcPr>
            <w:tcW w:w="2357" w:type="dxa"/>
            <w:vMerge w:val="continue"/>
            <w:noWrap w:val="0"/>
            <w:vAlign w:val="center"/>
          </w:tcPr>
          <w:p w14:paraId="08CCE9A3">
            <w:pPr>
              <w:rPr>
                <w:rFonts w:hint="eastAsia" w:ascii="宋体" w:hAnsi="宋体" w:eastAsia="宋体" w:cs="宋体"/>
                <w:b w:val="0"/>
                <w:bCs w:val="0"/>
                <w:sz w:val="18"/>
                <w:szCs w:val="18"/>
              </w:rPr>
            </w:pPr>
          </w:p>
        </w:tc>
        <w:tc>
          <w:tcPr>
            <w:tcW w:w="1131" w:type="dxa"/>
            <w:noWrap w:val="0"/>
            <w:vAlign w:val="center"/>
          </w:tcPr>
          <w:p w14:paraId="4935B692">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6E9D03A3">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5241F465">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0265ED0B">
            <w:pPr>
              <w:tabs>
                <w:tab w:val="left" w:pos="8100"/>
              </w:tabs>
              <w:spacing w:line="600" w:lineRule="exact"/>
              <w:ind w:right="-153" w:rightChars="-73"/>
              <w:rPr>
                <w:rFonts w:hint="eastAsia" w:ascii="宋体" w:hAnsi="宋体" w:eastAsia="宋体" w:cs="宋体"/>
                <w:b w:val="0"/>
                <w:bCs w:val="0"/>
                <w:sz w:val="18"/>
                <w:szCs w:val="18"/>
              </w:rPr>
            </w:pPr>
          </w:p>
        </w:tc>
      </w:tr>
      <w:tr w14:paraId="4EA2C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1312" w:type="dxa"/>
            <w:vMerge w:val="restart"/>
            <w:noWrap w:val="0"/>
            <w:vAlign w:val="center"/>
          </w:tcPr>
          <w:p w14:paraId="3BB56EA8">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较大风险</w:t>
            </w:r>
          </w:p>
        </w:tc>
        <w:tc>
          <w:tcPr>
            <w:tcW w:w="806" w:type="dxa"/>
            <w:vMerge w:val="restart"/>
            <w:noWrap w:val="0"/>
            <w:vAlign w:val="center"/>
          </w:tcPr>
          <w:p w14:paraId="3ACAC300">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黄色</w:t>
            </w:r>
          </w:p>
        </w:tc>
        <w:tc>
          <w:tcPr>
            <w:tcW w:w="844" w:type="dxa"/>
            <w:noWrap w:val="0"/>
            <w:vAlign w:val="center"/>
          </w:tcPr>
          <w:p w14:paraId="4A9F7925">
            <w:pPr>
              <w:tabs>
                <w:tab w:val="left" w:pos="8100"/>
              </w:tabs>
              <w:spacing w:line="600" w:lineRule="exact"/>
              <w:ind w:right="-153" w:rightChars="-73"/>
              <w:rPr>
                <w:rFonts w:hint="eastAsia" w:ascii="宋体" w:hAnsi="宋体" w:eastAsia="宋体" w:cs="宋体"/>
                <w:b w:val="0"/>
                <w:bCs w:val="0"/>
                <w:sz w:val="18"/>
                <w:szCs w:val="18"/>
              </w:rPr>
            </w:pPr>
          </w:p>
        </w:tc>
        <w:tc>
          <w:tcPr>
            <w:tcW w:w="2357" w:type="dxa"/>
            <w:vMerge w:val="restart"/>
            <w:noWrap w:val="0"/>
            <w:vAlign w:val="center"/>
          </w:tcPr>
          <w:p w14:paraId="1ED9F2E9">
            <w:pPr>
              <w:rPr>
                <w:rFonts w:hint="eastAsia" w:ascii="宋体" w:hAnsi="宋体" w:eastAsia="宋体" w:cs="宋体"/>
                <w:b w:val="0"/>
                <w:bCs w:val="0"/>
                <w:sz w:val="18"/>
                <w:szCs w:val="18"/>
              </w:rPr>
            </w:pPr>
            <w:r>
              <w:rPr>
                <w:rFonts w:hint="eastAsia" w:ascii="宋体" w:hAnsi="宋体" w:eastAsia="宋体" w:cs="宋体"/>
                <w:b w:val="0"/>
                <w:bCs w:val="0"/>
                <w:sz w:val="18"/>
                <w:szCs w:val="18"/>
              </w:rPr>
              <w:t>包括但不限于：雾炮未开启、港作机械冒黑烟、装卸作业货物散落、料口喷淋堵塞、视频掉线等。</w:t>
            </w:r>
          </w:p>
        </w:tc>
        <w:tc>
          <w:tcPr>
            <w:tcW w:w="1131" w:type="dxa"/>
            <w:noWrap w:val="0"/>
            <w:vAlign w:val="center"/>
          </w:tcPr>
          <w:p w14:paraId="1D65AC1A">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3926B8EE">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0E4841CA">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1014FF62">
            <w:pPr>
              <w:tabs>
                <w:tab w:val="left" w:pos="8100"/>
              </w:tabs>
              <w:spacing w:line="600" w:lineRule="exact"/>
              <w:ind w:right="-153" w:rightChars="-73"/>
              <w:rPr>
                <w:rFonts w:hint="eastAsia" w:ascii="宋体" w:hAnsi="宋体" w:eastAsia="宋体" w:cs="宋体"/>
                <w:b w:val="0"/>
                <w:bCs w:val="0"/>
                <w:sz w:val="18"/>
                <w:szCs w:val="18"/>
              </w:rPr>
            </w:pPr>
          </w:p>
        </w:tc>
      </w:tr>
      <w:tr w14:paraId="0D085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1" w:hRule="atLeast"/>
          <w:jc w:val="center"/>
        </w:trPr>
        <w:tc>
          <w:tcPr>
            <w:tcW w:w="1312" w:type="dxa"/>
            <w:vMerge w:val="continue"/>
            <w:noWrap w:val="0"/>
            <w:vAlign w:val="center"/>
          </w:tcPr>
          <w:p w14:paraId="3A6AC152">
            <w:pPr>
              <w:tabs>
                <w:tab w:val="left" w:pos="8100"/>
              </w:tabs>
              <w:spacing w:line="600" w:lineRule="exact"/>
              <w:ind w:right="-153" w:rightChars="-73"/>
              <w:rPr>
                <w:rFonts w:hint="eastAsia" w:ascii="宋体" w:hAnsi="宋体" w:eastAsia="宋体" w:cs="宋体"/>
                <w:b w:val="0"/>
                <w:bCs w:val="0"/>
                <w:sz w:val="18"/>
                <w:szCs w:val="18"/>
              </w:rPr>
            </w:pPr>
          </w:p>
        </w:tc>
        <w:tc>
          <w:tcPr>
            <w:tcW w:w="806" w:type="dxa"/>
            <w:vMerge w:val="continue"/>
            <w:noWrap w:val="0"/>
            <w:vAlign w:val="center"/>
          </w:tcPr>
          <w:p w14:paraId="7D80D99B">
            <w:pPr>
              <w:tabs>
                <w:tab w:val="left" w:pos="8100"/>
              </w:tabs>
              <w:spacing w:line="600" w:lineRule="exact"/>
              <w:ind w:right="-153" w:rightChars="-73"/>
              <w:rPr>
                <w:rFonts w:hint="eastAsia" w:ascii="宋体" w:hAnsi="宋体" w:eastAsia="宋体" w:cs="宋体"/>
                <w:b w:val="0"/>
                <w:bCs w:val="0"/>
                <w:sz w:val="18"/>
                <w:szCs w:val="18"/>
              </w:rPr>
            </w:pPr>
          </w:p>
        </w:tc>
        <w:tc>
          <w:tcPr>
            <w:tcW w:w="844" w:type="dxa"/>
            <w:noWrap w:val="0"/>
            <w:vAlign w:val="center"/>
          </w:tcPr>
          <w:p w14:paraId="74409BA0">
            <w:pPr>
              <w:tabs>
                <w:tab w:val="left" w:pos="8100"/>
              </w:tabs>
              <w:spacing w:line="600" w:lineRule="exact"/>
              <w:ind w:right="-153" w:rightChars="-73"/>
              <w:rPr>
                <w:rFonts w:hint="eastAsia" w:ascii="宋体" w:hAnsi="宋体" w:eastAsia="宋体" w:cs="宋体"/>
                <w:b w:val="0"/>
                <w:bCs w:val="0"/>
                <w:sz w:val="18"/>
                <w:szCs w:val="18"/>
              </w:rPr>
            </w:pPr>
          </w:p>
        </w:tc>
        <w:tc>
          <w:tcPr>
            <w:tcW w:w="2357" w:type="dxa"/>
            <w:vMerge w:val="continue"/>
            <w:noWrap w:val="0"/>
            <w:vAlign w:val="center"/>
          </w:tcPr>
          <w:p w14:paraId="50497862">
            <w:pPr>
              <w:rPr>
                <w:rFonts w:hint="eastAsia" w:ascii="宋体" w:hAnsi="宋体" w:eastAsia="宋体" w:cs="宋体"/>
                <w:b w:val="0"/>
                <w:bCs w:val="0"/>
                <w:sz w:val="18"/>
                <w:szCs w:val="18"/>
              </w:rPr>
            </w:pPr>
          </w:p>
        </w:tc>
        <w:tc>
          <w:tcPr>
            <w:tcW w:w="1131" w:type="dxa"/>
            <w:noWrap w:val="0"/>
            <w:vAlign w:val="center"/>
          </w:tcPr>
          <w:p w14:paraId="49243603">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582B8FF3">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5FEF8BCF">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52FCAA38">
            <w:pPr>
              <w:tabs>
                <w:tab w:val="left" w:pos="8100"/>
              </w:tabs>
              <w:spacing w:line="600" w:lineRule="exact"/>
              <w:ind w:right="-153" w:rightChars="-73"/>
              <w:rPr>
                <w:rFonts w:hint="eastAsia" w:ascii="宋体" w:hAnsi="宋体" w:eastAsia="宋体" w:cs="宋体"/>
                <w:b w:val="0"/>
                <w:bCs w:val="0"/>
                <w:sz w:val="18"/>
                <w:szCs w:val="18"/>
              </w:rPr>
            </w:pPr>
          </w:p>
        </w:tc>
      </w:tr>
      <w:tr w14:paraId="0081A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5" w:hRule="atLeast"/>
          <w:jc w:val="center"/>
        </w:trPr>
        <w:tc>
          <w:tcPr>
            <w:tcW w:w="1312" w:type="dxa"/>
            <w:vMerge w:val="continue"/>
            <w:noWrap w:val="0"/>
            <w:vAlign w:val="center"/>
          </w:tcPr>
          <w:p w14:paraId="302191CA">
            <w:pPr>
              <w:tabs>
                <w:tab w:val="left" w:pos="8100"/>
              </w:tabs>
              <w:spacing w:line="600" w:lineRule="exact"/>
              <w:ind w:right="-153" w:rightChars="-73"/>
              <w:rPr>
                <w:rFonts w:hint="eastAsia" w:ascii="宋体" w:hAnsi="宋体" w:eastAsia="宋体" w:cs="宋体"/>
                <w:b w:val="0"/>
                <w:bCs w:val="0"/>
                <w:sz w:val="18"/>
                <w:szCs w:val="18"/>
              </w:rPr>
            </w:pPr>
          </w:p>
        </w:tc>
        <w:tc>
          <w:tcPr>
            <w:tcW w:w="806" w:type="dxa"/>
            <w:vMerge w:val="continue"/>
            <w:noWrap w:val="0"/>
            <w:vAlign w:val="center"/>
          </w:tcPr>
          <w:p w14:paraId="75548784">
            <w:pPr>
              <w:tabs>
                <w:tab w:val="left" w:pos="8100"/>
              </w:tabs>
              <w:spacing w:line="600" w:lineRule="exact"/>
              <w:ind w:right="-153" w:rightChars="-73"/>
              <w:rPr>
                <w:rFonts w:hint="eastAsia" w:ascii="宋体" w:hAnsi="宋体" w:eastAsia="宋体" w:cs="宋体"/>
                <w:b w:val="0"/>
                <w:bCs w:val="0"/>
                <w:sz w:val="18"/>
                <w:szCs w:val="18"/>
              </w:rPr>
            </w:pPr>
          </w:p>
        </w:tc>
        <w:tc>
          <w:tcPr>
            <w:tcW w:w="844" w:type="dxa"/>
            <w:noWrap w:val="0"/>
            <w:vAlign w:val="center"/>
          </w:tcPr>
          <w:p w14:paraId="0668C76C">
            <w:pPr>
              <w:tabs>
                <w:tab w:val="left" w:pos="8100"/>
              </w:tabs>
              <w:spacing w:line="600" w:lineRule="exact"/>
              <w:ind w:right="-153" w:rightChars="-73"/>
              <w:rPr>
                <w:rFonts w:hint="eastAsia" w:ascii="宋体" w:hAnsi="宋体" w:eastAsia="宋体" w:cs="宋体"/>
                <w:b w:val="0"/>
                <w:bCs w:val="0"/>
                <w:sz w:val="18"/>
                <w:szCs w:val="18"/>
              </w:rPr>
            </w:pPr>
          </w:p>
        </w:tc>
        <w:tc>
          <w:tcPr>
            <w:tcW w:w="2357" w:type="dxa"/>
            <w:vMerge w:val="continue"/>
            <w:noWrap w:val="0"/>
            <w:vAlign w:val="center"/>
          </w:tcPr>
          <w:p w14:paraId="6875971F">
            <w:pPr>
              <w:rPr>
                <w:rFonts w:hint="eastAsia" w:ascii="宋体" w:hAnsi="宋体" w:eastAsia="宋体" w:cs="宋体"/>
                <w:b w:val="0"/>
                <w:bCs w:val="0"/>
                <w:sz w:val="18"/>
                <w:szCs w:val="18"/>
              </w:rPr>
            </w:pPr>
          </w:p>
        </w:tc>
        <w:tc>
          <w:tcPr>
            <w:tcW w:w="1131" w:type="dxa"/>
            <w:noWrap w:val="0"/>
            <w:vAlign w:val="center"/>
          </w:tcPr>
          <w:p w14:paraId="07DD3654">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374BFA05">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2F93DDEF">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60FF34E5">
            <w:pPr>
              <w:tabs>
                <w:tab w:val="left" w:pos="8100"/>
              </w:tabs>
              <w:spacing w:line="600" w:lineRule="exact"/>
              <w:ind w:right="-153" w:rightChars="-73"/>
              <w:rPr>
                <w:rFonts w:hint="eastAsia" w:ascii="宋体" w:hAnsi="宋体" w:eastAsia="宋体" w:cs="宋体"/>
                <w:b w:val="0"/>
                <w:bCs w:val="0"/>
                <w:sz w:val="18"/>
                <w:szCs w:val="18"/>
              </w:rPr>
            </w:pPr>
          </w:p>
        </w:tc>
      </w:tr>
      <w:tr w14:paraId="6DF04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8" w:hRule="atLeast"/>
          <w:jc w:val="center"/>
        </w:trPr>
        <w:tc>
          <w:tcPr>
            <w:tcW w:w="1312" w:type="dxa"/>
            <w:vMerge w:val="restart"/>
            <w:noWrap w:val="0"/>
            <w:vAlign w:val="center"/>
          </w:tcPr>
          <w:p w14:paraId="74A1A559">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一般风险</w:t>
            </w:r>
          </w:p>
        </w:tc>
        <w:tc>
          <w:tcPr>
            <w:tcW w:w="806" w:type="dxa"/>
            <w:vMerge w:val="restart"/>
            <w:noWrap w:val="0"/>
            <w:vAlign w:val="center"/>
          </w:tcPr>
          <w:p w14:paraId="12D4C542">
            <w:pPr>
              <w:tabs>
                <w:tab w:val="left" w:pos="8100"/>
              </w:tabs>
              <w:spacing w:line="600" w:lineRule="exact"/>
              <w:ind w:right="-153" w:rightChars="-73"/>
              <w:rPr>
                <w:rFonts w:hint="eastAsia" w:ascii="宋体" w:hAnsi="宋体" w:eastAsia="宋体" w:cs="宋体"/>
                <w:b w:val="0"/>
                <w:bCs w:val="0"/>
                <w:sz w:val="18"/>
                <w:szCs w:val="18"/>
              </w:rPr>
            </w:pPr>
            <w:r>
              <w:rPr>
                <w:rFonts w:hint="eastAsia" w:ascii="宋体" w:hAnsi="宋体" w:eastAsia="宋体" w:cs="宋体"/>
                <w:b w:val="0"/>
                <w:bCs w:val="0"/>
                <w:sz w:val="18"/>
                <w:szCs w:val="18"/>
              </w:rPr>
              <w:t>蓝色</w:t>
            </w:r>
          </w:p>
        </w:tc>
        <w:tc>
          <w:tcPr>
            <w:tcW w:w="844" w:type="dxa"/>
            <w:noWrap w:val="0"/>
            <w:vAlign w:val="center"/>
          </w:tcPr>
          <w:p w14:paraId="66AAF270">
            <w:pPr>
              <w:tabs>
                <w:tab w:val="left" w:pos="8100"/>
              </w:tabs>
              <w:spacing w:line="600" w:lineRule="exact"/>
              <w:ind w:right="-153" w:rightChars="-73"/>
              <w:rPr>
                <w:rFonts w:hint="eastAsia" w:ascii="宋体" w:hAnsi="宋体" w:eastAsia="宋体" w:cs="宋体"/>
                <w:b w:val="0"/>
                <w:bCs w:val="0"/>
                <w:sz w:val="18"/>
                <w:szCs w:val="18"/>
              </w:rPr>
            </w:pPr>
          </w:p>
        </w:tc>
        <w:tc>
          <w:tcPr>
            <w:tcW w:w="2357" w:type="dxa"/>
            <w:vMerge w:val="restart"/>
            <w:noWrap w:val="0"/>
            <w:vAlign w:val="center"/>
          </w:tcPr>
          <w:p w14:paraId="6C9935C2">
            <w:pPr>
              <w:rPr>
                <w:rFonts w:hint="eastAsia" w:ascii="宋体" w:hAnsi="宋体" w:eastAsia="宋体" w:cs="宋体"/>
                <w:b w:val="0"/>
                <w:bCs w:val="0"/>
                <w:sz w:val="18"/>
                <w:szCs w:val="18"/>
              </w:rPr>
            </w:pPr>
            <w:r>
              <w:rPr>
                <w:rFonts w:hint="eastAsia" w:ascii="宋体" w:hAnsi="宋体" w:eastAsia="宋体" w:cs="宋体"/>
                <w:b w:val="0"/>
                <w:bCs w:val="0"/>
                <w:sz w:val="18"/>
                <w:szCs w:val="18"/>
              </w:rPr>
              <w:t>包括但不限于：值班纪律、设备养护、台账记录、APP上传、绿化美化等。</w:t>
            </w:r>
          </w:p>
        </w:tc>
        <w:tc>
          <w:tcPr>
            <w:tcW w:w="1131" w:type="dxa"/>
            <w:noWrap w:val="0"/>
            <w:vAlign w:val="center"/>
          </w:tcPr>
          <w:p w14:paraId="350BB5A7">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27EDAB6E">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13E21D5F">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7E07C793">
            <w:pPr>
              <w:tabs>
                <w:tab w:val="left" w:pos="8100"/>
              </w:tabs>
              <w:spacing w:line="600" w:lineRule="exact"/>
              <w:ind w:right="-153" w:rightChars="-73"/>
              <w:rPr>
                <w:rFonts w:hint="eastAsia" w:ascii="宋体" w:hAnsi="宋体" w:eastAsia="宋体" w:cs="宋体"/>
                <w:b w:val="0"/>
                <w:bCs w:val="0"/>
                <w:sz w:val="18"/>
                <w:szCs w:val="18"/>
              </w:rPr>
            </w:pPr>
          </w:p>
        </w:tc>
      </w:tr>
      <w:tr w14:paraId="6D0D5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atLeast"/>
          <w:jc w:val="center"/>
        </w:trPr>
        <w:tc>
          <w:tcPr>
            <w:tcW w:w="1312" w:type="dxa"/>
            <w:vMerge w:val="continue"/>
            <w:noWrap w:val="0"/>
            <w:vAlign w:val="center"/>
          </w:tcPr>
          <w:p w14:paraId="486E6B30">
            <w:pPr>
              <w:tabs>
                <w:tab w:val="left" w:pos="8100"/>
              </w:tabs>
              <w:spacing w:line="600" w:lineRule="exact"/>
              <w:ind w:right="-153" w:rightChars="-73"/>
              <w:rPr>
                <w:rFonts w:hint="eastAsia" w:ascii="宋体" w:hAnsi="宋体" w:eastAsia="宋体" w:cs="宋体"/>
                <w:b w:val="0"/>
                <w:bCs w:val="0"/>
                <w:sz w:val="18"/>
                <w:szCs w:val="18"/>
              </w:rPr>
            </w:pPr>
          </w:p>
        </w:tc>
        <w:tc>
          <w:tcPr>
            <w:tcW w:w="806" w:type="dxa"/>
            <w:vMerge w:val="continue"/>
            <w:noWrap w:val="0"/>
            <w:vAlign w:val="center"/>
          </w:tcPr>
          <w:p w14:paraId="0B713CBE">
            <w:pPr>
              <w:tabs>
                <w:tab w:val="left" w:pos="8100"/>
              </w:tabs>
              <w:spacing w:line="600" w:lineRule="exact"/>
              <w:ind w:right="-153" w:rightChars="-73"/>
              <w:rPr>
                <w:rFonts w:hint="eastAsia" w:ascii="宋体" w:hAnsi="宋体" w:eastAsia="宋体" w:cs="宋体"/>
                <w:b w:val="0"/>
                <w:bCs w:val="0"/>
                <w:sz w:val="18"/>
                <w:szCs w:val="18"/>
              </w:rPr>
            </w:pPr>
          </w:p>
        </w:tc>
        <w:tc>
          <w:tcPr>
            <w:tcW w:w="844" w:type="dxa"/>
            <w:noWrap w:val="0"/>
            <w:vAlign w:val="center"/>
          </w:tcPr>
          <w:p w14:paraId="765632F9">
            <w:pPr>
              <w:tabs>
                <w:tab w:val="left" w:pos="8100"/>
              </w:tabs>
              <w:spacing w:line="600" w:lineRule="exact"/>
              <w:ind w:right="-153" w:rightChars="-73"/>
              <w:rPr>
                <w:rFonts w:hint="eastAsia" w:ascii="宋体" w:hAnsi="宋体" w:eastAsia="宋体" w:cs="宋体"/>
                <w:b w:val="0"/>
                <w:bCs w:val="0"/>
                <w:sz w:val="18"/>
                <w:szCs w:val="18"/>
              </w:rPr>
            </w:pPr>
          </w:p>
        </w:tc>
        <w:tc>
          <w:tcPr>
            <w:tcW w:w="2357" w:type="dxa"/>
            <w:vMerge w:val="continue"/>
            <w:noWrap w:val="0"/>
            <w:vAlign w:val="center"/>
          </w:tcPr>
          <w:p w14:paraId="18DCA94A">
            <w:pPr>
              <w:tabs>
                <w:tab w:val="left" w:pos="8100"/>
              </w:tabs>
              <w:spacing w:line="600" w:lineRule="exact"/>
              <w:ind w:right="-153" w:rightChars="-73"/>
              <w:rPr>
                <w:rFonts w:hint="eastAsia" w:ascii="宋体" w:hAnsi="宋体" w:eastAsia="宋体" w:cs="宋体"/>
                <w:b w:val="0"/>
                <w:bCs w:val="0"/>
                <w:sz w:val="18"/>
                <w:szCs w:val="18"/>
              </w:rPr>
            </w:pPr>
          </w:p>
        </w:tc>
        <w:tc>
          <w:tcPr>
            <w:tcW w:w="1131" w:type="dxa"/>
            <w:noWrap w:val="0"/>
            <w:vAlign w:val="center"/>
          </w:tcPr>
          <w:p w14:paraId="43583FA6">
            <w:pPr>
              <w:tabs>
                <w:tab w:val="left" w:pos="8100"/>
              </w:tabs>
              <w:spacing w:line="600" w:lineRule="exact"/>
              <w:ind w:right="-153" w:rightChars="-73"/>
              <w:rPr>
                <w:rFonts w:hint="eastAsia" w:ascii="宋体" w:hAnsi="宋体" w:eastAsia="宋体" w:cs="宋体"/>
                <w:b w:val="0"/>
                <w:bCs w:val="0"/>
                <w:sz w:val="18"/>
                <w:szCs w:val="18"/>
              </w:rPr>
            </w:pPr>
          </w:p>
        </w:tc>
        <w:tc>
          <w:tcPr>
            <w:tcW w:w="1181" w:type="dxa"/>
            <w:noWrap w:val="0"/>
            <w:vAlign w:val="center"/>
          </w:tcPr>
          <w:p w14:paraId="429FB20C">
            <w:pPr>
              <w:tabs>
                <w:tab w:val="left" w:pos="8100"/>
              </w:tabs>
              <w:spacing w:line="600" w:lineRule="exact"/>
              <w:ind w:right="-153" w:rightChars="-73"/>
              <w:rPr>
                <w:rFonts w:hint="eastAsia" w:ascii="宋体" w:hAnsi="宋体" w:eastAsia="宋体" w:cs="宋体"/>
                <w:b w:val="0"/>
                <w:bCs w:val="0"/>
                <w:sz w:val="18"/>
                <w:szCs w:val="18"/>
              </w:rPr>
            </w:pPr>
          </w:p>
        </w:tc>
        <w:tc>
          <w:tcPr>
            <w:tcW w:w="1237" w:type="dxa"/>
            <w:noWrap w:val="0"/>
            <w:vAlign w:val="center"/>
          </w:tcPr>
          <w:p w14:paraId="3C327040">
            <w:pPr>
              <w:tabs>
                <w:tab w:val="left" w:pos="8100"/>
              </w:tabs>
              <w:spacing w:line="600" w:lineRule="exact"/>
              <w:ind w:right="-153" w:rightChars="-73"/>
              <w:rPr>
                <w:rFonts w:hint="eastAsia" w:ascii="宋体" w:hAnsi="宋体" w:eastAsia="宋体" w:cs="宋体"/>
                <w:b w:val="0"/>
                <w:bCs w:val="0"/>
                <w:sz w:val="18"/>
                <w:szCs w:val="18"/>
              </w:rPr>
            </w:pPr>
          </w:p>
        </w:tc>
        <w:tc>
          <w:tcPr>
            <w:tcW w:w="1048" w:type="dxa"/>
            <w:noWrap w:val="0"/>
            <w:vAlign w:val="center"/>
          </w:tcPr>
          <w:p w14:paraId="29790091">
            <w:pPr>
              <w:tabs>
                <w:tab w:val="left" w:pos="8100"/>
              </w:tabs>
              <w:spacing w:line="600" w:lineRule="exact"/>
              <w:ind w:right="-153" w:rightChars="-73"/>
              <w:rPr>
                <w:rFonts w:hint="eastAsia" w:ascii="宋体" w:hAnsi="宋体" w:eastAsia="宋体" w:cs="宋体"/>
                <w:b w:val="0"/>
                <w:bCs w:val="0"/>
                <w:sz w:val="18"/>
                <w:szCs w:val="18"/>
              </w:rPr>
            </w:pPr>
          </w:p>
        </w:tc>
      </w:tr>
    </w:tbl>
    <w:p w14:paraId="0227698C">
      <w:pPr>
        <w:tabs>
          <w:tab w:val="left" w:pos="8100"/>
        </w:tabs>
        <w:spacing w:line="240" w:lineRule="auto"/>
        <w:ind w:right="-153" w:rightChars="-73"/>
        <w:jc w:val="left"/>
        <w:rPr>
          <w:rFonts w:hint="eastAsia" w:ascii="宋体" w:hAnsi="宋体" w:eastAsia="宋体" w:cs="宋体"/>
          <w:b w:val="0"/>
          <w:bCs w:val="0"/>
          <w:sz w:val="18"/>
          <w:szCs w:val="18"/>
        </w:rPr>
      </w:pPr>
      <w:r>
        <w:rPr>
          <w:rFonts w:hint="eastAsia" w:ascii="宋体" w:hAnsi="宋体" w:eastAsia="宋体" w:cs="宋体"/>
          <w:b w:val="0"/>
          <w:bCs w:val="0"/>
          <w:sz w:val="18"/>
          <w:szCs w:val="18"/>
        </w:rPr>
        <w:t>注：供参照，结合各自实际完善提升。</w:t>
      </w:r>
    </w:p>
    <w:p w14:paraId="398B9026">
      <w:pPr>
        <w:tabs>
          <w:tab w:val="left" w:pos="8100"/>
        </w:tabs>
        <w:spacing w:line="600" w:lineRule="exact"/>
        <w:ind w:right="-153" w:rightChars="-73"/>
        <w:rPr>
          <w:rFonts w:hint="eastAsia" w:ascii="Times New Roman" w:hAnsi="Times New Roman" w:eastAsia="方正黑体简体" w:cs="方正黑体简体"/>
          <w:b/>
          <w:bCs/>
          <w:color w:val="000000"/>
          <w:sz w:val="32"/>
          <w:szCs w:val="32"/>
        </w:rPr>
        <w:sectPr>
          <w:footerReference r:id="rId9" w:type="default"/>
          <w:pgSz w:w="11906" w:h="16838"/>
          <w:pgMar w:top="1440" w:right="1020" w:bottom="1440" w:left="1701" w:header="851" w:footer="992" w:gutter="0"/>
          <w:pgNumType w:fmt="decimal"/>
          <w:cols w:space="720" w:num="1"/>
          <w:docGrid w:type="lines" w:linePitch="312" w:charSpace="0"/>
        </w:sectPr>
      </w:pPr>
    </w:p>
    <w:p w14:paraId="513C0EC7">
      <w:pPr>
        <w:pStyle w:val="4"/>
        <w:bidi w:val="0"/>
        <w:ind w:firstLine="0"/>
        <w:rPr>
          <w:rFonts w:hint="eastAsia" w:ascii="黑体" w:hAnsi="黑体" w:eastAsia="黑体" w:cs="黑体"/>
          <w:b w:val="0"/>
          <w:bCs/>
          <w:lang w:val="en-US" w:eastAsia="zh-CN"/>
        </w:rPr>
      </w:pPr>
      <w:bookmarkStart w:id="185" w:name="_Toc174519207_WPSOffice_Level1"/>
      <w:r>
        <w:rPr>
          <w:rFonts w:hint="eastAsia" w:ascii="黑体" w:hAnsi="黑体" w:eastAsia="黑体" w:cs="黑体"/>
          <w:b w:val="0"/>
          <w:bCs/>
          <w:lang w:val="en-US" w:eastAsia="zh-CN"/>
        </w:rPr>
        <w:t>附录F</w:t>
      </w:r>
    </w:p>
    <w:p w14:paraId="3E76AA18">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85"/>
    </w:p>
    <w:p w14:paraId="2D3A1D26">
      <w:pPr>
        <w:pStyle w:val="4"/>
        <w:bidi w:val="0"/>
        <w:ind w:firstLine="0"/>
        <w:rPr>
          <w:rFonts w:hint="eastAsia" w:ascii="黑体" w:hAnsi="黑体" w:eastAsia="黑体" w:cs="黑体"/>
          <w:b w:val="0"/>
          <w:bCs/>
          <w:lang w:val="en-US" w:eastAsia="zh-CN"/>
        </w:rPr>
      </w:pPr>
      <w:bookmarkStart w:id="186" w:name="_Toc1975301505_WPSOffice_Level2"/>
      <w:bookmarkStart w:id="187" w:name="_Toc349309696_WPSOffice_Level1"/>
      <w:r>
        <w:rPr>
          <w:rFonts w:hint="eastAsia" w:ascii="黑体" w:hAnsi="黑体" w:eastAsia="黑体" w:cs="黑体"/>
          <w:b w:val="0"/>
          <w:bCs/>
          <w:lang w:val="en-US" w:eastAsia="zh-CN"/>
        </w:rPr>
        <w:t>小型码头改造示意图</w:t>
      </w:r>
      <w:bookmarkEnd w:id="186"/>
      <w:bookmarkEnd w:id="187"/>
    </w:p>
    <w:p w14:paraId="3F83E799">
      <w:pPr>
        <w:tabs>
          <w:tab w:val="left" w:pos="8100"/>
        </w:tabs>
        <w:spacing w:line="240" w:lineRule="auto"/>
        <w:ind w:right="-153" w:rightChars="-73"/>
        <w:jc w:val="both"/>
        <w:rPr>
          <w:rFonts w:hint="eastAsia" w:asciiTheme="majorEastAsia" w:hAnsiTheme="majorEastAsia" w:eastAsiaTheme="majorEastAsia" w:cstheme="majorEastAsia"/>
          <w:bCs/>
          <w:kern w:val="2"/>
          <w:sz w:val="21"/>
          <w:szCs w:val="32"/>
          <w:lang w:val="en-US" w:eastAsia="zh-CN" w:bidi="ar-SA"/>
        </w:rPr>
      </w:pPr>
    </w:p>
    <w:p w14:paraId="234DF1F1">
      <w:pPr>
        <w:tabs>
          <w:tab w:val="left" w:pos="8100"/>
        </w:tabs>
        <w:spacing w:line="240" w:lineRule="auto"/>
        <w:ind w:right="-153" w:rightChars="-73"/>
        <w:jc w:val="both"/>
        <w:rPr>
          <w:rFonts w:hint="eastAsia" w:asciiTheme="majorEastAsia" w:hAnsiTheme="majorEastAsia" w:eastAsiaTheme="majorEastAsia" w:cstheme="majorEastAsia"/>
          <w:bCs/>
          <w:kern w:val="2"/>
          <w:sz w:val="21"/>
          <w:szCs w:val="32"/>
          <w:lang w:val="en-US" w:eastAsia="zh-CN" w:bidi="ar-SA"/>
        </w:rPr>
      </w:pPr>
      <w:r>
        <w:rPr>
          <w:rFonts w:hint="eastAsia" w:asciiTheme="majorEastAsia" w:hAnsiTheme="majorEastAsia" w:eastAsiaTheme="majorEastAsia" w:cstheme="majorEastAsia"/>
          <w:bCs/>
          <w:kern w:val="2"/>
          <w:sz w:val="21"/>
          <w:szCs w:val="32"/>
          <w:lang w:val="en-US" w:eastAsia="zh-CN" w:bidi="ar-SA"/>
        </w:rPr>
        <w:t>小型码头改造示意图见图F.1。</w:t>
      </w:r>
    </w:p>
    <w:p w14:paraId="5C9D978A">
      <w:pPr>
        <w:spacing w:line="360" w:lineRule="auto"/>
        <w:jc w:val="center"/>
        <w:outlineLvl w:val="0"/>
        <w:rPr>
          <w:rFonts w:ascii="Times New Roman" w:hAnsi="Times New Roman" w:eastAsia="黑体"/>
          <w:b/>
          <w:bCs/>
          <w:color w:val="000000"/>
          <w:sz w:val="24"/>
        </w:rPr>
      </w:pPr>
      <w:r>
        <w:rPr>
          <w:rFonts w:ascii="Times New Roman" w:hAnsi="Times New Roman" w:eastAsia="黑体"/>
          <w:b/>
          <w:bCs/>
          <w:color w:val="000000"/>
          <w:sz w:val="24"/>
        </w:rPr>
        <w:drawing>
          <wp:inline distT="0" distB="0" distL="114300" distR="114300">
            <wp:extent cx="3956685" cy="3550920"/>
            <wp:effectExtent l="0" t="0" r="5715" b="1143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tretch>
                      <a:fillRect/>
                    </a:stretch>
                  </pic:blipFill>
                  <pic:spPr>
                    <a:xfrm>
                      <a:off x="0" y="0"/>
                      <a:ext cx="3956685" cy="3550920"/>
                    </a:xfrm>
                    <a:prstGeom prst="rect">
                      <a:avLst/>
                    </a:prstGeom>
                    <a:noFill/>
                    <a:ln>
                      <a:noFill/>
                    </a:ln>
                  </pic:spPr>
                </pic:pic>
              </a:graphicData>
            </a:graphic>
          </wp:inline>
        </w:drawing>
      </w:r>
    </w:p>
    <w:p w14:paraId="1D3697BD">
      <w:pPr>
        <w:spacing w:line="360" w:lineRule="auto"/>
        <w:ind w:firstLine="361" w:firstLineChars="200"/>
        <w:jc w:val="left"/>
        <w:outlineLvl w:val="0"/>
        <w:rPr>
          <w:rFonts w:ascii="Times New Roman" w:hAnsi="Times New Roman" w:eastAsia="黑体"/>
          <w:b/>
          <w:bCs/>
          <w:color w:val="000000"/>
          <w:sz w:val="24"/>
        </w:rPr>
      </w:pPr>
      <w:r>
        <w:rPr>
          <w:rFonts w:ascii="Times New Roman" w:hAnsi="Times New Roman"/>
          <w:b/>
          <w:bCs/>
          <w:color w:val="000000"/>
          <w:sz w:val="18"/>
          <w:szCs w:val="20"/>
        </w:rPr>
        <w:drawing>
          <wp:anchor distT="0" distB="0" distL="114300" distR="114300" simplePos="0" relativeHeight="251661312" behindDoc="1" locked="0" layoutInCell="1" allowOverlap="1">
            <wp:simplePos x="0" y="0"/>
            <wp:positionH relativeFrom="column">
              <wp:posOffset>944880</wp:posOffset>
            </wp:positionH>
            <wp:positionV relativeFrom="page">
              <wp:posOffset>5365750</wp:posOffset>
            </wp:positionV>
            <wp:extent cx="3619500" cy="1625600"/>
            <wp:effectExtent l="0" t="0" r="0" b="12700"/>
            <wp:wrapNone/>
            <wp:docPr id="15" name="图片 2" descr="C:\Users\ADMINI~1\AppData\Local\Temp\WeChat Files\d4b169658912a5f6da8388a78a46a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C:\Users\ADMINI~1\AppData\Local\Temp\WeChat Files\d4b169658912a5f6da8388a78a46abb.png"/>
                    <pic:cNvPicPr>
                      <a:picLocks noChangeAspect="1"/>
                    </pic:cNvPicPr>
                  </pic:nvPicPr>
                  <pic:blipFill>
                    <a:blip r:embed="rId15"/>
                    <a:stretch>
                      <a:fillRect/>
                    </a:stretch>
                  </pic:blipFill>
                  <pic:spPr>
                    <a:xfrm>
                      <a:off x="0" y="0"/>
                      <a:ext cx="3619500" cy="1625600"/>
                    </a:xfrm>
                    <a:prstGeom prst="rect">
                      <a:avLst/>
                    </a:prstGeom>
                    <a:noFill/>
                    <a:ln>
                      <a:noFill/>
                    </a:ln>
                  </pic:spPr>
                </pic:pic>
              </a:graphicData>
            </a:graphic>
          </wp:anchor>
        </w:drawing>
      </w:r>
    </w:p>
    <w:p w14:paraId="24BF9CD2">
      <w:pPr>
        <w:spacing w:line="360" w:lineRule="auto"/>
        <w:ind w:firstLine="442" w:firstLineChars="200"/>
        <w:jc w:val="left"/>
        <w:outlineLvl w:val="0"/>
        <w:rPr>
          <w:rFonts w:ascii="Times New Roman" w:hAnsi="Times New Roman"/>
          <w:b/>
          <w:bCs/>
          <w:color w:val="000000"/>
          <w:sz w:val="22"/>
        </w:rPr>
      </w:pPr>
    </w:p>
    <w:p w14:paraId="185B88B6">
      <w:pPr>
        <w:spacing w:line="360" w:lineRule="auto"/>
        <w:ind w:firstLine="442" w:firstLineChars="200"/>
        <w:jc w:val="left"/>
        <w:outlineLvl w:val="0"/>
        <w:rPr>
          <w:rFonts w:ascii="Times New Roman" w:hAnsi="Times New Roman"/>
          <w:b/>
          <w:bCs/>
          <w:color w:val="000000"/>
          <w:sz w:val="22"/>
        </w:rPr>
      </w:pPr>
    </w:p>
    <w:p w14:paraId="0EB260C5">
      <w:pPr>
        <w:widowControl/>
        <w:ind w:firstLine="361" w:firstLineChars="200"/>
        <w:jc w:val="center"/>
        <w:rPr>
          <w:rFonts w:ascii="Times New Roman" w:hAnsi="Times New Roman"/>
          <w:b/>
          <w:bCs/>
          <w:color w:val="000000"/>
          <w:sz w:val="18"/>
          <w:szCs w:val="20"/>
        </w:rPr>
      </w:pPr>
    </w:p>
    <w:p w14:paraId="0D93F3B4">
      <w:pPr>
        <w:widowControl/>
        <w:ind w:firstLine="361" w:firstLineChars="200"/>
        <w:rPr>
          <w:rFonts w:ascii="Times New Roman" w:hAnsi="Times New Roman"/>
          <w:b/>
          <w:bCs/>
          <w:color w:val="000000"/>
          <w:sz w:val="18"/>
          <w:szCs w:val="20"/>
        </w:rPr>
      </w:pPr>
    </w:p>
    <w:p w14:paraId="65875DBD">
      <w:pPr>
        <w:pStyle w:val="13"/>
        <w:ind w:firstLine="0" w:firstLineChars="0"/>
        <w:rPr>
          <w:rFonts w:ascii="Times New Roman" w:hAnsi="Times New Roman"/>
          <w:b/>
          <w:bCs/>
          <w:color w:val="000000"/>
          <w:sz w:val="18"/>
          <w:szCs w:val="20"/>
        </w:rPr>
      </w:pPr>
    </w:p>
    <w:p w14:paraId="289DF508">
      <w:pPr>
        <w:pStyle w:val="13"/>
        <w:ind w:firstLine="181"/>
        <w:rPr>
          <w:rFonts w:ascii="Times New Roman" w:hAnsi="Times New Roman"/>
          <w:b/>
          <w:bCs/>
          <w:color w:val="000000"/>
          <w:sz w:val="18"/>
          <w:szCs w:val="20"/>
        </w:rPr>
      </w:pPr>
    </w:p>
    <w:p w14:paraId="64DF1C7D">
      <w:pPr>
        <w:pStyle w:val="13"/>
        <w:ind w:firstLine="181"/>
        <w:jc w:val="center"/>
        <w:rPr>
          <w:rFonts w:hint="eastAsia" w:ascii="方正黑体_GBK" w:hAnsi="方正黑体_GBK" w:eastAsia="方正黑体_GBK" w:cs="方正黑体_GBK"/>
          <w:b/>
          <w:bCs/>
          <w:color w:val="000000"/>
          <w:sz w:val="21"/>
          <w:szCs w:val="21"/>
        </w:rPr>
      </w:pPr>
      <w:r>
        <w:rPr>
          <w:rFonts w:hint="eastAsia" w:ascii="方正黑体_GBK" w:hAnsi="方正黑体_GBK" w:eastAsia="方正黑体_GBK" w:cs="方正黑体_GBK"/>
          <w:bCs/>
          <w:kern w:val="2"/>
          <w:sz w:val="21"/>
          <w:szCs w:val="21"/>
          <w:lang w:val="en-US" w:eastAsia="zh-CN" w:bidi="ar-SA"/>
        </w:rPr>
        <w:t>图F.1小型码头改造示意图</w:t>
      </w:r>
    </w:p>
    <w:p w14:paraId="03FB2428">
      <w:pPr>
        <w:spacing w:line="240" w:lineRule="auto"/>
        <w:ind w:firstLine="360" w:firstLineChars="200"/>
        <w:jc w:val="left"/>
        <w:rPr>
          <w:rFonts w:hint="eastAsia" w:ascii="宋体" w:hAnsi="宋体" w:cs="宋体"/>
          <w:b w:val="0"/>
          <w:bCs w:val="0"/>
          <w:color w:val="000000"/>
          <w:sz w:val="18"/>
          <w:szCs w:val="18"/>
          <w:lang w:val="en-US" w:eastAsia="zh-CN"/>
        </w:rPr>
      </w:pPr>
    </w:p>
    <w:p w14:paraId="1277A1FD">
      <w:pPr>
        <w:spacing w:line="240" w:lineRule="auto"/>
        <w:ind w:firstLine="360" w:firstLineChars="200"/>
        <w:jc w:val="left"/>
        <w:rPr>
          <w:rFonts w:hint="eastAsia" w:ascii="宋体" w:hAnsi="宋体" w:cs="宋体"/>
          <w:b w:val="0"/>
          <w:bCs w:val="0"/>
          <w:color w:val="000000"/>
          <w:sz w:val="18"/>
          <w:szCs w:val="18"/>
          <w:lang w:val="en-US" w:eastAsia="zh-CN"/>
        </w:rPr>
      </w:pPr>
      <w:r>
        <w:rPr>
          <w:rFonts w:hint="eastAsia" w:ascii="宋体" w:hAnsi="宋体" w:cs="宋体"/>
          <w:b w:val="0"/>
          <w:bCs w:val="0"/>
          <w:color w:val="000000"/>
          <w:sz w:val="18"/>
          <w:szCs w:val="18"/>
          <w:lang w:val="en-US" w:eastAsia="zh-CN"/>
        </w:rPr>
        <w:t>注：</w:t>
      </w:r>
    </w:p>
    <w:p w14:paraId="45A5C1EF">
      <w:pPr>
        <w:spacing w:line="240" w:lineRule="auto"/>
        <w:ind w:firstLine="360" w:firstLineChars="200"/>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1</w:t>
      </w:r>
      <w:r>
        <w:rPr>
          <w:rFonts w:hint="eastAsia" w:ascii="宋体" w:hAnsi="宋体" w:cs="宋体"/>
          <w:b w:val="0"/>
          <w:bCs w:val="0"/>
          <w:color w:val="000000"/>
          <w:sz w:val="18"/>
          <w:szCs w:val="18"/>
          <w:lang w:eastAsia="zh-CN"/>
        </w:rPr>
        <w:t>.</w:t>
      </w:r>
      <w:r>
        <w:rPr>
          <w:rFonts w:hint="eastAsia" w:ascii="宋体" w:hAnsi="宋体" w:eastAsia="宋体" w:cs="宋体"/>
          <w:b w:val="0"/>
          <w:bCs w:val="0"/>
          <w:color w:val="000000"/>
          <w:sz w:val="18"/>
          <w:szCs w:val="18"/>
        </w:rPr>
        <w:t>堆场和道路分区隔离。</w:t>
      </w:r>
    </w:p>
    <w:p w14:paraId="5BB1F27C">
      <w:pPr>
        <w:spacing w:line="240" w:lineRule="auto"/>
        <w:ind w:firstLine="360" w:firstLineChars="200"/>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2</w:t>
      </w:r>
      <w:r>
        <w:rPr>
          <w:rFonts w:hint="eastAsia" w:ascii="宋体" w:hAnsi="宋体" w:cs="宋体"/>
          <w:b w:val="0"/>
          <w:bCs w:val="0"/>
          <w:color w:val="000000"/>
          <w:sz w:val="18"/>
          <w:szCs w:val="18"/>
          <w:lang w:eastAsia="zh-CN"/>
        </w:rPr>
        <w:t>.</w:t>
      </w:r>
      <w:r>
        <w:rPr>
          <w:rFonts w:hint="eastAsia" w:ascii="宋体" w:hAnsi="宋体" w:eastAsia="宋体" w:cs="宋体"/>
          <w:b w:val="0"/>
          <w:bCs w:val="0"/>
          <w:color w:val="000000"/>
          <w:sz w:val="18"/>
          <w:szCs w:val="18"/>
        </w:rPr>
        <w:t>露天货物堆垛整齐，百分百苫盖。</w:t>
      </w:r>
    </w:p>
    <w:p w14:paraId="11422F07">
      <w:pPr>
        <w:spacing w:line="240" w:lineRule="auto"/>
        <w:ind w:firstLine="360" w:firstLineChars="200"/>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3</w:t>
      </w:r>
      <w:r>
        <w:rPr>
          <w:rFonts w:hint="eastAsia" w:ascii="宋体" w:hAnsi="宋体" w:cs="宋体"/>
          <w:b w:val="0"/>
          <w:bCs w:val="0"/>
          <w:color w:val="000000"/>
          <w:sz w:val="18"/>
          <w:szCs w:val="18"/>
          <w:lang w:eastAsia="zh-CN"/>
        </w:rPr>
        <w:t>.</w:t>
      </w:r>
      <w:r>
        <w:rPr>
          <w:rFonts w:hint="eastAsia" w:ascii="宋体" w:hAnsi="宋体" w:eastAsia="宋体" w:cs="宋体"/>
          <w:b w:val="0"/>
          <w:bCs w:val="0"/>
          <w:color w:val="000000"/>
          <w:sz w:val="18"/>
          <w:szCs w:val="18"/>
        </w:rPr>
        <w:t>覆盖物用压实块压实，压实块须规整、摆放整齐，重量不应低于2.5千克。</w:t>
      </w:r>
    </w:p>
    <w:p w14:paraId="2424C978">
      <w:pPr>
        <w:spacing w:line="240" w:lineRule="auto"/>
        <w:ind w:firstLine="360" w:firstLineChars="200"/>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4</w:t>
      </w:r>
      <w:r>
        <w:rPr>
          <w:rFonts w:hint="eastAsia" w:ascii="宋体" w:hAnsi="宋体" w:cs="宋体"/>
          <w:b w:val="0"/>
          <w:bCs w:val="0"/>
          <w:color w:val="000000"/>
          <w:sz w:val="18"/>
          <w:szCs w:val="18"/>
          <w:lang w:eastAsia="zh-CN"/>
        </w:rPr>
        <w:t>.</w:t>
      </w:r>
      <w:r>
        <w:rPr>
          <w:rFonts w:hint="eastAsia" w:ascii="宋体" w:hAnsi="宋体" w:eastAsia="宋体" w:cs="宋体"/>
          <w:b w:val="0"/>
          <w:bCs w:val="0"/>
          <w:color w:val="000000"/>
          <w:sz w:val="18"/>
          <w:szCs w:val="18"/>
        </w:rPr>
        <w:t>喷淋设施正常，喷洒范围覆盖堆场全部区域。</w:t>
      </w:r>
    </w:p>
    <w:p w14:paraId="6D2233AE">
      <w:pPr>
        <w:spacing w:line="240" w:lineRule="auto"/>
        <w:ind w:firstLine="360" w:firstLineChars="200"/>
        <w:jc w:val="left"/>
        <w:rPr>
          <w:rFonts w:hint="eastAsia" w:ascii="宋体" w:hAnsi="宋体" w:eastAsia="宋体" w:cs="宋体"/>
          <w:b w:val="0"/>
          <w:bCs w:val="0"/>
          <w:color w:val="000000"/>
          <w:sz w:val="18"/>
          <w:szCs w:val="18"/>
        </w:rPr>
      </w:pPr>
      <w:r>
        <w:rPr>
          <w:rFonts w:hint="eastAsia" w:ascii="宋体" w:hAnsi="宋体" w:eastAsia="宋体" w:cs="宋体"/>
          <w:b w:val="0"/>
          <w:bCs w:val="0"/>
          <w:color w:val="000000"/>
          <w:sz w:val="18"/>
          <w:szCs w:val="18"/>
        </w:rPr>
        <w:t>5</w:t>
      </w:r>
      <w:r>
        <w:rPr>
          <w:rFonts w:hint="eastAsia" w:ascii="宋体" w:hAnsi="宋体" w:cs="宋体"/>
          <w:b w:val="0"/>
          <w:bCs w:val="0"/>
          <w:color w:val="000000"/>
          <w:sz w:val="18"/>
          <w:szCs w:val="18"/>
          <w:lang w:eastAsia="zh-CN"/>
        </w:rPr>
        <w:t>.</w:t>
      </w:r>
      <w:r>
        <w:rPr>
          <w:rFonts w:hint="eastAsia" w:ascii="宋体" w:hAnsi="宋体" w:eastAsia="宋体" w:cs="宋体"/>
          <w:b w:val="0"/>
          <w:bCs w:val="0"/>
          <w:color w:val="000000"/>
          <w:sz w:val="18"/>
          <w:szCs w:val="18"/>
        </w:rPr>
        <w:t>堆场四周设防风抑尘网。</w:t>
      </w:r>
    </w:p>
    <w:p w14:paraId="0A2D346A">
      <w:pPr>
        <w:widowControl/>
        <w:jc w:val="both"/>
        <w:rPr>
          <w:rFonts w:hint="eastAsia" w:ascii="宋体" w:hAnsi="宋体" w:eastAsia="宋体" w:cs="宋体"/>
          <w:b w:val="0"/>
          <w:bCs w:val="0"/>
          <w:color w:val="000000"/>
          <w:sz w:val="21"/>
          <w:szCs w:val="21"/>
        </w:rPr>
      </w:pPr>
    </w:p>
    <w:p w14:paraId="74B756CD">
      <w:pPr>
        <w:spacing w:line="360" w:lineRule="auto"/>
        <w:ind w:firstLine="602" w:firstLineChars="200"/>
        <w:jc w:val="center"/>
        <w:rPr>
          <w:rFonts w:ascii="Times New Roman" w:hAnsi="Times New Roman"/>
          <w:b/>
          <w:bCs/>
          <w:color w:val="000000"/>
          <w:sz w:val="30"/>
          <w:szCs w:val="30"/>
        </w:rPr>
      </w:pPr>
    </w:p>
    <w:p w14:paraId="141732EE">
      <w:pPr>
        <w:spacing w:line="360" w:lineRule="auto"/>
        <w:ind w:firstLine="422" w:firstLineChars="200"/>
        <w:jc w:val="left"/>
        <w:rPr>
          <w:rFonts w:ascii="Times New Roman" w:hAnsi="Times New Roman"/>
          <w:b/>
          <w:bCs/>
          <w:color w:val="000000"/>
          <w:szCs w:val="21"/>
        </w:rPr>
      </w:pPr>
    </w:p>
    <w:p w14:paraId="3C3CA8D2">
      <w:pPr>
        <w:spacing w:line="360" w:lineRule="auto"/>
        <w:jc w:val="left"/>
        <w:rPr>
          <w:rFonts w:hint="eastAsia" w:ascii="Times New Roman" w:hAnsi="Times New Roman"/>
          <w:b/>
          <w:bCs/>
          <w:color w:val="000000"/>
          <w:szCs w:val="21"/>
        </w:rPr>
      </w:pPr>
    </w:p>
    <w:p w14:paraId="1CCEE199">
      <w:pPr>
        <w:pStyle w:val="4"/>
        <w:bidi w:val="0"/>
        <w:ind w:firstLine="0"/>
        <w:rPr>
          <w:rFonts w:hint="eastAsia" w:ascii="黑体" w:hAnsi="黑体" w:eastAsia="黑体" w:cs="黑体"/>
          <w:b w:val="0"/>
          <w:bCs/>
          <w:lang w:val="en-US" w:eastAsia="zh-CN"/>
        </w:rPr>
      </w:pPr>
      <w:bookmarkStart w:id="188" w:name="_Toc309913256_WPSOffice_Level1"/>
      <w:r>
        <w:rPr>
          <w:rFonts w:hint="eastAsia" w:ascii="黑体" w:hAnsi="黑体" w:eastAsia="黑体" w:cs="黑体"/>
          <w:b w:val="0"/>
          <w:bCs/>
          <w:lang w:val="en-US" w:eastAsia="zh-CN"/>
        </w:rPr>
        <w:t>附录G</w:t>
      </w:r>
    </w:p>
    <w:p w14:paraId="7C3E4462">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88"/>
    </w:p>
    <w:p w14:paraId="32752669">
      <w:pPr>
        <w:pStyle w:val="4"/>
        <w:bidi w:val="0"/>
        <w:ind w:firstLine="0"/>
        <w:rPr>
          <w:rFonts w:hint="eastAsia" w:ascii="黑体" w:hAnsi="黑体" w:eastAsia="黑体" w:cs="黑体"/>
          <w:b w:val="0"/>
          <w:bCs/>
          <w:lang w:val="en-US" w:eastAsia="zh-CN"/>
        </w:rPr>
      </w:pPr>
      <w:bookmarkStart w:id="189" w:name="_Toc311837393_WPSOffice_Level1"/>
      <w:bookmarkStart w:id="190" w:name="_Toc1349748872_WPSOffice_Level2"/>
      <w:r>
        <w:rPr>
          <w:rFonts w:hint="eastAsia" w:ascii="黑体" w:hAnsi="黑体" w:eastAsia="黑体" w:cs="黑体"/>
          <w:b w:val="0"/>
          <w:bCs/>
          <w:lang w:val="en-US" w:eastAsia="zh-CN"/>
        </w:rPr>
        <w:t>防尘林带示意图</w:t>
      </w:r>
      <w:bookmarkEnd w:id="189"/>
      <w:bookmarkEnd w:id="190"/>
    </w:p>
    <w:p w14:paraId="0D5997ED">
      <w:pPr>
        <w:pStyle w:val="4"/>
        <w:bidi w:val="0"/>
        <w:jc w:val="both"/>
        <w:rPr>
          <w:rFonts w:hint="eastAsia" w:asciiTheme="majorEastAsia" w:hAnsiTheme="majorEastAsia" w:eastAsiaTheme="majorEastAsia" w:cstheme="majorEastAsia"/>
          <w:lang w:eastAsia="zh-CN"/>
        </w:rPr>
      </w:pPr>
    </w:p>
    <w:p w14:paraId="18656992">
      <w:pPr>
        <w:pStyle w:val="4"/>
        <w:bidi w:val="0"/>
        <w:jc w:val="both"/>
        <w:rPr>
          <w:rFonts w:hint="eastAsia" w:asciiTheme="majorEastAsia" w:hAnsiTheme="majorEastAsia" w:eastAsiaTheme="majorEastAsia" w:cstheme="majorEastAsia"/>
          <w:lang w:val="en-US" w:eastAsia="zh-CN"/>
        </w:rPr>
      </w:pPr>
      <w:r>
        <w:rPr>
          <w:rFonts w:hint="eastAsia" w:asciiTheme="majorEastAsia" w:hAnsiTheme="majorEastAsia" w:eastAsiaTheme="majorEastAsia" w:cstheme="majorEastAsia"/>
          <w:lang w:eastAsia="zh-CN"/>
        </w:rPr>
        <w:t>防尘林带示意图见图</w:t>
      </w:r>
      <w:r>
        <w:rPr>
          <w:rFonts w:hint="eastAsia" w:asciiTheme="majorEastAsia" w:hAnsiTheme="majorEastAsia" w:eastAsiaTheme="majorEastAsia" w:cstheme="majorEastAsia"/>
          <w:lang w:val="en-US" w:eastAsia="zh-CN"/>
        </w:rPr>
        <w:t>G.1。</w:t>
      </w:r>
    </w:p>
    <w:p w14:paraId="685AC68C">
      <w:pPr>
        <w:rPr>
          <w:rFonts w:hint="eastAsia"/>
          <w:lang w:eastAsia="zh-CN"/>
        </w:rPr>
      </w:pPr>
    </w:p>
    <w:p w14:paraId="2C94559D">
      <w:pPr>
        <w:spacing w:line="360" w:lineRule="auto"/>
        <w:jc w:val="both"/>
        <w:rPr>
          <w:rFonts w:hint="eastAsia" w:ascii="Times New Roman" w:hAnsi="Times New Roman"/>
          <w:b/>
          <w:bCs/>
          <w:color w:val="000000"/>
          <w:sz w:val="22"/>
        </w:rPr>
      </w:pPr>
      <w:r>
        <w:rPr>
          <w:rFonts w:hint="eastAsia" w:ascii="Times New Roman" w:hAnsi="Times New Roman"/>
          <w:b/>
          <w:bCs/>
          <w:color w:val="000000"/>
          <w:sz w:val="30"/>
          <w:szCs w:val="30"/>
          <w:lang w:val="en-US" w:eastAsia="zh-CN"/>
        </w:rPr>
        <w:t xml:space="preserve"> </w:t>
      </w:r>
      <w:r>
        <w:rPr>
          <w:rFonts w:ascii="Times New Roman" w:hAnsi="Times New Roman"/>
          <w:b/>
          <w:bCs/>
          <w:color w:val="000000"/>
          <w:sz w:val="30"/>
          <w:szCs w:val="30"/>
        </w:rPr>
        <w:drawing>
          <wp:inline distT="0" distB="0" distL="114300" distR="114300">
            <wp:extent cx="5606415" cy="2613025"/>
            <wp:effectExtent l="0" t="0" r="13335" b="15875"/>
            <wp:docPr id="16" name="图片 3" descr="C:\Users\ADMINI~1\AppData\Local\Temp\WeChat Files\7eae8e01cdd2c1880287b9c4c1ba1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C:\Users\ADMINI~1\AppData\Local\Temp\WeChat Files\7eae8e01cdd2c1880287b9c4c1ba1d3.png"/>
                    <pic:cNvPicPr>
                      <a:picLocks noChangeAspect="1"/>
                    </pic:cNvPicPr>
                  </pic:nvPicPr>
                  <pic:blipFill>
                    <a:blip r:embed="rId16"/>
                    <a:stretch>
                      <a:fillRect/>
                    </a:stretch>
                  </pic:blipFill>
                  <pic:spPr>
                    <a:xfrm>
                      <a:off x="0" y="0"/>
                      <a:ext cx="5606415" cy="2613025"/>
                    </a:xfrm>
                    <a:prstGeom prst="rect">
                      <a:avLst/>
                    </a:prstGeom>
                    <a:noFill/>
                    <a:ln>
                      <a:noFill/>
                    </a:ln>
                  </pic:spPr>
                </pic:pic>
              </a:graphicData>
            </a:graphic>
          </wp:inline>
        </w:drawing>
      </w:r>
    </w:p>
    <w:p w14:paraId="5F1478D1">
      <w:pPr>
        <w:spacing w:line="360" w:lineRule="auto"/>
        <w:jc w:val="left"/>
        <w:rPr>
          <w:rFonts w:hint="eastAsia" w:ascii="Times New Roman" w:hAnsi="Times New Roman" w:eastAsia="宋体"/>
          <w:b/>
          <w:bCs/>
          <w:color w:val="000000"/>
          <w:sz w:val="22"/>
          <w:lang w:eastAsia="zh-CN"/>
        </w:rPr>
      </w:pPr>
      <w:r>
        <w:rPr>
          <w:rFonts w:hint="eastAsia" w:ascii="Times New Roman" w:hAnsi="Times New Roman"/>
          <w:b/>
          <w:bCs/>
          <w:color w:val="000000"/>
          <w:sz w:val="22"/>
          <w:lang w:val="en-US" w:eastAsia="zh-CN"/>
        </w:rPr>
        <w:t xml:space="preserve"> </w:t>
      </w:r>
      <w:r>
        <w:rPr>
          <w:rFonts w:hint="eastAsia" w:ascii="Times New Roman" w:hAnsi="Times New Roman" w:eastAsia="宋体"/>
          <w:b/>
          <w:bCs/>
          <w:color w:val="000000"/>
          <w:sz w:val="22"/>
          <w:lang w:eastAsia="zh-CN"/>
        </w:rPr>
        <w:drawing>
          <wp:inline distT="0" distB="0" distL="114300" distR="114300">
            <wp:extent cx="5678170" cy="1983105"/>
            <wp:effectExtent l="0" t="0" r="17780" b="17145"/>
            <wp:docPr id="17" name="图片 4" descr="786515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descr="786515087"/>
                    <pic:cNvPicPr>
                      <a:picLocks noChangeAspect="1"/>
                    </pic:cNvPicPr>
                  </pic:nvPicPr>
                  <pic:blipFill>
                    <a:blip r:embed="rId17"/>
                    <a:stretch>
                      <a:fillRect/>
                    </a:stretch>
                  </pic:blipFill>
                  <pic:spPr>
                    <a:xfrm>
                      <a:off x="0" y="0"/>
                      <a:ext cx="5678170" cy="1983105"/>
                    </a:xfrm>
                    <a:prstGeom prst="rect">
                      <a:avLst/>
                    </a:prstGeom>
                    <a:noFill/>
                    <a:ln>
                      <a:noFill/>
                    </a:ln>
                  </pic:spPr>
                </pic:pic>
              </a:graphicData>
            </a:graphic>
          </wp:inline>
        </w:drawing>
      </w:r>
    </w:p>
    <w:p w14:paraId="5A81AEC3">
      <w:pPr>
        <w:pStyle w:val="4"/>
        <w:bidi w:val="0"/>
        <w:jc w:val="center"/>
        <w:rPr>
          <w:rFonts w:hint="eastAsia" w:ascii="方正黑体_GBK" w:hAnsi="方正黑体_GBK" w:eastAsia="方正黑体_GBK" w:cs="方正黑体_GBK"/>
          <w:lang w:val="en-US" w:eastAsia="zh-CN"/>
        </w:rPr>
      </w:pPr>
      <w:r>
        <w:rPr>
          <w:rFonts w:hint="eastAsia" w:ascii="方正黑体_GBK" w:hAnsi="方正黑体_GBK" w:eastAsia="方正黑体_GBK" w:cs="方正黑体_GBK"/>
          <w:lang w:eastAsia="zh-CN"/>
        </w:rPr>
        <w:t>图</w:t>
      </w:r>
      <w:r>
        <w:rPr>
          <w:rFonts w:hint="eastAsia" w:ascii="方正黑体_GBK" w:hAnsi="方正黑体_GBK" w:eastAsia="方正黑体_GBK" w:cs="方正黑体_GBK"/>
          <w:lang w:val="en-US" w:eastAsia="zh-CN"/>
        </w:rPr>
        <w:t>G.1</w:t>
      </w:r>
      <w:r>
        <w:rPr>
          <w:rFonts w:hint="eastAsia" w:ascii="方正黑体_GBK" w:hAnsi="方正黑体_GBK" w:eastAsia="方正黑体_GBK" w:cs="方正黑体_GBK"/>
          <w:lang w:eastAsia="zh-CN"/>
        </w:rPr>
        <w:t>防尘林带示意图</w:t>
      </w:r>
    </w:p>
    <w:p w14:paraId="51505339">
      <w:pPr>
        <w:pStyle w:val="2"/>
        <w:rPr>
          <w:rFonts w:hint="eastAsia"/>
        </w:rPr>
      </w:pPr>
    </w:p>
    <w:p w14:paraId="4716E311">
      <w:pPr>
        <w:spacing w:line="240" w:lineRule="auto"/>
        <w:jc w:val="left"/>
        <w:rPr>
          <w:rFonts w:hint="eastAsia" w:ascii="宋体" w:hAnsi="宋体" w:eastAsia="宋体" w:cs="宋体"/>
          <w:b w:val="0"/>
          <w:bCs w:val="0"/>
          <w:color w:val="auto"/>
          <w:sz w:val="18"/>
          <w:szCs w:val="18"/>
        </w:rPr>
      </w:pPr>
      <w:r>
        <w:rPr>
          <w:rFonts w:hint="eastAsia" w:ascii="宋体" w:hAnsi="宋体" w:cs="宋体"/>
          <w:b w:val="0"/>
          <w:bCs w:val="0"/>
          <w:color w:val="auto"/>
          <w:sz w:val="18"/>
          <w:szCs w:val="18"/>
          <w:lang w:val="en-US" w:eastAsia="zh-CN"/>
        </w:rPr>
        <w:t>注</w:t>
      </w:r>
      <w:r>
        <w:rPr>
          <w:rFonts w:hint="eastAsia" w:ascii="宋体" w:hAnsi="宋体" w:eastAsia="宋体" w:cs="宋体"/>
          <w:b w:val="0"/>
          <w:bCs w:val="0"/>
          <w:color w:val="auto"/>
          <w:sz w:val="18"/>
          <w:szCs w:val="18"/>
        </w:rPr>
        <w:t>:</w:t>
      </w:r>
    </w:p>
    <w:p w14:paraId="6895F5F0">
      <w:pPr>
        <w:spacing w:line="240" w:lineRule="auto"/>
        <w:ind w:firstLine="360" w:firstLineChars="200"/>
        <w:rPr>
          <w:rFonts w:hint="eastAsia" w:ascii="宋体" w:hAnsi="宋体" w:eastAsia="宋体" w:cs="宋体"/>
          <w:b w:val="0"/>
          <w:bCs w:val="0"/>
          <w:color w:val="auto"/>
          <w:sz w:val="18"/>
          <w:szCs w:val="18"/>
        </w:rPr>
      </w:pPr>
      <w:r>
        <w:rPr>
          <w:rFonts w:hint="eastAsia" w:ascii="宋体" w:hAnsi="宋体" w:eastAsia="宋体" w:cs="宋体"/>
          <w:b w:val="0"/>
          <w:bCs w:val="0"/>
          <w:color w:val="auto"/>
          <w:sz w:val="18"/>
          <w:szCs w:val="18"/>
        </w:rPr>
        <w:t>1</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港区周围须种植防尘林带，宽度</w:t>
      </w:r>
      <w:r>
        <w:rPr>
          <w:rFonts w:hint="eastAsia" w:ascii="宋体" w:hAnsi="宋体" w:eastAsia="宋体" w:cs="宋体"/>
          <w:b w:val="0"/>
          <w:bCs w:val="0"/>
          <w:color w:val="auto"/>
          <w:sz w:val="18"/>
          <w:szCs w:val="18"/>
          <w:lang w:val="en-US" w:eastAsia="zh-CN"/>
        </w:rPr>
        <w:t>15</w:t>
      </w:r>
      <w:r>
        <w:rPr>
          <w:rFonts w:hint="eastAsia" w:ascii="宋体" w:hAnsi="宋体" w:eastAsia="宋体" w:cs="宋体"/>
          <w:b w:val="0"/>
          <w:bCs w:val="0"/>
          <w:color w:val="auto"/>
          <w:sz w:val="18"/>
          <w:szCs w:val="18"/>
        </w:rPr>
        <w:t>m</w:t>
      </w:r>
      <w:r>
        <w:rPr>
          <w:rFonts w:hint="eastAsia" w:ascii="宋体" w:hAnsi="宋体" w:eastAsia="宋体" w:cs="宋体"/>
          <w:b w:val="0"/>
          <w:bCs w:val="0"/>
          <w:color w:val="auto"/>
          <w:sz w:val="18"/>
          <w:szCs w:val="18"/>
        </w:rPr>
        <w:t>～</w:t>
      </w:r>
      <w:r>
        <w:rPr>
          <w:rFonts w:hint="eastAsia" w:ascii="宋体" w:hAnsi="宋体" w:eastAsia="宋体" w:cs="宋体"/>
          <w:b w:val="0"/>
          <w:bCs w:val="0"/>
          <w:color w:val="auto"/>
          <w:sz w:val="18"/>
          <w:szCs w:val="18"/>
          <w:lang w:val="en-US" w:eastAsia="zh-CN"/>
        </w:rPr>
        <w:t>30</w:t>
      </w:r>
      <w:r>
        <w:rPr>
          <w:rFonts w:hint="eastAsia" w:ascii="宋体" w:hAnsi="宋体" w:eastAsia="宋体" w:cs="宋体"/>
          <w:b w:val="0"/>
          <w:bCs w:val="0"/>
          <w:color w:val="auto"/>
          <w:sz w:val="18"/>
          <w:szCs w:val="18"/>
        </w:rPr>
        <w:t>m。</w:t>
      </w:r>
    </w:p>
    <w:p w14:paraId="23C082BD">
      <w:pPr>
        <w:spacing w:line="240" w:lineRule="auto"/>
        <w:ind w:firstLine="360" w:firstLineChars="200"/>
        <w:rPr>
          <w:rFonts w:hint="eastAsia" w:ascii="宋体" w:hAnsi="宋体" w:eastAsia="宋体" w:cs="宋体"/>
          <w:b w:val="0"/>
          <w:bCs w:val="0"/>
          <w:color w:val="auto"/>
          <w:sz w:val="18"/>
          <w:szCs w:val="18"/>
        </w:rPr>
      </w:pPr>
      <w:r>
        <w:rPr>
          <w:rFonts w:hint="eastAsia" w:ascii="宋体" w:hAnsi="宋体" w:eastAsia="宋体" w:cs="宋体"/>
          <w:b w:val="0"/>
          <w:bCs w:val="0"/>
          <w:color w:val="auto"/>
          <w:sz w:val="18"/>
          <w:szCs w:val="18"/>
        </w:rPr>
        <w:t>2</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堆场装卸作业区周边抑尘网外缘，因地制宜栽植2</w:t>
      </w:r>
      <w:r>
        <w:rPr>
          <w:rFonts w:hint="eastAsia" w:ascii="宋体" w:hAnsi="宋体" w:eastAsia="宋体" w:cs="宋体"/>
          <w:b w:val="0"/>
          <w:bCs w:val="0"/>
          <w:color w:val="auto"/>
          <w:sz w:val="18"/>
          <w:szCs w:val="18"/>
        </w:rPr>
        <w:t>行</w:t>
      </w:r>
      <w:r>
        <w:rPr>
          <w:rFonts w:hint="eastAsia" w:ascii="宋体" w:hAnsi="宋体" w:eastAsia="宋体" w:cs="宋体"/>
          <w:b w:val="0"/>
          <w:bCs w:val="0"/>
          <w:color w:val="auto"/>
          <w:sz w:val="18"/>
          <w:szCs w:val="18"/>
        </w:rPr>
        <w:t>～3行林带。</w:t>
      </w:r>
    </w:p>
    <w:p w14:paraId="65F71F36">
      <w:pPr>
        <w:spacing w:line="240" w:lineRule="auto"/>
        <w:ind w:firstLine="360" w:firstLineChars="200"/>
        <w:rPr>
          <w:rFonts w:hint="eastAsia" w:ascii="宋体" w:hAnsi="宋体" w:eastAsia="宋体" w:cs="宋体"/>
          <w:b w:val="0"/>
          <w:bCs w:val="0"/>
          <w:color w:val="auto"/>
          <w:sz w:val="18"/>
          <w:szCs w:val="18"/>
        </w:rPr>
      </w:pPr>
      <w:r>
        <w:rPr>
          <w:rFonts w:hint="eastAsia" w:ascii="宋体" w:hAnsi="宋体" w:eastAsia="宋体" w:cs="宋体"/>
          <w:b w:val="0"/>
          <w:bCs w:val="0"/>
          <w:color w:val="auto"/>
          <w:sz w:val="18"/>
          <w:szCs w:val="18"/>
        </w:rPr>
        <w:t>3</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进港道路两侧分别栽植2</w:t>
      </w:r>
      <w:r>
        <w:rPr>
          <w:rFonts w:hint="eastAsia" w:ascii="宋体" w:hAnsi="宋体" w:eastAsia="宋体" w:cs="宋体"/>
          <w:b w:val="0"/>
          <w:bCs w:val="0"/>
          <w:color w:val="auto"/>
          <w:sz w:val="18"/>
          <w:szCs w:val="18"/>
        </w:rPr>
        <w:t>行</w:t>
      </w:r>
      <w:r>
        <w:rPr>
          <w:rFonts w:hint="eastAsia" w:ascii="宋体" w:hAnsi="宋体" w:eastAsia="宋体" w:cs="宋体"/>
          <w:b w:val="0"/>
          <w:bCs w:val="0"/>
          <w:color w:val="auto"/>
          <w:sz w:val="18"/>
          <w:szCs w:val="18"/>
        </w:rPr>
        <w:t>～3行防尘林带。</w:t>
      </w:r>
    </w:p>
    <w:p w14:paraId="7E7E9899">
      <w:pPr>
        <w:spacing w:line="240" w:lineRule="auto"/>
        <w:ind w:firstLine="360" w:firstLineChars="200"/>
        <w:jc w:val="left"/>
        <w:rPr>
          <w:rFonts w:hint="eastAsia" w:ascii="Times New Roman" w:hAnsi="Times New Roman" w:eastAsia="方正黑体简体" w:cs="方正黑体简体"/>
          <w:b/>
          <w:bCs/>
          <w:color w:val="auto"/>
          <w:sz w:val="18"/>
          <w:szCs w:val="18"/>
        </w:rPr>
        <w:sectPr>
          <w:pgSz w:w="11906" w:h="16838"/>
          <w:pgMar w:top="1440" w:right="1020" w:bottom="1440" w:left="1701" w:header="851" w:footer="992" w:gutter="0"/>
          <w:pgNumType w:fmt="decimal"/>
          <w:cols w:space="720" w:num="1"/>
          <w:docGrid w:type="lines" w:linePitch="312" w:charSpace="0"/>
        </w:sectPr>
      </w:pPr>
      <w:r>
        <w:rPr>
          <w:rFonts w:hint="eastAsia" w:ascii="宋体" w:hAnsi="宋体" w:eastAsia="宋体" w:cs="宋体"/>
          <w:b w:val="0"/>
          <w:bCs w:val="0"/>
          <w:color w:val="auto"/>
          <w:sz w:val="18"/>
          <w:szCs w:val="18"/>
        </w:rPr>
        <w:t>4</w:t>
      </w:r>
      <w:r>
        <w:rPr>
          <w:rFonts w:hint="eastAsia" w:ascii="宋体" w:hAnsi="宋体" w:cs="宋体"/>
          <w:b w:val="0"/>
          <w:bCs w:val="0"/>
          <w:color w:val="auto"/>
          <w:sz w:val="18"/>
          <w:szCs w:val="18"/>
          <w:lang w:val="en-US" w:eastAsia="zh-CN"/>
        </w:rPr>
        <w:t>.</w:t>
      </w:r>
      <w:r>
        <w:rPr>
          <w:rFonts w:hint="eastAsia" w:ascii="宋体" w:hAnsi="宋体" w:eastAsia="宋体" w:cs="宋体"/>
          <w:b w:val="0"/>
          <w:bCs w:val="0"/>
          <w:color w:val="auto"/>
          <w:sz w:val="18"/>
          <w:szCs w:val="18"/>
        </w:rPr>
        <w:t>港口所在的河堤要选用高大乡土乔木树种，结合生态和经济效益全部绿化。</w:t>
      </w:r>
    </w:p>
    <w:p w14:paraId="5A5C39E9">
      <w:pPr>
        <w:pStyle w:val="4"/>
        <w:bidi w:val="0"/>
        <w:ind w:firstLine="0"/>
        <w:rPr>
          <w:rFonts w:hint="eastAsia" w:ascii="黑体" w:hAnsi="黑体" w:eastAsia="黑体" w:cs="黑体"/>
          <w:b w:val="0"/>
          <w:bCs/>
          <w:lang w:val="en-US" w:eastAsia="zh-CN"/>
        </w:rPr>
      </w:pPr>
      <w:bookmarkStart w:id="191" w:name="_Toc404661648_WPSOffice_Level1"/>
      <w:r>
        <w:rPr>
          <w:rFonts w:hint="eastAsia" w:ascii="黑体" w:hAnsi="黑体" w:eastAsia="黑体" w:cs="黑体"/>
          <w:b w:val="0"/>
          <w:bCs/>
          <w:lang w:val="en-US" w:eastAsia="zh-CN"/>
        </w:rPr>
        <w:t>附录H</w:t>
      </w:r>
    </w:p>
    <w:p w14:paraId="31316BC4">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91"/>
    </w:p>
    <w:p w14:paraId="3E4E80A9">
      <w:pPr>
        <w:pStyle w:val="4"/>
        <w:bidi w:val="0"/>
        <w:ind w:firstLine="0"/>
        <w:rPr>
          <w:rFonts w:hint="eastAsia" w:ascii="黑体" w:hAnsi="黑体" w:eastAsia="黑体" w:cs="黑体"/>
          <w:b w:val="0"/>
          <w:bCs/>
          <w:lang w:val="en-US" w:eastAsia="zh-CN"/>
        </w:rPr>
      </w:pPr>
      <w:bookmarkStart w:id="192" w:name="_Toc952043336_WPSOffice_Level1"/>
      <w:bookmarkStart w:id="193" w:name="_Toc818237_WPSOffice_Level2"/>
      <w:r>
        <w:rPr>
          <w:rFonts w:hint="eastAsia" w:ascii="黑体" w:hAnsi="黑体" w:eastAsia="黑体" w:cs="黑体"/>
          <w:b w:val="0"/>
          <w:bCs/>
          <w:lang w:val="en-US" w:eastAsia="zh-CN"/>
        </w:rPr>
        <w:t>港口水污染防治设施检查指南</w:t>
      </w:r>
      <w:bookmarkEnd w:id="192"/>
      <w:bookmarkEnd w:id="193"/>
    </w:p>
    <w:p w14:paraId="29716B90">
      <w:pPr>
        <w:pStyle w:val="4"/>
        <w:bidi w:val="0"/>
        <w:jc w:val="both"/>
        <w:rPr>
          <w:rFonts w:hint="eastAsia" w:asciiTheme="majorEastAsia" w:hAnsiTheme="majorEastAsia" w:eastAsiaTheme="majorEastAsia" w:cstheme="majorEastAsia"/>
          <w:lang w:eastAsia="zh-CN"/>
        </w:rPr>
      </w:pPr>
    </w:p>
    <w:p w14:paraId="61F6E4B2">
      <w:pPr>
        <w:pStyle w:val="4"/>
        <w:bidi w:val="0"/>
        <w:jc w:val="both"/>
        <w:rPr>
          <w:rFonts w:hint="default" w:asciiTheme="majorEastAsia" w:hAnsiTheme="majorEastAsia" w:eastAsiaTheme="majorEastAsia" w:cstheme="majorEastAsia"/>
          <w:lang w:val="en-US" w:eastAsia="zh-CN"/>
        </w:rPr>
      </w:pPr>
      <w:r>
        <w:rPr>
          <w:rFonts w:hint="eastAsia" w:asciiTheme="majorEastAsia" w:hAnsiTheme="majorEastAsia" w:eastAsiaTheme="majorEastAsia" w:cstheme="majorEastAsia"/>
          <w:lang w:eastAsia="zh-CN"/>
        </w:rPr>
        <w:t>港口水污染防治设施检查指南见表</w:t>
      </w:r>
      <w:r>
        <w:rPr>
          <w:rFonts w:hint="eastAsia" w:asciiTheme="majorEastAsia" w:hAnsiTheme="majorEastAsia" w:eastAsiaTheme="majorEastAsia" w:cstheme="majorEastAsia"/>
          <w:lang w:val="en-US" w:eastAsia="zh-CN"/>
        </w:rPr>
        <w:t>H.1。</w:t>
      </w:r>
    </w:p>
    <w:p w14:paraId="2553EB3D">
      <w:pPr>
        <w:rPr>
          <w:rFonts w:hint="eastAsia"/>
          <w:lang w:eastAsia="zh-CN"/>
        </w:rPr>
      </w:pPr>
    </w:p>
    <w:tbl>
      <w:tblPr>
        <w:tblStyle w:val="15"/>
        <w:tblW w:w="883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1822"/>
        <w:gridCol w:w="6182"/>
      </w:tblGrid>
      <w:tr w14:paraId="57A19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blHeader/>
          <w:jc w:val="center"/>
        </w:trPr>
        <w:tc>
          <w:tcPr>
            <w:tcW w:w="8832" w:type="dxa"/>
            <w:gridSpan w:val="3"/>
            <w:tcBorders>
              <w:top w:val="nil"/>
              <w:left w:val="nil"/>
              <w:right w:val="nil"/>
            </w:tcBorders>
            <w:noWrap w:val="0"/>
            <w:vAlign w:val="center"/>
          </w:tcPr>
          <w:p w14:paraId="7E565F1E">
            <w:pPr>
              <w:spacing w:line="400" w:lineRule="exact"/>
              <w:jc w:val="center"/>
              <w:rPr>
                <w:rFonts w:ascii="Times New Roman" w:hAnsi="Times New Roman"/>
                <w:b/>
                <w:bCs/>
                <w:sz w:val="24"/>
              </w:rPr>
            </w:pPr>
            <w:r>
              <w:rPr>
                <w:rFonts w:hint="eastAsia" w:ascii="方正黑体_GBK" w:hAnsi="方正黑体_GBK" w:eastAsia="方正黑体_GBK" w:cs="方正黑体_GBK"/>
                <w:b w:val="0"/>
                <w:bCs w:val="0"/>
                <w:sz w:val="21"/>
                <w:szCs w:val="21"/>
                <w:lang w:eastAsia="zh-CN"/>
              </w:rPr>
              <w:t>表</w:t>
            </w:r>
            <w:r>
              <w:rPr>
                <w:rFonts w:hint="eastAsia" w:ascii="方正黑体_GBK" w:hAnsi="方正黑体_GBK" w:eastAsia="方正黑体_GBK" w:cs="方正黑体_GBK"/>
                <w:b w:val="0"/>
                <w:bCs w:val="0"/>
                <w:sz w:val="21"/>
                <w:szCs w:val="21"/>
                <w:lang w:val="en-US" w:eastAsia="zh-CN"/>
              </w:rPr>
              <w:t>H.1</w:t>
            </w:r>
            <w:r>
              <w:rPr>
                <w:rFonts w:hint="eastAsia" w:ascii="方正黑体_GBK" w:hAnsi="方正黑体_GBK" w:eastAsia="方正黑体_GBK" w:cs="方正黑体_GBK"/>
                <w:b w:val="0"/>
                <w:bCs w:val="0"/>
                <w:sz w:val="21"/>
                <w:szCs w:val="21"/>
              </w:rPr>
              <w:t>港口水污染防治设施检查指南</w:t>
            </w:r>
          </w:p>
        </w:tc>
      </w:tr>
      <w:tr w14:paraId="59152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blHeader/>
          <w:jc w:val="center"/>
        </w:trPr>
        <w:tc>
          <w:tcPr>
            <w:tcW w:w="828" w:type="dxa"/>
            <w:noWrap w:val="0"/>
            <w:vAlign w:val="center"/>
          </w:tcPr>
          <w:p w14:paraId="01AD579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序号</w:t>
            </w:r>
          </w:p>
        </w:tc>
        <w:tc>
          <w:tcPr>
            <w:tcW w:w="1822" w:type="dxa"/>
            <w:tcBorders>
              <w:right w:val="single" w:color="auto" w:sz="4" w:space="0"/>
            </w:tcBorders>
            <w:noWrap w:val="0"/>
            <w:vAlign w:val="center"/>
          </w:tcPr>
          <w:p w14:paraId="1416FE57">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项目</w:t>
            </w:r>
          </w:p>
        </w:tc>
        <w:tc>
          <w:tcPr>
            <w:tcW w:w="6182" w:type="dxa"/>
            <w:noWrap w:val="0"/>
            <w:vAlign w:val="center"/>
          </w:tcPr>
          <w:p w14:paraId="5868EF93">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检查内容</w:t>
            </w:r>
          </w:p>
        </w:tc>
      </w:tr>
      <w:tr w14:paraId="387B0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8" w:hRule="atLeast"/>
          <w:jc w:val="center"/>
        </w:trPr>
        <w:tc>
          <w:tcPr>
            <w:tcW w:w="828" w:type="dxa"/>
            <w:noWrap w:val="0"/>
            <w:vAlign w:val="center"/>
          </w:tcPr>
          <w:p w14:paraId="2F904F03">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1</w:t>
            </w:r>
          </w:p>
        </w:tc>
        <w:tc>
          <w:tcPr>
            <w:tcW w:w="1822" w:type="dxa"/>
            <w:tcBorders>
              <w:right w:val="single" w:color="auto" w:sz="4" w:space="0"/>
            </w:tcBorders>
            <w:noWrap w:val="0"/>
            <w:vAlign w:val="center"/>
          </w:tcPr>
          <w:p w14:paraId="2B0D9D93">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功能分区</w:t>
            </w:r>
          </w:p>
        </w:tc>
        <w:tc>
          <w:tcPr>
            <w:tcW w:w="6182" w:type="dxa"/>
            <w:noWrap w:val="0"/>
            <w:vAlign w:val="center"/>
          </w:tcPr>
          <w:p w14:paraId="6A980E28">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1、设置环保标识牌，公示码头平面布置图和防污染设施一览表。</w:t>
            </w:r>
          </w:p>
          <w:p w14:paraId="50BE53B5">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2、堆场范围明确标示并设置隔离设施。</w:t>
            </w:r>
          </w:p>
          <w:p w14:paraId="161B5918">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3、货物堆存于堆场区域内，严禁占压道路、排水系统等设施。</w:t>
            </w:r>
          </w:p>
        </w:tc>
      </w:tr>
      <w:tr w14:paraId="58B62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3" w:hRule="atLeast"/>
          <w:jc w:val="center"/>
        </w:trPr>
        <w:tc>
          <w:tcPr>
            <w:tcW w:w="828" w:type="dxa"/>
            <w:noWrap w:val="0"/>
            <w:vAlign w:val="center"/>
          </w:tcPr>
          <w:p w14:paraId="19DFBE12">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2</w:t>
            </w:r>
          </w:p>
        </w:tc>
        <w:tc>
          <w:tcPr>
            <w:tcW w:w="1822" w:type="dxa"/>
            <w:tcBorders>
              <w:right w:val="single" w:color="auto" w:sz="4" w:space="0"/>
            </w:tcBorders>
            <w:noWrap w:val="0"/>
            <w:vAlign w:val="center"/>
          </w:tcPr>
          <w:p w14:paraId="522783EE">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生产污水</w:t>
            </w:r>
          </w:p>
          <w:p w14:paraId="434105F7">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处理设施</w:t>
            </w:r>
          </w:p>
        </w:tc>
        <w:tc>
          <w:tcPr>
            <w:tcW w:w="6182" w:type="dxa"/>
            <w:noWrap w:val="0"/>
            <w:vAlign w:val="center"/>
          </w:tcPr>
          <w:p w14:paraId="35A29883">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1、按要求设置沉淀池、加药装置、沉淀装置、回用水池等设施。沉淀池的淤积厚度不</w:t>
            </w:r>
            <w:r>
              <w:rPr>
                <w:rFonts w:hint="eastAsia" w:ascii="宋体" w:hAnsi="宋体" w:eastAsia="宋体" w:cs="宋体"/>
                <w:b w:val="0"/>
                <w:bCs w:val="0"/>
                <w:color w:val="auto"/>
                <w:sz w:val="18"/>
                <w:szCs w:val="18"/>
              </w:rPr>
              <w:t>得</w:t>
            </w:r>
            <w:r>
              <w:rPr>
                <w:rFonts w:hint="eastAsia" w:ascii="宋体" w:hAnsi="宋体" w:eastAsia="宋体" w:cs="宋体"/>
                <w:b w:val="0"/>
                <w:bCs w:val="0"/>
                <w:sz w:val="18"/>
                <w:szCs w:val="18"/>
              </w:rPr>
              <w:t>超过总深度的1/3。</w:t>
            </w:r>
          </w:p>
          <w:p w14:paraId="48B72AA0">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2、生产污水处理设施正常运转，每季度维护保养不少于1次，维护保养台账完整。</w:t>
            </w:r>
          </w:p>
          <w:p w14:paraId="63BBD782">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3、严禁生产污水排入周边水体。</w:t>
            </w:r>
          </w:p>
        </w:tc>
      </w:tr>
      <w:tr w14:paraId="6F448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2" w:hRule="atLeast"/>
          <w:jc w:val="center"/>
        </w:trPr>
        <w:tc>
          <w:tcPr>
            <w:tcW w:w="828" w:type="dxa"/>
            <w:noWrap w:val="0"/>
            <w:vAlign w:val="center"/>
          </w:tcPr>
          <w:p w14:paraId="281C46C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3</w:t>
            </w:r>
          </w:p>
        </w:tc>
        <w:tc>
          <w:tcPr>
            <w:tcW w:w="1822" w:type="dxa"/>
            <w:tcBorders>
              <w:right w:val="single" w:color="auto" w:sz="4" w:space="0"/>
            </w:tcBorders>
            <w:noWrap w:val="0"/>
            <w:vAlign w:val="center"/>
          </w:tcPr>
          <w:p w14:paraId="0B16211F">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生活污水</w:t>
            </w:r>
          </w:p>
          <w:p w14:paraId="3ACEB307">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处理设施</w:t>
            </w:r>
          </w:p>
        </w:tc>
        <w:tc>
          <w:tcPr>
            <w:tcW w:w="6182" w:type="dxa"/>
            <w:noWrap w:val="0"/>
            <w:vAlign w:val="center"/>
          </w:tcPr>
          <w:p w14:paraId="38B1B2F7">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1、按要求设置调节池、一体化生活污水处理设备、回用水池等。</w:t>
            </w:r>
          </w:p>
          <w:p w14:paraId="0D79C870">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2、生活污水处理设施正常运转，每季度维护保养不少于1次，维护保养台账完整。</w:t>
            </w:r>
          </w:p>
          <w:p w14:paraId="4D94256E">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3、严禁生活污水排入周边水体。</w:t>
            </w:r>
          </w:p>
        </w:tc>
      </w:tr>
      <w:tr w14:paraId="04CB5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6" w:hRule="atLeast"/>
          <w:jc w:val="center"/>
        </w:trPr>
        <w:tc>
          <w:tcPr>
            <w:tcW w:w="828" w:type="dxa"/>
            <w:noWrap w:val="0"/>
            <w:vAlign w:val="center"/>
          </w:tcPr>
          <w:p w14:paraId="7990AC6A">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4</w:t>
            </w:r>
          </w:p>
        </w:tc>
        <w:tc>
          <w:tcPr>
            <w:tcW w:w="1822" w:type="dxa"/>
            <w:tcBorders>
              <w:right w:val="single" w:color="auto" w:sz="4" w:space="0"/>
            </w:tcBorders>
            <w:noWrap w:val="0"/>
            <w:vAlign w:val="center"/>
          </w:tcPr>
          <w:p w14:paraId="3FA2A2AF">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固体垃圾处理</w:t>
            </w:r>
          </w:p>
        </w:tc>
        <w:tc>
          <w:tcPr>
            <w:tcW w:w="6182" w:type="dxa"/>
            <w:noWrap w:val="0"/>
            <w:vAlign w:val="center"/>
          </w:tcPr>
          <w:p w14:paraId="2587AB30">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1、按要求设置固体垃圾接收设施。</w:t>
            </w:r>
          </w:p>
          <w:p w14:paraId="75BEC339">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2、固体垃圾处理委托合同。</w:t>
            </w:r>
          </w:p>
          <w:p w14:paraId="58FBCE2C">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3、接收、处理台账完整。</w:t>
            </w:r>
          </w:p>
        </w:tc>
      </w:tr>
      <w:tr w14:paraId="5A103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2" w:hRule="atLeast"/>
          <w:jc w:val="center"/>
        </w:trPr>
        <w:tc>
          <w:tcPr>
            <w:tcW w:w="828" w:type="dxa"/>
            <w:noWrap w:val="0"/>
            <w:vAlign w:val="center"/>
          </w:tcPr>
          <w:p w14:paraId="58166FD9">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5</w:t>
            </w:r>
          </w:p>
        </w:tc>
        <w:tc>
          <w:tcPr>
            <w:tcW w:w="1822" w:type="dxa"/>
            <w:tcBorders>
              <w:right w:val="single" w:color="auto" w:sz="4" w:space="0"/>
            </w:tcBorders>
            <w:noWrap w:val="0"/>
            <w:vAlign w:val="center"/>
          </w:tcPr>
          <w:p w14:paraId="5724996F">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装卸作业</w:t>
            </w:r>
          </w:p>
        </w:tc>
        <w:tc>
          <w:tcPr>
            <w:tcW w:w="6182" w:type="dxa"/>
            <w:noWrap w:val="0"/>
            <w:vAlign w:val="center"/>
          </w:tcPr>
          <w:p w14:paraId="6392BE07">
            <w:pPr>
              <w:keepNext w:val="0"/>
              <w:keepLines w:val="0"/>
              <w:pageBreakBefore w:val="0"/>
              <w:widowControl w:val="0"/>
              <w:numPr>
                <w:ilvl w:val="0"/>
                <w:numId w:val="3"/>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固定吊机配备接料板装置。</w:t>
            </w:r>
          </w:p>
          <w:p w14:paraId="071B2567">
            <w:pPr>
              <w:keepNext w:val="0"/>
              <w:keepLines w:val="0"/>
              <w:pageBreakBefore w:val="0"/>
              <w:widowControl w:val="0"/>
              <w:numPr>
                <w:ilvl w:val="0"/>
                <w:numId w:val="3"/>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皮带机（装船机）配备防散落装置。</w:t>
            </w:r>
          </w:p>
          <w:p w14:paraId="4D3B193A">
            <w:pPr>
              <w:keepNext w:val="0"/>
              <w:keepLines w:val="0"/>
              <w:pageBreakBefore w:val="0"/>
              <w:widowControl w:val="0"/>
              <w:numPr>
                <w:ilvl w:val="0"/>
                <w:numId w:val="3"/>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固定吊机齿轮配备防油污散落设施。</w:t>
            </w:r>
          </w:p>
        </w:tc>
      </w:tr>
      <w:tr w14:paraId="6D20B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5" w:hRule="atLeast"/>
          <w:jc w:val="center"/>
        </w:trPr>
        <w:tc>
          <w:tcPr>
            <w:tcW w:w="828" w:type="dxa"/>
            <w:noWrap w:val="0"/>
            <w:vAlign w:val="center"/>
          </w:tcPr>
          <w:p w14:paraId="0456BC37">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6</w:t>
            </w:r>
          </w:p>
        </w:tc>
        <w:tc>
          <w:tcPr>
            <w:tcW w:w="1822" w:type="dxa"/>
            <w:tcBorders>
              <w:right w:val="single" w:color="auto" w:sz="4" w:space="0"/>
            </w:tcBorders>
            <w:noWrap w:val="0"/>
            <w:vAlign w:val="center"/>
          </w:tcPr>
          <w:p w14:paraId="58A5A5EF">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雨污分流</w:t>
            </w:r>
          </w:p>
        </w:tc>
        <w:tc>
          <w:tcPr>
            <w:tcW w:w="6182" w:type="dxa"/>
            <w:noWrap w:val="0"/>
            <w:vAlign w:val="center"/>
          </w:tcPr>
          <w:p w14:paraId="315BECB6">
            <w:pPr>
              <w:keepNext w:val="0"/>
              <w:keepLines w:val="0"/>
              <w:pageBreakBefore w:val="0"/>
              <w:widowControl w:val="0"/>
              <w:numPr>
                <w:ilvl w:val="0"/>
                <w:numId w:val="4"/>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港区配备雨水收集池。</w:t>
            </w:r>
          </w:p>
          <w:p w14:paraId="5C40606A">
            <w:pPr>
              <w:keepNext w:val="0"/>
              <w:keepLines w:val="0"/>
              <w:pageBreakBefore w:val="0"/>
              <w:widowControl w:val="0"/>
              <w:numPr>
                <w:ilvl w:val="0"/>
                <w:numId w:val="4"/>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港区建设雨污分流系统和检测装置。</w:t>
            </w:r>
          </w:p>
          <w:p w14:paraId="1240C438">
            <w:pPr>
              <w:keepNext w:val="0"/>
              <w:keepLines w:val="0"/>
              <w:pageBreakBefore w:val="0"/>
              <w:widowControl w:val="0"/>
              <w:numPr>
                <w:ilvl w:val="0"/>
                <w:numId w:val="4"/>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封闭车间建设雨污分流设施。</w:t>
            </w:r>
          </w:p>
        </w:tc>
      </w:tr>
      <w:tr w14:paraId="73279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4" w:hRule="atLeast"/>
          <w:jc w:val="center"/>
        </w:trPr>
        <w:tc>
          <w:tcPr>
            <w:tcW w:w="828" w:type="dxa"/>
            <w:noWrap w:val="0"/>
            <w:vAlign w:val="center"/>
          </w:tcPr>
          <w:p w14:paraId="6E6D40F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7</w:t>
            </w:r>
          </w:p>
        </w:tc>
        <w:tc>
          <w:tcPr>
            <w:tcW w:w="1822" w:type="dxa"/>
            <w:tcBorders>
              <w:right w:val="single" w:color="auto" w:sz="4" w:space="0"/>
            </w:tcBorders>
            <w:noWrap w:val="0"/>
            <w:vAlign w:val="center"/>
          </w:tcPr>
          <w:p w14:paraId="2CCAF1DC">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挡水坎</w:t>
            </w:r>
          </w:p>
        </w:tc>
        <w:tc>
          <w:tcPr>
            <w:tcW w:w="6182" w:type="dxa"/>
            <w:noWrap w:val="0"/>
            <w:vAlign w:val="center"/>
          </w:tcPr>
          <w:p w14:paraId="0F3C462E">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1、码头前沿三面设挡水坎。</w:t>
            </w:r>
          </w:p>
          <w:p w14:paraId="37845CBC">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2、宽度不小于0.3m，高度为不小于0.2m。</w:t>
            </w:r>
          </w:p>
          <w:p w14:paraId="4BD85955">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b w:val="0"/>
                <w:bCs w:val="0"/>
                <w:sz w:val="18"/>
                <w:szCs w:val="18"/>
              </w:rPr>
            </w:pPr>
            <w:r>
              <w:rPr>
                <w:rFonts w:hint="eastAsia" w:ascii="宋体" w:hAnsi="宋体" w:eastAsia="宋体" w:cs="宋体"/>
                <w:b w:val="0"/>
                <w:bCs w:val="0"/>
                <w:sz w:val="18"/>
                <w:szCs w:val="18"/>
              </w:rPr>
              <w:t>3、挡水坎连续且无破损。</w:t>
            </w:r>
          </w:p>
        </w:tc>
      </w:tr>
      <w:tr w14:paraId="5A62E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9" w:hRule="atLeast"/>
          <w:jc w:val="center"/>
        </w:trPr>
        <w:tc>
          <w:tcPr>
            <w:tcW w:w="828" w:type="dxa"/>
            <w:noWrap w:val="0"/>
            <w:vAlign w:val="center"/>
          </w:tcPr>
          <w:p w14:paraId="789FBF18">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8</w:t>
            </w:r>
          </w:p>
        </w:tc>
        <w:tc>
          <w:tcPr>
            <w:tcW w:w="1822" w:type="dxa"/>
            <w:tcBorders>
              <w:right w:val="single" w:color="auto" w:sz="4" w:space="0"/>
            </w:tcBorders>
            <w:noWrap w:val="0"/>
            <w:vAlign w:val="center"/>
          </w:tcPr>
          <w:p w14:paraId="0C85D196">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排水管网</w:t>
            </w:r>
          </w:p>
        </w:tc>
        <w:tc>
          <w:tcPr>
            <w:tcW w:w="6182" w:type="dxa"/>
            <w:noWrap w:val="0"/>
            <w:vAlign w:val="center"/>
          </w:tcPr>
          <w:p w14:paraId="46ACA658">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1、堆场四周及道路布置排水沟（管）；排水沟（管）、检查井淤积厚度不得超过总深度的1/3。</w:t>
            </w:r>
          </w:p>
          <w:p w14:paraId="616CC332">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2、排水管网不可直接排入周边水体。</w:t>
            </w:r>
          </w:p>
          <w:p w14:paraId="1690C33C">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3、维护保养台账完整。</w:t>
            </w:r>
          </w:p>
        </w:tc>
      </w:tr>
      <w:tr w14:paraId="14C01A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1" w:hRule="atLeast"/>
          <w:jc w:val="center"/>
        </w:trPr>
        <w:tc>
          <w:tcPr>
            <w:tcW w:w="828" w:type="dxa"/>
            <w:noWrap w:val="0"/>
            <w:vAlign w:val="center"/>
          </w:tcPr>
          <w:p w14:paraId="4016586E">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9</w:t>
            </w:r>
          </w:p>
        </w:tc>
        <w:tc>
          <w:tcPr>
            <w:tcW w:w="1822" w:type="dxa"/>
            <w:tcBorders>
              <w:right w:val="single" w:color="auto" w:sz="4" w:space="0"/>
            </w:tcBorders>
            <w:noWrap w:val="0"/>
            <w:vAlign w:val="center"/>
          </w:tcPr>
          <w:p w14:paraId="323F422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堆场、道路维护</w:t>
            </w:r>
          </w:p>
        </w:tc>
        <w:tc>
          <w:tcPr>
            <w:tcW w:w="6182" w:type="dxa"/>
            <w:noWrap w:val="0"/>
            <w:vAlign w:val="center"/>
          </w:tcPr>
          <w:p w14:paraId="5B582081">
            <w:pPr>
              <w:spacing w:line="400" w:lineRule="exact"/>
              <w:jc w:val="left"/>
              <w:rPr>
                <w:rFonts w:hint="eastAsia" w:ascii="宋体" w:hAnsi="宋体" w:eastAsia="宋体" w:cs="宋体"/>
                <w:b w:val="0"/>
                <w:bCs w:val="0"/>
                <w:sz w:val="18"/>
                <w:szCs w:val="18"/>
              </w:rPr>
            </w:pPr>
            <w:r>
              <w:rPr>
                <w:rFonts w:hint="eastAsia" w:ascii="宋体" w:hAnsi="宋体" w:eastAsia="宋体" w:cs="宋体"/>
                <w:b w:val="0"/>
                <w:bCs w:val="0"/>
                <w:sz w:val="18"/>
                <w:szCs w:val="18"/>
              </w:rPr>
              <w:t>1、堆场、道路等土建设施破损时应3日内完成修复。</w:t>
            </w:r>
          </w:p>
          <w:p w14:paraId="718FE4B4">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2、维护保养台账完整。</w:t>
            </w:r>
          </w:p>
        </w:tc>
      </w:tr>
      <w:tr w14:paraId="4B9E0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jc w:val="center"/>
        </w:trPr>
        <w:tc>
          <w:tcPr>
            <w:tcW w:w="828" w:type="dxa"/>
            <w:noWrap w:val="0"/>
            <w:vAlign w:val="center"/>
          </w:tcPr>
          <w:p w14:paraId="39DE94C8">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10</w:t>
            </w:r>
          </w:p>
        </w:tc>
        <w:tc>
          <w:tcPr>
            <w:tcW w:w="1822" w:type="dxa"/>
            <w:tcBorders>
              <w:right w:val="single" w:color="auto" w:sz="4" w:space="0"/>
            </w:tcBorders>
            <w:noWrap w:val="0"/>
            <w:vAlign w:val="center"/>
          </w:tcPr>
          <w:p w14:paraId="012D8D6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污染防治队伍</w:t>
            </w:r>
          </w:p>
        </w:tc>
        <w:tc>
          <w:tcPr>
            <w:tcW w:w="6182" w:type="dxa"/>
            <w:noWrap w:val="0"/>
            <w:vAlign w:val="center"/>
          </w:tcPr>
          <w:p w14:paraId="72878BE4">
            <w:pPr>
              <w:spacing w:line="400" w:lineRule="exact"/>
              <w:jc w:val="left"/>
              <w:rPr>
                <w:rFonts w:hint="eastAsia" w:ascii="宋体" w:hAnsi="宋体" w:eastAsia="宋体" w:cs="宋体"/>
                <w:b w:val="0"/>
                <w:bCs w:val="0"/>
                <w:sz w:val="18"/>
                <w:szCs w:val="18"/>
              </w:rPr>
            </w:pPr>
            <w:r>
              <w:rPr>
                <w:rFonts w:hint="eastAsia" w:ascii="宋体" w:hAnsi="宋体" w:eastAsia="宋体" w:cs="宋体"/>
                <w:b w:val="0"/>
                <w:bCs w:val="0"/>
                <w:sz w:val="18"/>
                <w:szCs w:val="18"/>
              </w:rPr>
              <w:t>建立污染防治队伍。</w:t>
            </w:r>
          </w:p>
        </w:tc>
      </w:tr>
      <w:tr w14:paraId="1EDF9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1" w:hRule="atLeast"/>
          <w:jc w:val="center"/>
        </w:trPr>
        <w:tc>
          <w:tcPr>
            <w:tcW w:w="828" w:type="dxa"/>
            <w:noWrap w:val="0"/>
            <w:vAlign w:val="center"/>
          </w:tcPr>
          <w:p w14:paraId="5F3E87B3">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11</w:t>
            </w:r>
          </w:p>
        </w:tc>
        <w:tc>
          <w:tcPr>
            <w:tcW w:w="1822" w:type="dxa"/>
            <w:tcBorders>
              <w:right w:val="single" w:color="auto" w:sz="4" w:space="0"/>
            </w:tcBorders>
            <w:noWrap w:val="0"/>
            <w:vAlign w:val="center"/>
          </w:tcPr>
          <w:p w14:paraId="5C2B5005">
            <w:pPr>
              <w:spacing w:line="400" w:lineRule="exact"/>
              <w:jc w:val="center"/>
              <w:rPr>
                <w:rFonts w:hint="eastAsia" w:ascii="宋体" w:hAnsi="宋体" w:eastAsia="宋体" w:cs="宋体"/>
                <w:b w:val="0"/>
                <w:bCs w:val="0"/>
                <w:sz w:val="18"/>
                <w:szCs w:val="18"/>
              </w:rPr>
            </w:pPr>
            <w:r>
              <w:rPr>
                <w:rFonts w:hint="eastAsia" w:ascii="宋体" w:hAnsi="宋体" w:eastAsia="宋体" w:cs="宋体"/>
                <w:b w:val="0"/>
                <w:bCs w:val="0"/>
                <w:sz w:val="18"/>
                <w:szCs w:val="18"/>
              </w:rPr>
              <w:t>应急响应</w:t>
            </w:r>
          </w:p>
        </w:tc>
        <w:tc>
          <w:tcPr>
            <w:tcW w:w="6182" w:type="dxa"/>
            <w:noWrap w:val="0"/>
            <w:vAlign w:val="center"/>
          </w:tcPr>
          <w:p w14:paraId="3FFEAB71">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1、水污染事故应急预案。</w:t>
            </w:r>
          </w:p>
          <w:p w14:paraId="34BD2862">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2、配备围油栏、吸油毡等相应的污染防治设施、设备和器材，并保持良好的技术状态。</w:t>
            </w:r>
          </w:p>
          <w:p w14:paraId="62B7A3BC">
            <w:pPr>
              <w:spacing w:line="400" w:lineRule="exact"/>
              <w:rPr>
                <w:rFonts w:hint="eastAsia" w:ascii="宋体" w:hAnsi="宋体" w:eastAsia="宋体" w:cs="宋体"/>
                <w:b w:val="0"/>
                <w:bCs w:val="0"/>
                <w:sz w:val="18"/>
                <w:szCs w:val="18"/>
              </w:rPr>
            </w:pPr>
            <w:r>
              <w:rPr>
                <w:rFonts w:hint="eastAsia" w:ascii="宋体" w:hAnsi="宋体" w:eastAsia="宋体" w:cs="宋体"/>
                <w:b w:val="0"/>
                <w:bCs w:val="0"/>
                <w:sz w:val="18"/>
                <w:szCs w:val="18"/>
              </w:rPr>
              <w:t>3、制定防治船舶及其作业活动污染港口水域环境的应急预案，每年至少组织一次应急演练；台账完整。</w:t>
            </w:r>
          </w:p>
        </w:tc>
      </w:tr>
    </w:tbl>
    <w:p w14:paraId="4528D9E1">
      <w:pPr>
        <w:rPr>
          <w:rFonts w:ascii="Times New Roman" w:hAnsi="Times New Roman"/>
          <w:b/>
          <w:bCs/>
          <w:sz w:val="28"/>
          <w:szCs w:val="28"/>
        </w:rPr>
      </w:pPr>
    </w:p>
    <w:p w14:paraId="480DCEBB">
      <w:pPr>
        <w:rPr>
          <w:rFonts w:ascii="Times New Roman" w:hAnsi="Times New Roman"/>
          <w:b/>
          <w:bCs/>
        </w:rPr>
        <w:sectPr>
          <w:footerReference r:id="rId10" w:type="default"/>
          <w:pgSz w:w="11850" w:h="16783"/>
          <w:pgMar w:top="1534" w:right="1474" w:bottom="2041" w:left="1587" w:header="851" w:footer="992" w:gutter="0"/>
          <w:pgNumType w:fmt="decimal"/>
          <w:cols w:space="720" w:num="1"/>
          <w:docGrid w:type="lines" w:linePitch="312" w:charSpace="0"/>
        </w:sectPr>
      </w:pPr>
    </w:p>
    <w:p w14:paraId="72E9DC89">
      <w:pPr>
        <w:pStyle w:val="4"/>
        <w:bidi w:val="0"/>
        <w:ind w:firstLine="0"/>
        <w:rPr>
          <w:rFonts w:hint="eastAsia" w:ascii="黑体" w:hAnsi="黑体" w:eastAsia="黑体" w:cs="黑体"/>
          <w:b w:val="0"/>
          <w:bCs/>
          <w:lang w:val="en-US" w:eastAsia="zh-CN"/>
        </w:rPr>
      </w:pPr>
      <w:bookmarkStart w:id="194" w:name="_Toc522147322_WPSOffice_Level1"/>
      <w:r>
        <w:rPr>
          <w:rFonts w:hint="eastAsia" w:ascii="黑体" w:hAnsi="黑体" w:eastAsia="黑体" w:cs="黑体"/>
          <w:b w:val="0"/>
          <w:bCs/>
          <w:lang w:val="en-US" w:eastAsia="zh-CN"/>
        </w:rPr>
        <w:t>附录I</w:t>
      </w:r>
    </w:p>
    <w:p w14:paraId="5F32F892">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94"/>
    </w:p>
    <w:p w14:paraId="00AC3C10">
      <w:pPr>
        <w:pStyle w:val="4"/>
        <w:bidi w:val="0"/>
        <w:ind w:firstLine="0"/>
        <w:rPr>
          <w:rFonts w:hint="eastAsia" w:ascii="黑体" w:hAnsi="黑体" w:eastAsia="黑体" w:cs="黑体"/>
          <w:b w:val="0"/>
          <w:bCs/>
          <w:lang w:val="en-US" w:eastAsia="zh-CN"/>
        </w:rPr>
      </w:pPr>
      <w:bookmarkStart w:id="195" w:name="_Toc205326986_WPSOffice_Level1"/>
      <w:bookmarkStart w:id="196" w:name="_Toc320713325_WPSOffice_Level2"/>
      <w:r>
        <w:rPr>
          <w:rFonts w:hint="eastAsia" w:ascii="黑体" w:hAnsi="黑体" w:eastAsia="黑体" w:cs="黑体"/>
          <w:b w:val="0"/>
          <w:bCs/>
          <w:lang w:val="en-US" w:eastAsia="zh-CN"/>
        </w:rPr>
        <w:t>生产污水处理站工艺流程</w:t>
      </w:r>
      <w:bookmarkEnd w:id="195"/>
      <w:bookmarkEnd w:id="196"/>
    </w:p>
    <w:p w14:paraId="0F309917">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210" w:firstLineChars="100"/>
        <w:jc w:val="both"/>
        <w:textAlignment w:val="auto"/>
        <w:outlineLvl w:val="0"/>
        <w:rPr>
          <w:rFonts w:hint="eastAsia" w:asciiTheme="majorEastAsia" w:hAnsiTheme="majorEastAsia" w:eastAsiaTheme="majorEastAsia" w:cstheme="majorEastAsia"/>
          <w:bCs/>
          <w:kern w:val="2"/>
          <w:sz w:val="21"/>
          <w:szCs w:val="32"/>
          <w:lang w:val="en-US" w:eastAsia="zh-CN" w:bidi="ar-SA"/>
        </w:rPr>
      </w:pPr>
      <w:r>
        <w:rPr>
          <w:rFonts w:hint="eastAsia" w:asciiTheme="majorEastAsia" w:hAnsiTheme="majorEastAsia" w:eastAsiaTheme="majorEastAsia" w:cstheme="majorEastAsia"/>
          <w:bCs/>
          <w:kern w:val="2"/>
          <w:sz w:val="21"/>
          <w:szCs w:val="32"/>
          <w:lang w:val="en-US" w:eastAsia="zh-CN" w:bidi="ar-SA"/>
        </w:rPr>
        <w:t>生产污水处理站工艺流程见图I.1。</w:t>
      </w:r>
    </w:p>
    <w:p w14:paraId="617C9E24">
      <w:pPr>
        <w:spacing w:line="360" w:lineRule="auto"/>
        <w:outlineLvl w:val="0"/>
        <w:rPr>
          <w:rStyle w:val="38"/>
          <w:rFonts w:ascii="Times New Roman" w:hAnsi="Times New Roman"/>
          <w:b/>
          <w:bCs/>
          <w:smallCaps w:val="0"/>
          <w:color w:val="000000"/>
          <w:sz w:val="22"/>
          <w:u w:val="none"/>
        </w:rPr>
      </w:pPr>
      <w:r>
        <w:rPr>
          <w:rFonts w:hint="eastAsia" w:ascii="Times New Roman" w:hAnsi="Times New Roman" w:eastAsia="黑体"/>
          <w:b/>
          <w:bCs/>
          <w:color w:val="000000"/>
          <w:sz w:val="24"/>
        </w:rPr>
        <w:drawing>
          <wp:anchor distT="0" distB="0" distL="114300" distR="114300" simplePos="0" relativeHeight="251662336" behindDoc="1" locked="0" layoutInCell="1" allowOverlap="1">
            <wp:simplePos x="0" y="0"/>
            <wp:positionH relativeFrom="column">
              <wp:posOffset>1017270</wp:posOffset>
            </wp:positionH>
            <wp:positionV relativeFrom="paragraph">
              <wp:posOffset>5715</wp:posOffset>
            </wp:positionV>
            <wp:extent cx="6936740" cy="2567940"/>
            <wp:effectExtent l="9525" t="9525" r="26035" b="13335"/>
            <wp:wrapNone/>
            <wp:docPr id="1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2"/>
                    <pic:cNvPicPr>
                      <a:picLocks noChangeAspect="1"/>
                    </pic:cNvPicPr>
                  </pic:nvPicPr>
                  <pic:blipFill>
                    <a:blip r:embed="rId18"/>
                    <a:stretch>
                      <a:fillRect/>
                    </a:stretch>
                  </pic:blipFill>
                  <pic:spPr>
                    <a:xfrm>
                      <a:off x="0" y="0"/>
                      <a:ext cx="6936740" cy="2567940"/>
                    </a:xfrm>
                    <a:prstGeom prst="rect">
                      <a:avLst/>
                    </a:prstGeom>
                    <a:noFill/>
                    <a:ln w="9525" cap="flat" cmpd="sng">
                      <a:solidFill>
                        <a:srgbClr val="000000"/>
                      </a:solidFill>
                      <a:prstDash val="solid"/>
                      <a:miter/>
                      <a:headEnd type="none" w="med" len="med"/>
                      <a:tailEnd type="none" w="med" len="med"/>
                    </a:ln>
                  </pic:spPr>
                </pic:pic>
              </a:graphicData>
            </a:graphic>
          </wp:anchor>
        </w:drawing>
      </w:r>
    </w:p>
    <w:p w14:paraId="6962E0B3">
      <w:pPr>
        <w:spacing w:line="360" w:lineRule="auto"/>
        <w:outlineLvl w:val="0"/>
        <w:rPr>
          <w:rStyle w:val="38"/>
          <w:rFonts w:ascii="Times New Roman" w:hAnsi="Times New Roman"/>
          <w:b/>
          <w:bCs/>
          <w:smallCaps w:val="0"/>
          <w:color w:val="000000"/>
          <w:sz w:val="22"/>
          <w:u w:val="none"/>
        </w:rPr>
      </w:pPr>
    </w:p>
    <w:p w14:paraId="6503C7E2">
      <w:pPr>
        <w:pStyle w:val="41"/>
        <w:spacing w:line="240" w:lineRule="auto"/>
        <w:ind w:firstLine="442" w:firstLineChars="200"/>
        <w:jc w:val="both"/>
        <w:rPr>
          <w:rStyle w:val="38"/>
          <w:rFonts w:eastAsia="宋体"/>
          <w:b/>
          <w:bCs/>
          <w:smallCaps w:val="0"/>
          <w:color w:val="000000"/>
          <w:sz w:val="22"/>
          <w:u w:val="none"/>
        </w:rPr>
      </w:pPr>
    </w:p>
    <w:p w14:paraId="4FE92B53">
      <w:pPr>
        <w:pStyle w:val="41"/>
        <w:spacing w:line="240" w:lineRule="auto"/>
        <w:ind w:firstLine="442" w:firstLineChars="200"/>
        <w:jc w:val="both"/>
        <w:rPr>
          <w:rStyle w:val="38"/>
          <w:rFonts w:eastAsia="宋体"/>
          <w:b/>
          <w:bCs/>
          <w:smallCaps w:val="0"/>
          <w:color w:val="000000"/>
          <w:sz w:val="22"/>
          <w:u w:val="none"/>
        </w:rPr>
      </w:pPr>
    </w:p>
    <w:p w14:paraId="262607AC">
      <w:pPr>
        <w:pStyle w:val="41"/>
        <w:spacing w:line="240" w:lineRule="auto"/>
        <w:ind w:firstLine="442" w:firstLineChars="200"/>
        <w:jc w:val="both"/>
        <w:rPr>
          <w:rStyle w:val="38"/>
          <w:rFonts w:eastAsia="宋体"/>
          <w:b/>
          <w:bCs/>
          <w:smallCaps w:val="0"/>
          <w:color w:val="000000"/>
          <w:sz w:val="22"/>
          <w:u w:val="none"/>
        </w:rPr>
      </w:pPr>
    </w:p>
    <w:p w14:paraId="348DF00D">
      <w:pPr>
        <w:pStyle w:val="41"/>
        <w:spacing w:line="240" w:lineRule="auto"/>
        <w:ind w:firstLine="442" w:firstLineChars="200"/>
        <w:jc w:val="both"/>
        <w:rPr>
          <w:rStyle w:val="38"/>
          <w:rFonts w:eastAsia="宋体"/>
          <w:b/>
          <w:bCs/>
          <w:smallCaps w:val="0"/>
          <w:color w:val="000000"/>
          <w:sz w:val="22"/>
          <w:u w:val="none"/>
        </w:rPr>
      </w:pPr>
    </w:p>
    <w:p w14:paraId="4CBE0216">
      <w:pPr>
        <w:pStyle w:val="41"/>
        <w:spacing w:line="240" w:lineRule="auto"/>
        <w:ind w:firstLine="442" w:firstLineChars="200"/>
        <w:jc w:val="both"/>
        <w:rPr>
          <w:rStyle w:val="38"/>
          <w:rFonts w:eastAsia="宋体"/>
          <w:b/>
          <w:bCs/>
          <w:smallCaps w:val="0"/>
          <w:color w:val="000000"/>
          <w:sz w:val="22"/>
          <w:u w:val="none"/>
        </w:rPr>
      </w:pPr>
    </w:p>
    <w:p w14:paraId="4CE8C16F">
      <w:pPr>
        <w:pStyle w:val="41"/>
        <w:spacing w:line="240" w:lineRule="auto"/>
        <w:ind w:firstLine="442" w:firstLineChars="200"/>
        <w:jc w:val="both"/>
        <w:rPr>
          <w:rStyle w:val="38"/>
          <w:rFonts w:eastAsia="宋体"/>
          <w:b/>
          <w:bCs/>
          <w:smallCaps w:val="0"/>
          <w:color w:val="000000"/>
          <w:sz w:val="22"/>
          <w:u w:val="none"/>
        </w:rPr>
      </w:pPr>
    </w:p>
    <w:p w14:paraId="4C4B7CE5">
      <w:pPr>
        <w:pStyle w:val="41"/>
        <w:spacing w:line="240" w:lineRule="auto"/>
        <w:ind w:firstLine="442" w:firstLineChars="200"/>
        <w:jc w:val="both"/>
        <w:rPr>
          <w:rStyle w:val="38"/>
          <w:rFonts w:eastAsia="宋体"/>
          <w:b/>
          <w:bCs/>
          <w:smallCaps w:val="0"/>
          <w:color w:val="000000"/>
          <w:sz w:val="22"/>
          <w:u w:val="none"/>
        </w:rPr>
      </w:pPr>
    </w:p>
    <w:p w14:paraId="5147C7C7">
      <w:pPr>
        <w:pStyle w:val="41"/>
        <w:spacing w:line="240" w:lineRule="auto"/>
        <w:ind w:firstLine="442" w:firstLineChars="200"/>
        <w:jc w:val="both"/>
        <w:rPr>
          <w:rStyle w:val="38"/>
          <w:rFonts w:eastAsia="宋体"/>
          <w:b/>
          <w:bCs/>
          <w:smallCaps w:val="0"/>
          <w:color w:val="000000"/>
          <w:sz w:val="22"/>
          <w:u w:val="none"/>
        </w:rPr>
      </w:pPr>
    </w:p>
    <w:p w14:paraId="582D4EF7">
      <w:pPr>
        <w:pStyle w:val="41"/>
        <w:spacing w:line="240" w:lineRule="auto"/>
        <w:ind w:firstLine="442" w:firstLineChars="200"/>
        <w:jc w:val="both"/>
        <w:rPr>
          <w:rStyle w:val="38"/>
          <w:rFonts w:eastAsia="宋体"/>
          <w:b/>
          <w:bCs/>
          <w:smallCaps w:val="0"/>
          <w:color w:val="000000"/>
          <w:sz w:val="22"/>
          <w:u w:val="none"/>
        </w:rPr>
      </w:pPr>
    </w:p>
    <w:p w14:paraId="30639E5F">
      <w:pPr>
        <w:pStyle w:val="41"/>
        <w:spacing w:line="240" w:lineRule="auto"/>
        <w:ind w:firstLine="442" w:firstLineChars="200"/>
        <w:jc w:val="both"/>
        <w:rPr>
          <w:rStyle w:val="38"/>
          <w:rFonts w:eastAsia="宋体"/>
          <w:b/>
          <w:bCs/>
          <w:smallCaps w:val="0"/>
          <w:color w:val="000000"/>
          <w:sz w:val="22"/>
          <w:u w:val="none"/>
        </w:rPr>
      </w:pPr>
    </w:p>
    <w:p w14:paraId="7CDA8EF7">
      <w:pPr>
        <w:pStyle w:val="41"/>
        <w:spacing w:line="240" w:lineRule="auto"/>
        <w:ind w:firstLine="420" w:firstLineChars="200"/>
        <w:jc w:val="center"/>
        <w:rPr>
          <w:rStyle w:val="38"/>
          <w:rFonts w:hint="eastAsia" w:ascii="黑体" w:hAnsi="黑体" w:eastAsia="黑体" w:cs="黑体"/>
          <w:b/>
          <w:bCs/>
          <w:smallCaps w:val="0"/>
          <w:color w:val="000000"/>
          <w:sz w:val="21"/>
          <w:szCs w:val="21"/>
          <w:u w:val="none"/>
        </w:rPr>
      </w:pPr>
      <w:r>
        <w:rPr>
          <w:rFonts w:hint="eastAsia" w:ascii="黑体" w:hAnsi="黑体" w:eastAsia="黑体" w:cs="黑体"/>
          <w:bCs/>
          <w:kern w:val="2"/>
          <w:sz w:val="21"/>
          <w:szCs w:val="21"/>
          <w:lang w:val="en-US" w:eastAsia="zh-CN" w:bidi="ar-SA"/>
        </w:rPr>
        <w:t>图I.1生产污水处理站工艺流程</w:t>
      </w:r>
    </w:p>
    <w:p w14:paraId="095B0CB3">
      <w:pPr>
        <w:pStyle w:val="41"/>
        <w:spacing w:line="240" w:lineRule="auto"/>
        <w:ind w:firstLine="0"/>
        <w:jc w:val="both"/>
        <w:rPr>
          <w:rStyle w:val="38"/>
          <w:rFonts w:eastAsia="宋体"/>
          <w:b/>
          <w:bCs/>
          <w:smallCaps w:val="0"/>
          <w:color w:val="000000"/>
          <w:sz w:val="22"/>
          <w:u w:val="none"/>
        </w:rPr>
      </w:pPr>
    </w:p>
    <w:p w14:paraId="3C0CBABB">
      <w:pPr>
        <w:pStyle w:val="41"/>
        <w:spacing w:line="240" w:lineRule="auto"/>
        <w:ind w:firstLine="360" w:firstLineChars="200"/>
        <w:jc w:val="both"/>
        <w:rPr>
          <w:rStyle w:val="38"/>
          <w:rFonts w:hint="default" w:ascii="宋体" w:hAnsi="宋体" w:eastAsia="宋体" w:cs="宋体"/>
          <w:b w:val="0"/>
          <w:bCs w:val="0"/>
          <w:smallCaps w:val="0"/>
          <w:color w:val="000000"/>
          <w:sz w:val="18"/>
          <w:szCs w:val="18"/>
          <w:u w:val="none"/>
          <w:lang w:val="en-US" w:eastAsia="zh-CN"/>
        </w:rPr>
      </w:pPr>
      <w:r>
        <w:rPr>
          <w:rStyle w:val="38"/>
          <w:rFonts w:hint="eastAsia" w:ascii="宋体" w:hAnsi="宋体" w:eastAsia="宋体" w:cs="宋体"/>
          <w:b w:val="0"/>
          <w:bCs w:val="0"/>
          <w:smallCaps w:val="0"/>
          <w:color w:val="000000"/>
          <w:sz w:val="18"/>
          <w:szCs w:val="18"/>
          <w:u w:val="none"/>
          <w:lang w:val="en-US" w:eastAsia="zh-CN"/>
        </w:rPr>
        <w:t>注：</w:t>
      </w:r>
    </w:p>
    <w:p w14:paraId="2B26BF00">
      <w:pPr>
        <w:pStyle w:val="41"/>
        <w:spacing w:line="240" w:lineRule="auto"/>
        <w:ind w:firstLine="360" w:firstLineChars="200"/>
        <w:jc w:val="both"/>
        <w:rPr>
          <w:rStyle w:val="38"/>
          <w:rFonts w:hint="eastAsia" w:ascii="宋体" w:hAnsi="宋体" w:eastAsia="宋体" w:cs="宋体"/>
          <w:b w:val="0"/>
          <w:bCs w:val="0"/>
          <w:smallCaps w:val="0"/>
          <w:color w:val="000000"/>
          <w:sz w:val="18"/>
          <w:szCs w:val="18"/>
          <w:u w:val="none"/>
        </w:rPr>
      </w:pPr>
      <w:r>
        <w:rPr>
          <w:rStyle w:val="38"/>
          <w:rFonts w:hint="eastAsia" w:ascii="宋体" w:hAnsi="宋体" w:eastAsia="宋体" w:cs="宋体"/>
          <w:b w:val="0"/>
          <w:bCs w:val="0"/>
          <w:smallCaps w:val="0"/>
          <w:color w:val="000000"/>
          <w:sz w:val="18"/>
          <w:szCs w:val="18"/>
          <w:u w:val="none"/>
        </w:rPr>
        <w:t>1</w:t>
      </w:r>
      <w:r>
        <w:rPr>
          <w:rStyle w:val="38"/>
          <w:rFonts w:hint="eastAsia" w:ascii="宋体" w:hAnsi="宋体" w:eastAsia="宋体" w:cs="宋体"/>
          <w:b w:val="0"/>
          <w:bCs w:val="0"/>
          <w:smallCaps w:val="0"/>
          <w:color w:val="000000"/>
          <w:sz w:val="18"/>
          <w:szCs w:val="18"/>
          <w:u w:val="none"/>
          <w:lang w:eastAsia="zh-CN"/>
        </w:rPr>
        <w:t>.</w:t>
      </w:r>
      <w:r>
        <w:rPr>
          <w:rStyle w:val="38"/>
          <w:rFonts w:hint="eastAsia" w:ascii="宋体" w:hAnsi="宋体" w:eastAsia="宋体" w:cs="宋体"/>
          <w:b w:val="0"/>
          <w:bCs w:val="0"/>
          <w:smallCaps w:val="0"/>
          <w:color w:val="000000"/>
          <w:sz w:val="18"/>
          <w:szCs w:val="18"/>
          <w:u w:val="none"/>
        </w:rPr>
        <w:t>生产污水处理站包括沉淀池、加药装置、沉淀装置、中水池等。</w:t>
      </w:r>
    </w:p>
    <w:p w14:paraId="73B51996">
      <w:pPr>
        <w:pStyle w:val="41"/>
        <w:spacing w:line="240" w:lineRule="auto"/>
        <w:ind w:firstLine="360" w:firstLineChars="200"/>
        <w:jc w:val="both"/>
        <w:rPr>
          <w:rStyle w:val="38"/>
          <w:rFonts w:hint="eastAsia" w:ascii="宋体" w:hAnsi="宋体" w:eastAsia="宋体" w:cs="宋体"/>
          <w:b w:val="0"/>
          <w:bCs w:val="0"/>
          <w:smallCaps w:val="0"/>
          <w:color w:val="000000"/>
          <w:sz w:val="18"/>
          <w:szCs w:val="18"/>
          <w:u w:val="none"/>
        </w:rPr>
      </w:pPr>
      <w:r>
        <w:rPr>
          <w:rStyle w:val="38"/>
          <w:rFonts w:hint="eastAsia" w:ascii="宋体" w:hAnsi="宋体" w:eastAsia="宋体" w:cs="宋体"/>
          <w:b w:val="0"/>
          <w:bCs w:val="0"/>
          <w:smallCaps w:val="0"/>
          <w:color w:val="000000"/>
          <w:sz w:val="18"/>
          <w:szCs w:val="18"/>
          <w:u w:val="none"/>
        </w:rPr>
        <w:t>2</w:t>
      </w:r>
      <w:r>
        <w:rPr>
          <w:rStyle w:val="38"/>
          <w:rFonts w:hint="eastAsia" w:ascii="宋体" w:hAnsi="宋体" w:eastAsia="宋体" w:cs="宋体"/>
          <w:b w:val="0"/>
          <w:bCs w:val="0"/>
          <w:smallCaps w:val="0"/>
          <w:color w:val="000000"/>
          <w:sz w:val="18"/>
          <w:szCs w:val="18"/>
          <w:u w:val="none"/>
          <w:lang w:eastAsia="zh-CN"/>
        </w:rPr>
        <w:t>.</w:t>
      </w:r>
      <w:r>
        <w:rPr>
          <w:rStyle w:val="38"/>
          <w:rFonts w:hint="eastAsia" w:ascii="宋体" w:hAnsi="宋体" w:eastAsia="宋体" w:cs="宋体"/>
          <w:b w:val="0"/>
          <w:bCs w:val="0"/>
          <w:smallCaps w:val="0"/>
          <w:color w:val="000000"/>
          <w:sz w:val="18"/>
          <w:szCs w:val="18"/>
          <w:u w:val="none"/>
        </w:rPr>
        <w:t>生产污水通过沉淀池初步沉淀后，投加混凝剂，再经灰水分离器等沉淀装置处理后进入中水池，回用于港区喷淋、绿化等。</w:t>
      </w:r>
    </w:p>
    <w:p w14:paraId="04A0DDCB">
      <w:pPr>
        <w:pStyle w:val="41"/>
        <w:spacing w:line="240" w:lineRule="auto"/>
        <w:ind w:firstLine="360" w:firstLineChars="200"/>
        <w:jc w:val="both"/>
        <w:rPr>
          <w:rFonts w:hint="eastAsia" w:ascii="宋体" w:hAnsi="宋体" w:eastAsia="宋体" w:cs="宋体"/>
          <w:b w:val="0"/>
          <w:bCs w:val="0"/>
          <w:color w:val="000000"/>
          <w:kern w:val="0"/>
          <w:sz w:val="18"/>
          <w:szCs w:val="18"/>
        </w:rPr>
        <w:sectPr>
          <w:pgSz w:w="16783" w:h="11850" w:orient="landscape"/>
          <w:pgMar w:top="2154" w:right="1474" w:bottom="2041" w:left="1587" w:header="851" w:footer="737" w:gutter="0"/>
          <w:pgNumType w:fmt="decimal"/>
          <w:cols w:space="720" w:num="1"/>
          <w:docGrid w:type="lines" w:linePitch="312" w:charSpace="0"/>
        </w:sectPr>
      </w:pPr>
      <w:r>
        <w:rPr>
          <w:rStyle w:val="38"/>
          <w:rFonts w:hint="eastAsia" w:ascii="宋体" w:hAnsi="宋体" w:eastAsia="宋体" w:cs="宋体"/>
          <w:b w:val="0"/>
          <w:bCs w:val="0"/>
          <w:smallCaps w:val="0"/>
          <w:color w:val="000000"/>
          <w:sz w:val="18"/>
          <w:szCs w:val="18"/>
          <w:u w:val="none"/>
        </w:rPr>
        <w:t>3</w:t>
      </w:r>
      <w:r>
        <w:rPr>
          <w:rStyle w:val="38"/>
          <w:rFonts w:hint="eastAsia" w:ascii="宋体" w:hAnsi="宋体" w:eastAsia="宋体" w:cs="宋体"/>
          <w:b w:val="0"/>
          <w:bCs w:val="0"/>
          <w:smallCaps w:val="0"/>
          <w:color w:val="000000"/>
          <w:sz w:val="18"/>
          <w:szCs w:val="18"/>
          <w:u w:val="none"/>
          <w:lang w:eastAsia="zh-CN"/>
        </w:rPr>
        <w:t>.</w:t>
      </w:r>
      <w:r>
        <w:rPr>
          <w:rStyle w:val="38"/>
          <w:rFonts w:hint="eastAsia" w:ascii="宋体" w:hAnsi="宋体" w:eastAsia="宋体" w:cs="宋体"/>
          <w:b w:val="0"/>
          <w:bCs w:val="0"/>
          <w:smallCaps w:val="0"/>
          <w:color w:val="000000"/>
          <w:sz w:val="18"/>
          <w:szCs w:val="18"/>
          <w:u w:val="none"/>
        </w:rPr>
        <w:t>根据港口的实际产水量、贮存时间等因素合理确定沉淀池和中水池的大小及数量。</w:t>
      </w:r>
    </w:p>
    <w:p w14:paraId="412E0C36">
      <w:pPr>
        <w:pStyle w:val="4"/>
        <w:bidi w:val="0"/>
        <w:ind w:firstLine="0"/>
        <w:rPr>
          <w:rFonts w:hint="eastAsia" w:ascii="黑体" w:hAnsi="黑体" w:eastAsia="黑体" w:cs="黑体"/>
          <w:b w:val="0"/>
          <w:bCs/>
          <w:lang w:val="en-US" w:eastAsia="zh-CN"/>
        </w:rPr>
      </w:pPr>
      <w:bookmarkStart w:id="197" w:name="_Toc1073512364_WPSOffice_Level1"/>
      <w:r>
        <w:rPr>
          <w:rFonts w:hint="eastAsia" w:ascii="黑体" w:hAnsi="黑体" w:eastAsia="黑体" w:cs="黑体"/>
          <w:b w:val="0"/>
          <w:bCs/>
          <w:lang w:val="en-US" w:eastAsia="zh-CN"/>
        </w:rPr>
        <w:t>附录J</w:t>
      </w:r>
    </w:p>
    <w:p w14:paraId="3468A530">
      <w:pPr>
        <w:pStyle w:val="4"/>
        <w:bidi w:val="0"/>
        <w:ind w:firstLine="0"/>
        <w:rPr>
          <w:rFonts w:hint="eastAsia" w:ascii="黑体" w:hAnsi="黑体" w:eastAsia="黑体" w:cs="黑体"/>
          <w:b w:val="0"/>
          <w:bCs/>
          <w:lang w:val="en-US" w:eastAsia="zh-CN"/>
        </w:rPr>
      </w:pPr>
      <w:r>
        <w:rPr>
          <w:rFonts w:hint="eastAsia" w:ascii="黑体" w:hAnsi="黑体" w:eastAsia="黑体" w:cs="黑体"/>
          <w:b w:val="0"/>
          <w:bCs/>
          <w:lang w:val="en-US" w:eastAsia="zh-CN"/>
        </w:rPr>
        <w:t>（资料性）</w:t>
      </w:r>
      <w:bookmarkEnd w:id="197"/>
    </w:p>
    <w:p w14:paraId="2413A958">
      <w:pPr>
        <w:pStyle w:val="4"/>
        <w:bidi w:val="0"/>
        <w:ind w:firstLine="0"/>
        <w:rPr>
          <w:rFonts w:hint="eastAsia" w:ascii="黑体" w:hAnsi="黑体" w:eastAsia="黑体" w:cs="黑体"/>
          <w:b w:val="0"/>
          <w:bCs/>
          <w:lang w:val="en-US" w:eastAsia="zh-CN"/>
        </w:rPr>
      </w:pPr>
      <w:bookmarkStart w:id="198" w:name="_Toc322677191_WPSOffice_Level1"/>
      <w:bookmarkStart w:id="199" w:name="_Toc214414673_WPSOffice_Level2"/>
      <w:r>
        <w:rPr>
          <w:rFonts w:hint="eastAsia" w:ascii="黑体" w:hAnsi="黑体" w:eastAsia="黑体" w:cs="黑体"/>
          <w:b w:val="0"/>
          <w:bCs/>
          <w:lang w:val="en-US" w:eastAsia="zh-CN"/>
        </w:rPr>
        <w:t>生活污水处理站工艺流程</w:t>
      </w:r>
      <w:bookmarkEnd w:id="198"/>
      <w:bookmarkEnd w:id="199"/>
    </w:p>
    <w:p w14:paraId="3E7A46F6">
      <w:pPr>
        <w:pStyle w:val="4"/>
        <w:bidi w:val="0"/>
        <w:jc w:val="both"/>
        <w:rPr>
          <w:rFonts w:hint="eastAsia" w:asciiTheme="majorEastAsia" w:hAnsiTheme="majorEastAsia" w:eastAsiaTheme="majorEastAsia" w:cstheme="majorEastAsia"/>
          <w:lang w:val="en-US" w:eastAsia="zh-CN"/>
        </w:rPr>
      </w:pPr>
      <w:r>
        <w:rPr>
          <w:rFonts w:hint="eastAsia" w:asciiTheme="majorEastAsia" w:hAnsiTheme="majorEastAsia" w:eastAsiaTheme="majorEastAsia" w:cstheme="majorEastAsia"/>
          <w:lang w:eastAsia="zh-CN"/>
        </w:rPr>
        <w:t>生活污水处理站工艺流程见图J</w:t>
      </w:r>
      <w:r>
        <w:rPr>
          <w:rFonts w:hint="eastAsia" w:asciiTheme="majorEastAsia" w:hAnsiTheme="majorEastAsia" w:eastAsiaTheme="majorEastAsia" w:cstheme="majorEastAsia"/>
          <w:lang w:val="en-US" w:eastAsia="zh-CN"/>
        </w:rPr>
        <w:t>.1。</w:t>
      </w:r>
    </w:p>
    <w:p w14:paraId="444B1D0A">
      <w:pPr>
        <w:rPr>
          <w:rFonts w:hint="eastAsia"/>
          <w:lang w:eastAsia="zh-CN"/>
        </w:rPr>
      </w:pPr>
    </w:p>
    <w:p w14:paraId="5F0BF21C">
      <w:pPr>
        <w:spacing w:line="360" w:lineRule="auto"/>
        <w:outlineLvl w:val="0"/>
        <w:rPr>
          <w:rFonts w:hint="eastAsia" w:ascii="Times New Roman" w:hAnsi="Times New Roman" w:eastAsia="黑体"/>
          <w:b/>
          <w:bCs/>
          <w:color w:val="000000"/>
          <w:sz w:val="24"/>
        </w:rPr>
      </w:pPr>
      <w:r>
        <w:rPr>
          <w:rFonts w:hint="eastAsia" w:ascii="Times New Roman" w:hAnsi="Times New Roman" w:eastAsia="方正黑体简体" w:cs="方正黑体简体"/>
          <w:b/>
          <w:bCs/>
          <w:color w:val="000000"/>
          <w:sz w:val="32"/>
          <w:szCs w:val="32"/>
        </w:rPr>
        <w:drawing>
          <wp:anchor distT="0" distB="0" distL="114300" distR="114300" simplePos="0" relativeHeight="251663360" behindDoc="1" locked="0" layoutInCell="1" allowOverlap="1">
            <wp:simplePos x="0" y="0"/>
            <wp:positionH relativeFrom="column">
              <wp:posOffset>200025</wp:posOffset>
            </wp:positionH>
            <wp:positionV relativeFrom="paragraph">
              <wp:posOffset>61595</wp:posOffset>
            </wp:positionV>
            <wp:extent cx="8235950" cy="2951480"/>
            <wp:effectExtent l="9525" t="9525" r="22225" b="10795"/>
            <wp:wrapNone/>
            <wp:docPr id="41" name="图片 2" descr="生活污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 descr="生活污水2.jpg"/>
                    <pic:cNvPicPr>
                      <a:picLocks noChangeAspect="1" noChangeArrowheads="1"/>
                    </pic:cNvPicPr>
                  </pic:nvPicPr>
                  <pic:blipFill>
                    <a:blip r:embed="rId19" cstate="print"/>
                    <a:srcRect b="15242"/>
                    <a:stretch>
                      <a:fillRect/>
                    </a:stretch>
                  </pic:blipFill>
                  <pic:spPr>
                    <a:xfrm>
                      <a:off x="0" y="0"/>
                      <a:ext cx="8131810" cy="2951480"/>
                    </a:xfrm>
                    <a:prstGeom prst="rect">
                      <a:avLst/>
                    </a:prstGeom>
                    <a:gradFill rotWithShape="0">
                      <a:gsLst>
                        <a:gs pos="0">
                          <a:srgbClr val="5E9EFF"/>
                        </a:gs>
                        <a:gs pos="39999">
                          <a:srgbClr val="85C2FF"/>
                        </a:gs>
                        <a:gs pos="70000">
                          <a:srgbClr val="C4D6EB"/>
                        </a:gs>
                        <a:gs pos="100000">
                          <a:srgbClr val="FFEBFA"/>
                        </a:gs>
                      </a:gsLst>
                      <a:lin ang="2700000" scaled="1"/>
                    </a:gradFill>
                    <a:ln w="9525">
                      <a:solidFill>
                        <a:srgbClr val="000000"/>
                      </a:solidFill>
                      <a:miter lim="800000"/>
                      <a:headEnd/>
                      <a:tailEnd/>
                    </a:ln>
                    <a:effectLst/>
                  </pic:spPr>
                </pic:pic>
              </a:graphicData>
            </a:graphic>
          </wp:anchor>
        </w:drawing>
      </w:r>
    </w:p>
    <w:p w14:paraId="7BE6D4C0">
      <w:pPr>
        <w:spacing w:line="360" w:lineRule="auto"/>
        <w:outlineLvl w:val="0"/>
        <w:rPr>
          <w:rFonts w:hint="eastAsia" w:ascii="Times New Roman" w:hAnsi="Times New Roman" w:eastAsia="黑体"/>
          <w:b/>
          <w:bCs/>
          <w:color w:val="000000"/>
          <w:sz w:val="24"/>
        </w:rPr>
      </w:pPr>
    </w:p>
    <w:p w14:paraId="2B48F16D">
      <w:pPr>
        <w:spacing w:line="360" w:lineRule="auto"/>
        <w:outlineLvl w:val="0"/>
        <w:rPr>
          <w:rFonts w:hint="eastAsia" w:ascii="Times New Roman" w:hAnsi="Times New Roman" w:eastAsia="黑体"/>
          <w:b/>
          <w:bCs/>
          <w:color w:val="000000"/>
          <w:sz w:val="24"/>
        </w:rPr>
      </w:pPr>
    </w:p>
    <w:p w14:paraId="226A0071">
      <w:pPr>
        <w:spacing w:line="360" w:lineRule="auto"/>
        <w:outlineLvl w:val="0"/>
        <w:rPr>
          <w:rFonts w:hint="eastAsia" w:ascii="Times New Roman" w:hAnsi="Times New Roman" w:eastAsia="黑体"/>
          <w:b/>
          <w:bCs/>
          <w:color w:val="000000"/>
          <w:sz w:val="24"/>
        </w:rPr>
      </w:pPr>
    </w:p>
    <w:p w14:paraId="2A76F23E">
      <w:pPr>
        <w:spacing w:line="360" w:lineRule="auto"/>
        <w:outlineLvl w:val="0"/>
        <w:rPr>
          <w:rFonts w:hint="eastAsia" w:ascii="Times New Roman" w:hAnsi="Times New Roman" w:eastAsia="黑体"/>
          <w:b/>
          <w:bCs/>
          <w:color w:val="000000"/>
          <w:sz w:val="24"/>
        </w:rPr>
      </w:pPr>
    </w:p>
    <w:bookmarkEnd w:id="108"/>
    <w:bookmarkEnd w:id="109"/>
    <w:bookmarkEnd w:id="110"/>
    <w:bookmarkEnd w:id="111"/>
    <w:bookmarkEnd w:id="112"/>
    <w:bookmarkEnd w:id="113"/>
    <w:bookmarkEnd w:id="114"/>
    <w:bookmarkEnd w:id="115"/>
    <w:bookmarkEnd w:id="116"/>
    <w:bookmarkEnd w:id="117"/>
    <w:bookmarkEnd w:id="118"/>
    <w:bookmarkEnd w:id="119"/>
    <w:p w14:paraId="2DEB2F75">
      <w:pPr>
        <w:pStyle w:val="13"/>
        <w:ind w:firstLine="0" w:firstLineChars="0"/>
      </w:pPr>
    </w:p>
    <w:p w14:paraId="4CACD940"/>
    <w:p w14:paraId="07CD6AF6">
      <w:pPr>
        <w:pStyle w:val="18"/>
      </w:pPr>
    </w:p>
    <w:p w14:paraId="74AB78B9">
      <w:pPr>
        <w:pStyle w:val="18"/>
      </w:pPr>
    </w:p>
    <w:p w14:paraId="7AF800E0">
      <w:pPr>
        <w:pStyle w:val="18"/>
      </w:pPr>
    </w:p>
    <w:p w14:paraId="03B1D5A8">
      <w:pPr>
        <w:pStyle w:val="18"/>
      </w:pPr>
    </w:p>
    <w:p w14:paraId="140D04D1">
      <w:pPr>
        <w:pStyle w:val="18"/>
      </w:pPr>
    </w:p>
    <w:p w14:paraId="4FC698B5">
      <w:pPr>
        <w:pStyle w:val="18"/>
      </w:pPr>
    </w:p>
    <w:p w14:paraId="1AEF3BC5">
      <w:pPr>
        <w:pStyle w:val="4"/>
        <w:bidi w:val="0"/>
        <w:jc w:val="center"/>
        <w:rPr>
          <w:rFonts w:hint="eastAsia" w:ascii="方正黑体_GBK" w:hAnsi="方正黑体_GBK" w:eastAsia="方正黑体_GBK" w:cs="方正黑体_GBK"/>
          <w:lang w:val="en-US" w:eastAsia="zh-CN"/>
        </w:rPr>
      </w:pPr>
      <w:r>
        <w:rPr>
          <w:rFonts w:hint="eastAsia" w:ascii="方正黑体_GBK" w:hAnsi="方正黑体_GBK" w:eastAsia="方正黑体_GBK" w:cs="方正黑体_GBK"/>
          <w:lang w:eastAsia="zh-CN"/>
        </w:rPr>
        <w:t>图</w:t>
      </w:r>
      <w:r>
        <w:rPr>
          <w:rFonts w:hint="eastAsia" w:ascii="方正黑体_GBK" w:hAnsi="方正黑体_GBK" w:eastAsia="方正黑体_GBK" w:cs="方正黑体_GBK"/>
          <w:lang w:val="en-US" w:eastAsia="zh-CN"/>
        </w:rPr>
        <w:t>J.1</w:t>
      </w:r>
      <w:r>
        <w:rPr>
          <w:rFonts w:hint="eastAsia" w:ascii="方正黑体_GBK" w:hAnsi="方正黑体_GBK" w:eastAsia="方正黑体_GBK" w:cs="方正黑体_GBK"/>
          <w:lang w:eastAsia="zh-CN"/>
        </w:rPr>
        <w:t>生活污水处理站工艺流程</w:t>
      </w:r>
    </w:p>
    <w:p w14:paraId="635D6261">
      <w:pPr>
        <w:pStyle w:val="18"/>
      </w:pPr>
    </w:p>
    <w:p w14:paraId="648BE9DF">
      <w:pPr>
        <w:pStyle w:val="34"/>
        <w:ind w:firstLine="0" w:firstLineChars="0"/>
        <w:rPr>
          <w:rFonts w:hint="eastAsia"/>
          <w:color w:val="auto"/>
        </w:rPr>
      </w:pPr>
    </w:p>
    <w:p w14:paraId="49DF81B4">
      <w:pPr>
        <w:pStyle w:val="43"/>
        <w:framePr w:w="2074"/>
        <w:rPr>
          <w:rFonts w:hint="eastAsia"/>
          <w:color w:val="auto"/>
        </w:rPr>
      </w:pPr>
      <w:r>
        <w:rPr>
          <w:color w:val="auto"/>
        </w:rPr>
        <w:t>___________________</w:t>
      </w:r>
    </w:p>
    <w:p w14:paraId="3EAECF9A">
      <w:pPr>
        <w:pStyle w:val="18"/>
      </w:pPr>
    </w:p>
    <w:sectPr>
      <w:footerReference r:id="rId11" w:type="default"/>
      <w:pgSz w:w="16838" w:h="11906" w:orient="landscape"/>
      <w:pgMar w:top="2154" w:right="1440" w:bottom="2041" w:left="144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方正仿宋简体">
    <w:altName w:val="微软雅黑"/>
    <w:panose1 w:val="03000509000000000000"/>
    <w:charset w:val="86"/>
    <w:family w:val="auto"/>
    <w:pitch w:val="default"/>
    <w:sig w:usb0="00000000" w:usb1="00000000" w:usb2="00000000" w:usb3="00000000" w:csb0="00040000" w:csb1="00000000"/>
  </w:font>
  <w:font w:name="华文中宋">
    <w:altName w:val="宋体"/>
    <w:panose1 w:val="02010600040101010101"/>
    <w:charset w:val="00"/>
    <w:family w:val="auto"/>
    <w:pitch w:val="default"/>
    <w:sig w:usb0="00000000" w:usb1="00000000" w:usb2="00000000" w:usb3="00000000" w:csb0="0004009F" w:csb1="DFD70000"/>
  </w:font>
  <w:font w:name="方正黑体简体">
    <w:altName w:val="微软雅黑"/>
    <w:panose1 w:val="03000509000000000000"/>
    <w:charset w:val="86"/>
    <w:family w:val="auto"/>
    <w:pitch w:val="default"/>
    <w:sig w:usb0="00000000" w:usb1="00000000" w:usb2="00000000" w:usb3="00000000" w:csb0="00040000" w:csb1="00000000"/>
  </w:font>
  <w:font w:name="方正小标宋简体">
    <w:altName w:val="仿宋_GB2312"/>
    <w:panose1 w:val="02000000000000000000"/>
    <w:charset w:val="86"/>
    <w:family w:val="script"/>
    <w:pitch w:val="default"/>
    <w:sig w:usb0="00000000" w:usb1="00000000" w:usb2="00000012" w:usb3="00000000" w:csb0="00040001" w:csb1="00000000"/>
  </w:font>
  <w:font w:name="Nimbus Roman No9 L">
    <w:altName w:val="Segoe Print"/>
    <w:panose1 w:val="00000000000000000000"/>
    <w:charset w:val="00"/>
    <w:family w:val="auto"/>
    <w:pitch w:val="default"/>
    <w:sig w:usb0="00000000" w:usb1="00000000" w:usb2="00000000" w:usb3="00000000" w:csb0="00000000" w:csb1="00000000"/>
  </w:font>
  <w:font w:name="方正仿宋_GBK">
    <w:altName w:val="微软雅黑"/>
    <w:panose1 w:val="02000000000000000000"/>
    <w:charset w:val="86"/>
    <w:family w:val="auto"/>
    <w:pitch w:val="default"/>
    <w:sig w:usb0="00000000" w:usb1="00000000" w:usb2="00000000" w:usb3="00000000" w:csb0="00040000" w:csb1="00000000"/>
  </w:font>
  <w:font w:name="方正黑体_GBK">
    <w:altName w:val="微软雅黑"/>
    <w:panose1 w:val="02000000000000000000"/>
    <w:charset w:val="86"/>
    <w:family w:val="auto"/>
    <w:pitch w:val="default"/>
    <w:sig w:usb0="00000000" w:usb1="0000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D82C28">
    <w:pPr>
      <w:pStyle w:val="8"/>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5A524C">
    <w:pPr>
      <w:pStyle w:val="8"/>
      <w:spacing w:line="14" w:lineRule="auto"/>
      <w:rPr>
        <w:sz w:val="20"/>
      </w:rPr>
    </w:pPr>
    <w:r>
      <w:rPr>
        <w:sz w:val="20"/>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A110FD2">
                          <w:pPr>
                            <w:pStyle w:val="10"/>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59264;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hq+Tm1AAAAAgBAAAPAAAAAAAAAAEAIAAAACIAAABkcnMvZG93bnJl&#10;di54bWxQSwECFAAUAAAACACHTuJAxPRNfsgBAACZAwAADgAAAAAAAAABACAAAAAjAQAAZHJzL2Uy&#10;b0RvYy54bWxQSwUGAAAAAAYABgBZAQAAXQUAAAAA&#10;">
              <v:fill on="f" focussize="0,0"/>
              <v:stroke on="f"/>
              <v:imagedata o:title=""/>
              <o:lock v:ext="edit" aspectratio="f"/>
              <v:textbox inset="0mm,0mm,0mm,0mm" style="mso-fit-shape-to-text:t;">
                <w:txbxContent>
                  <w:p w14:paraId="5A110FD2">
                    <w:pPr>
                      <w:pStyle w:val="10"/>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6DBC39">
    <w:pPr>
      <w:pStyle w:val="8"/>
      <w:spacing w:line="14" w:lineRule="auto"/>
      <w:rPr>
        <w:sz w:val="20"/>
      </w:rPr>
    </w:pPr>
    <w:r>
      <w:rPr>
        <w:sz w:val="20"/>
      </w:rPr>
      <mc:AlternateContent>
        <mc:Choice Requires="wps">
          <w:drawing>
            <wp:anchor distT="0" distB="0" distL="114300" distR="114300" simplePos="0" relativeHeight="251665408"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02C1306">
                          <w:pPr>
                            <w:pStyle w:val="10"/>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5408;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hq+Tm1AAAAAgBAAAPAAAAAAAAAAEAIAAAACIAAABkcnMvZG93bnJl&#10;di54bWxQSwECFAAUAAAACACHTuJA5KL+z8gBAACZAwAADgAAAAAAAAABACAAAAAjAQAAZHJzL2Uy&#10;b0RvYy54bWxQSwUGAAAAAAYABgBZAQAAXQUAAAAA&#10;">
              <v:fill on="f" focussize="0,0"/>
              <v:stroke on="f"/>
              <v:imagedata o:title=""/>
              <o:lock v:ext="edit" aspectratio="f"/>
              <v:textbox inset="0mm,0mm,0mm,0mm" style="mso-fit-shape-to-text:t;">
                <w:txbxContent>
                  <w:p w14:paraId="502C1306">
                    <w:pPr>
                      <w:pStyle w:val="10"/>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CBC8B0">
    <w:pPr>
      <w:pStyle w:val="10"/>
    </w:pPr>
    <w:r>
      <w:rPr>
        <w:sz w:val="18"/>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A1CC75D">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1312;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hq+Tm1AAAAAgBAAAPAAAAAAAAAAEAIAAAACIAAABkcnMvZG93bnJl&#10;di54bWxQSwECFAAUAAAACACHTuJAv3sYQ8gBAACbAwAADgAAAAAAAAABACAAAAAjAQAAZHJzL2Uy&#10;b0RvYy54bWxQSwUGAAAAAAYABgBZAQAAXQUAAAAA&#10;">
              <v:fill on="f" focussize="0,0"/>
              <v:stroke on="f"/>
              <v:imagedata o:title=""/>
              <o:lock v:ext="edit" aspectratio="f"/>
              <v:textbox inset="0mm,0mm,0mm,0mm" style="mso-fit-shape-to-text:t;">
                <w:txbxContent>
                  <w:p w14:paraId="0A1CC75D">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690F27">
    <w:pPr>
      <w:pStyle w:val="10"/>
    </w:pPr>
    <w:r>
      <w:rPr>
        <w:sz w:val="18"/>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CEDD4A1">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2336;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Yavk5tQAAAAIAQAADwAAAAAAAAABACAAAAAiAAAAZHJzL2Rvd25y&#10;ZXYueG1sUEsBAhQAFAAAAAgAh07iQK664zvJAQAAmwMAAA4AAAAAAAAAAQAgAAAAIwEAAGRycy9l&#10;Mm9Eb2MueG1sUEsFBgAAAAAGAAYAWQEAAF4FAAAAAA==&#10;">
              <v:fill on="f" focussize="0,0"/>
              <v:stroke on="f"/>
              <v:imagedata o:title=""/>
              <o:lock v:ext="edit" aspectratio="f"/>
              <v:textbox inset="0mm,0mm,0mm,0mm" style="mso-fit-shape-to-text:t;">
                <w:txbxContent>
                  <w:p w14:paraId="5CEDD4A1">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922C1D">
    <w:pPr>
      <w:pStyle w:val="10"/>
    </w:pPr>
    <w:r>
      <w:rPr>
        <w:sz w:val="18"/>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35F4FD2">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3360;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Yavk5tQAAAAIAQAADwAAAAAAAAABACAAAAAiAAAAZHJzL2Rvd25y&#10;ZXYueG1sUEsBAhQAFAAAAAgAh07iQAbZJurJAQAAmwMAAA4AAAAAAAAAAQAgAAAAIwEAAGRycy9l&#10;Mm9Eb2MueG1sUEsFBgAAAAAGAAYAWQEAAF4FAAAAAA==&#10;">
              <v:fill on="f" focussize="0,0"/>
              <v:stroke on="f"/>
              <v:imagedata o:title=""/>
              <o:lock v:ext="edit" aspectratio="f"/>
              <v:textbox inset="0mm,0mm,0mm,0mm" style="mso-fit-shape-to-text:t;">
                <w:txbxContent>
                  <w:p w14:paraId="535F4FD2">
                    <w:pPr>
                      <w:pStyle w:val="10"/>
                      <w:jc w:val="both"/>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PAGE  \* MERGEFORMAT </w:instrText>
                    </w:r>
                    <w:r>
                      <w:rPr>
                        <w:rFonts w:hint="eastAsia" w:ascii="宋体" w:hAnsi="宋体" w:eastAsia="宋体" w:cs="宋体"/>
                      </w:rPr>
                      <w:fldChar w:fldCharType="separate"/>
                    </w:r>
                    <w:r>
                      <w:rPr>
                        <w:rFonts w:hint="eastAsia" w:ascii="宋体" w:hAnsi="宋体" w:eastAsia="宋体" w:cs="宋体"/>
                      </w:rPr>
                      <w:t>33</w:t>
                    </w:r>
                    <w:r>
                      <w:rPr>
                        <w:rFonts w:hint="eastAsia" w:ascii="宋体" w:hAnsi="宋体" w:eastAsia="宋体" w:cs="宋体"/>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DCF305">
    <w:pPr>
      <w:pStyle w:val="10"/>
    </w:pPr>
    <w:r>
      <w:rPr>
        <w:sz w:val="18"/>
      </w:rPr>
      <mc:AlternateContent>
        <mc:Choice Requires="wps">
          <w:drawing>
            <wp:anchor distT="0" distB="0" distL="114300" distR="114300" simplePos="0" relativeHeight="251664384"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BD4711F">
                          <w:pPr>
                            <w:pStyle w:val="10"/>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4384;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hq+Tm1AAAAAgBAAAPAAAAAAAAAAEAIAAAACIAAABkcnMvZG93bnJl&#10;di54bWxQSwECFAAUAAAACACHTuJAunmGe8gBAACbAwAADgAAAAAAAAABACAAAAAjAQAAZHJzL2Uy&#10;b0RvYy54bWxQSwUGAAAAAAYABgBZAQAAXQUAAAAA&#10;">
              <v:fill on="f" focussize="0,0"/>
              <v:stroke on="f"/>
              <v:imagedata o:title=""/>
              <o:lock v:ext="edit" aspectratio="f"/>
              <v:textbox inset="0mm,0mm,0mm,0mm" style="mso-fit-shape-to-text:t;">
                <w:txbxContent>
                  <w:p w14:paraId="4BD4711F">
                    <w:pPr>
                      <w:pStyle w:val="1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CA4155">
    <w:pPr>
      <w:pStyle w:val="10"/>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-555625</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28086">
                          <w:pPr>
                            <w:pStyle w:val="10"/>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43.75pt;height:144pt;width:144pt;mso-position-horizontal:outside;mso-position-horizontal-relative:margin;mso-wrap-style:none;z-index:251660288;mso-width-relative:page;mso-height-relative:page;" filled="f" stroked="f" coordsize="21600,21600" o:gfxdata="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Yavk5tQAAAAIAQAADwAAAAAAAAABACAAAAAiAAAAZHJzL2Rvd25y&#10;ZXYueG1sUEsBAhQAFAAAAAgAh07iQDVODPHJAQAAmwMAAA4AAAAAAAAAAQAgAAAAIwEAAGRycy9l&#10;Mm9Eb2MueG1sUEsFBgAAAAAGAAYAWQEAAF4FAAAAAA==&#10;">
              <v:fill on="f" focussize="0,0"/>
              <v:stroke on="f"/>
              <v:imagedata o:title=""/>
              <o:lock v:ext="edit" aspectratio="f"/>
              <v:textbox inset="0mm,0mm,0mm,0mm" style="mso-fit-shape-to-text:t;">
                <w:txbxContent>
                  <w:p w14:paraId="33A28086">
                    <w:pPr>
                      <w:pStyle w:val="10"/>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0D12A3">
    <w:pPr>
      <w:pStyle w:val="11"/>
      <w:wordWrap w:val="0"/>
      <w:jc w:val="right"/>
      <w:rPr>
        <w:rFonts w:hint="eastAsia"/>
        <w:lang w:val="en-US" w:eastAsia="zh-CN"/>
      </w:rPr>
    </w:pPr>
  </w:p>
  <w:p w14:paraId="1523F7E2">
    <w:pPr>
      <w:pStyle w:val="11"/>
      <w:wordWrap w:val="0"/>
      <w:jc w:val="right"/>
      <w:rPr>
        <w:rFonts w:hint="eastAsia" w:ascii="黑体" w:hAnsi="黑体" w:eastAsia="黑体" w:cs="黑体"/>
        <w:sz w:val="21"/>
        <w:szCs w:val="21"/>
        <w:lang w:val="en-US" w:eastAsia="zh-CN"/>
      </w:rPr>
    </w:pPr>
    <w:r>
      <w:rPr>
        <w:rFonts w:hint="eastAsia" w:ascii="黑体" w:hAnsi="黑体" w:eastAsia="黑体" w:cs="黑体"/>
        <w:sz w:val="21"/>
        <w:szCs w:val="21"/>
      </w:rPr>
      <w:t>DB37</w:t>
    </w:r>
    <w:r>
      <w:rPr>
        <w:rFonts w:hint="eastAsia" w:ascii="黑体" w:hAnsi="黑体" w:eastAsia="黑体" w:cs="黑体"/>
        <w:sz w:val="21"/>
        <w:szCs w:val="21"/>
        <w:lang w:val="en-US" w:eastAsia="zh-CN"/>
      </w:rPr>
      <w:t>08</w:t>
    </w:r>
    <w:r>
      <w:rPr>
        <w:rFonts w:hint="eastAsia" w:ascii="黑体" w:hAnsi="黑体" w:eastAsia="黑体" w:cs="黑体"/>
        <w:sz w:val="21"/>
        <w:szCs w:val="21"/>
      </w:rPr>
      <w:t>/</w:t>
    </w:r>
    <w:r>
      <w:rPr>
        <w:rFonts w:hint="eastAsia" w:ascii="黑体" w:hAnsi="黑体" w:eastAsia="黑体" w:cs="黑体"/>
        <w:sz w:val="21"/>
        <w:szCs w:val="21"/>
        <w:lang w:val="en-US" w:eastAsia="zh-CN"/>
      </w:rPr>
      <w:t>T</w:t>
    </w:r>
    <w:r>
      <w:rPr>
        <w:rFonts w:hint="eastAsia" w:ascii="黑体" w:hAnsi="黑体" w:eastAsia="黑体" w:cs="黑体"/>
        <w:sz w:val="21"/>
        <w:szCs w:val="21"/>
      </w:rPr>
      <w:t xml:space="preserve"> XXXXX—XXXX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285DA2A"/>
    <w:multiLevelType w:val="singleLevel"/>
    <w:tmpl w:val="E285DA2A"/>
    <w:lvl w:ilvl="0" w:tentative="0">
      <w:start w:val="1"/>
      <w:numFmt w:val="decimal"/>
      <w:suff w:val="nothing"/>
      <w:lvlText w:val="%1、"/>
      <w:lvlJc w:val="left"/>
    </w:lvl>
  </w:abstractNum>
  <w:abstractNum w:abstractNumId="1">
    <w:nsid w:val="F176AEFF"/>
    <w:multiLevelType w:val="singleLevel"/>
    <w:tmpl w:val="F176AEFF"/>
    <w:lvl w:ilvl="0" w:tentative="0">
      <w:start w:val="1"/>
      <w:numFmt w:val="decimal"/>
      <w:suff w:val="nothing"/>
      <w:lvlText w:val="%1、"/>
      <w:lvlJc w:val="left"/>
    </w:lvl>
  </w:abstractNum>
  <w:abstractNum w:abstractNumId="2">
    <w:nsid w:val="FFFDE448"/>
    <w:multiLevelType w:val="singleLevel"/>
    <w:tmpl w:val="FFFDE448"/>
    <w:lvl w:ilvl="0" w:tentative="0">
      <w:start w:val="1"/>
      <w:numFmt w:val="decimal"/>
      <w:suff w:val="nothing"/>
      <w:lvlText w:val="%1、"/>
      <w:lvlJc w:val="left"/>
    </w:lvl>
  </w:abstractNum>
  <w:abstractNum w:abstractNumId="3">
    <w:nsid w:val="2C5917C3"/>
    <w:multiLevelType w:val="multilevel"/>
    <w:tmpl w:val="2C5917C3"/>
    <w:lvl w:ilvl="0" w:tentative="0">
      <w:start w:val="1"/>
      <w:numFmt w:val="none"/>
      <w:pStyle w:val="44"/>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45"/>
      <w:lvlText w:val=""/>
      <w:lvlJc w:val="left"/>
      <w:pPr>
        <w:ind w:left="851" w:hanging="431"/>
      </w:pPr>
      <w:rPr>
        <w:rFonts w:hint="default" w:ascii="Symbol" w:hAnsi="Symbol"/>
        <w:sz w:val="21"/>
      </w:rPr>
    </w:lvl>
    <w:lvl w:ilvl="2" w:tentative="0">
      <w:start w:val="1"/>
      <w:numFmt w:val="bullet"/>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yNzM3NmUxNjcyY2FjZmNkZDVlMGE4M2MzMjdhZTUifQ=="/>
  </w:docVars>
  <w:rsids>
    <w:rsidRoot w:val="72DB5477"/>
    <w:rsid w:val="015C66A7"/>
    <w:rsid w:val="03FF1565"/>
    <w:rsid w:val="0A064824"/>
    <w:rsid w:val="13444EBF"/>
    <w:rsid w:val="1C420E98"/>
    <w:rsid w:val="1E7030EF"/>
    <w:rsid w:val="1EDA567D"/>
    <w:rsid w:val="20BE2759"/>
    <w:rsid w:val="28B01ADD"/>
    <w:rsid w:val="2AF60E2E"/>
    <w:rsid w:val="2ED76160"/>
    <w:rsid w:val="33956745"/>
    <w:rsid w:val="34B03A97"/>
    <w:rsid w:val="3548596F"/>
    <w:rsid w:val="38F10B27"/>
    <w:rsid w:val="3AA42B4A"/>
    <w:rsid w:val="3EF7D07F"/>
    <w:rsid w:val="3F630A47"/>
    <w:rsid w:val="3F7D0202"/>
    <w:rsid w:val="3FBDAB59"/>
    <w:rsid w:val="41D04401"/>
    <w:rsid w:val="47DFCE9D"/>
    <w:rsid w:val="48195FCA"/>
    <w:rsid w:val="49030CFF"/>
    <w:rsid w:val="49B215E0"/>
    <w:rsid w:val="4AA73444"/>
    <w:rsid w:val="4DBBD638"/>
    <w:rsid w:val="4E7EBF41"/>
    <w:rsid w:val="4EB16A05"/>
    <w:rsid w:val="5375F64C"/>
    <w:rsid w:val="57732319"/>
    <w:rsid w:val="58E6510A"/>
    <w:rsid w:val="5A843AF0"/>
    <w:rsid w:val="5AF9B72A"/>
    <w:rsid w:val="5E8C1CBC"/>
    <w:rsid w:val="5E98350B"/>
    <w:rsid w:val="5F3B38BA"/>
    <w:rsid w:val="5FDE7B66"/>
    <w:rsid w:val="5FF3D8ED"/>
    <w:rsid w:val="63BA2121"/>
    <w:rsid w:val="64462101"/>
    <w:rsid w:val="6A0352D8"/>
    <w:rsid w:val="6F8863A9"/>
    <w:rsid w:val="6F927A10"/>
    <w:rsid w:val="7269B71E"/>
    <w:rsid w:val="72DB5477"/>
    <w:rsid w:val="76C12DF8"/>
    <w:rsid w:val="774F28ED"/>
    <w:rsid w:val="77DF69D0"/>
    <w:rsid w:val="79943ECE"/>
    <w:rsid w:val="7B9A680F"/>
    <w:rsid w:val="7D8C38D6"/>
    <w:rsid w:val="7D9A3814"/>
    <w:rsid w:val="7DC7F1A3"/>
    <w:rsid w:val="7EF7B1E8"/>
    <w:rsid w:val="7F9BA375"/>
    <w:rsid w:val="7FD24D0A"/>
    <w:rsid w:val="7FFB2CE7"/>
    <w:rsid w:val="9FD789B2"/>
    <w:rsid w:val="BFDC2239"/>
    <w:rsid w:val="BFFD2328"/>
    <w:rsid w:val="C75F9392"/>
    <w:rsid w:val="DD9F31C1"/>
    <w:rsid w:val="DDFFDE90"/>
    <w:rsid w:val="DF59F1E1"/>
    <w:rsid w:val="EE5BA555"/>
    <w:rsid w:val="F3FBEDB6"/>
    <w:rsid w:val="F5BA680B"/>
    <w:rsid w:val="F7F5D9D6"/>
    <w:rsid w:val="FB7E4BE8"/>
    <w:rsid w:val="FDEE0E0C"/>
    <w:rsid w:val="FDFFE779"/>
    <w:rsid w:val="FEEE41E6"/>
    <w:rsid w:val="FF9DFA67"/>
    <w:rsid w:val="FFBE3FC9"/>
    <w:rsid w:val="FFF3B3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Lines="0" w:beforeAutospacing="0" w:afterLines="0" w:afterAutospacing="0" w:line="600" w:lineRule="exact"/>
      <w:jc w:val="center"/>
      <w:outlineLvl w:val="0"/>
    </w:pPr>
    <w:rPr>
      <w:rFonts w:ascii="Times New Roman" w:hAnsi="Times New Roman" w:eastAsia="黑体"/>
      <w:kern w:val="44"/>
      <w:sz w:val="32"/>
    </w:rPr>
  </w:style>
  <w:style w:type="paragraph" w:styleId="2">
    <w:name w:val="heading 2"/>
    <w:basedOn w:val="1"/>
    <w:next w:val="1"/>
    <w:unhideWhenUsed/>
    <w:qFormat/>
    <w:uiPriority w:val="0"/>
    <w:pPr>
      <w:keepNext w:val="0"/>
      <w:keepLines w:val="0"/>
      <w:snapToGrid w:val="0"/>
      <w:spacing w:before="100" w:beforeLines="100" w:after="100" w:afterLines="100" w:line="240" w:lineRule="auto"/>
      <w:ind w:firstLine="0" w:firstLineChars="0"/>
      <w:jc w:val="left"/>
      <w:outlineLvl w:val="1"/>
    </w:pPr>
    <w:rPr>
      <w:rFonts w:ascii="Arial" w:hAnsi="Arial" w:eastAsia="黑体"/>
      <w:szCs w:val="22"/>
    </w:rPr>
  </w:style>
  <w:style w:type="paragraph" w:styleId="4">
    <w:name w:val="heading 3"/>
    <w:basedOn w:val="5"/>
    <w:next w:val="1"/>
    <w:unhideWhenUsed/>
    <w:qFormat/>
    <w:uiPriority w:val="0"/>
    <w:pPr>
      <w:keepNext/>
      <w:keepLines/>
      <w:snapToGrid/>
      <w:spacing w:line="240" w:lineRule="auto"/>
      <w:ind w:firstLine="0" w:firstLineChars="0"/>
      <w:jc w:val="center"/>
      <w:outlineLvl w:val="2"/>
    </w:pPr>
    <w:rPr>
      <w:rFonts w:ascii="Tahoma" w:hAnsi="Tahoma" w:eastAsia="黑体"/>
      <w:bCs/>
      <w:szCs w:val="32"/>
    </w:rPr>
  </w:style>
  <w:style w:type="character" w:default="1" w:styleId="16">
    <w:name w:val="Default Paragraph Font"/>
    <w:semiHidden/>
    <w:qFormat/>
    <w:uiPriority w:val="0"/>
  </w:style>
  <w:style w:type="table" w:default="1" w:styleId="15">
    <w:name w:val="Normal Table"/>
    <w:semiHidden/>
    <w:qFormat/>
    <w:uiPriority w:val="0"/>
    <w:tblPr>
      <w:tblCellMar>
        <w:top w:w="0" w:type="dxa"/>
        <w:left w:w="108" w:type="dxa"/>
        <w:bottom w:w="0" w:type="dxa"/>
        <w:right w:w="108" w:type="dxa"/>
      </w:tblCellMar>
    </w:tblPr>
  </w:style>
  <w:style w:type="paragraph" w:styleId="5">
    <w:name w:val="toc 1"/>
    <w:basedOn w:val="1"/>
    <w:next w:val="1"/>
    <w:qFormat/>
    <w:uiPriority w:val="0"/>
  </w:style>
  <w:style w:type="paragraph" w:styleId="6">
    <w:name w:val="Normal Indent"/>
    <w:basedOn w:val="1"/>
    <w:unhideWhenUsed/>
    <w:qFormat/>
    <w:uiPriority w:val="99"/>
    <w:pPr>
      <w:ind w:firstLine="420" w:firstLineChars="200"/>
    </w:pPr>
  </w:style>
  <w:style w:type="paragraph" w:styleId="7">
    <w:name w:val="annotation text"/>
    <w:basedOn w:val="1"/>
    <w:uiPriority w:val="0"/>
    <w:pPr>
      <w:jc w:val="left"/>
    </w:pPr>
  </w:style>
  <w:style w:type="paragraph" w:styleId="8">
    <w:name w:val="Body Text"/>
    <w:basedOn w:val="1"/>
    <w:qFormat/>
    <w:uiPriority w:val="1"/>
    <w:rPr>
      <w:sz w:val="21"/>
      <w:szCs w:val="21"/>
    </w:rPr>
  </w:style>
  <w:style w:type="paragraph" w:styleId="9">
    <w:name w:val="Body Text Indent"/>
    <w:basedOn w:val="1"/>
    <w:next w:val="6"/>
    <w:unhideWhenUsed/>
    <w:qFormat/>
    <w:uiPriority w:val="99"/>
    <w:pPr>
      <w:spacing w:after="120"/>
      <w:ind w:left="420" w:leftChars="200"/>
    </w:pPr>
  </w:style>
  <w:style w:type="paragraph" w:styleId="10">
    <w:name w:val="footer"/>
    <w:basedOn w:val="1"/>
    <w:unhideWhenUsed/>
    <w:qFormat/>
    <w:uiPriority w:val="99"/>
    <w:pPr>
      <w:tabs>
        <w:tab w:val="center" w:pos="4153"/>
        <w:tab w:val="right" w:pos="8306"/>
      </w:tabs>
      <w:snapToGrid w:val="0"/>
      <w:jc w:val="left"/>
    </w:pPr>
    <w:rPr>
      <w:sz w:val="18"/>
      <w:szCs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2">
    <w:name w:val="footnote text"/>
    <w:basedOn w:val="1"/>
    <w:uiPriority w:val="0"/>
    <w:pPr>
      <w:snapToGrid w:val="0"/>
      <w:jc w:val="left"/>
    </w:pPr>
    <w:rPr>
      <w:sz w:val="18"/>
    </w:rPr>
  </w:style>
  <w:style w:type="paragraph" w:styleId="13">
    <w:name w:val="Body Text First Indent"/>
    <w:basedOn w:val="8"/>
    <w:qFormat/>
    <w:uiPriority w:val="0"/>
    <w:pPr>
      <w:ind w:firstLine="420" w:firstLineChars="100"/>
    </w:pPr>
    <w:rPr>
      <w:rFonts w:ascii="Calibri" w:hAnsi="Calibri" w:eastAsia="宋体" w:cs="Times New Roman"/>
    </w:rPr>
  </w:style>
  <w:style w:type="paragraph" w:styleId="14">
    <w:name w:val="Body Text First Indent 2"/>
    <w:basedOn w:val="9"/>
    <w:next w:val="13"/>
    <w:link w:val="37"/>
    <w:qFormat/>
    <w:uiPriority w:val="0"/>
    <w:pPr>
      <w:spacing w:line="560" w:lineRule="exact"/>
      <w:ind w:left="0" w:leftChars="0" w:firstLine="420" w:firstLineChars="200"/>
    </w:pPr>
    <w:rPr>
      <w:rFonts w:ascii="Calibri" w:hAnsi="Calibri" w:eastAsia="方正仿宋简体" w:cs="Times New Roman"/>
      <w:b/>
      <w:sz w:val="32"/>
    </w:rPr>
  </w:style>
  <w:style w:type="character" w:styleId="17">
    <w:name w:val="footnote reference"/>
    <w:basedOn w:val="16"/>
    <w:qFormat/>
    <w:uiPriority w:val="0"/>
    <w:rPr>
      <w:vertAlign w:val="superscript"/>
    </w:rPr>
  </w:style>
  <w:style w:type="paragraph" w:customStyle="1" w:styleId="18">
    <w:name w:val="Default"/>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19">
    <w:name w:val="其他标准标志"/>
    <w:basedOn w:val="20"/>
    <w:qFormat/>
    <w:uiPriority w:val="0"/>
    <w:pPr>
      <w:framePr w:w="6101" w:vAnchor="page" w:hAnchor="page" w:x="4673" w:y="942"/>
    </w:pPr>
    <w:rPr>
      <w:w w:val="130"/>
    </w:rPr>
  </w:style>
  <w:style w:type="paragraph" w:customStyle="1" w:styleId="20">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21">
    <w:name w:val="封面标准代替信息"/>
    <w:qFormat/>
    <w:uiPriority w:val="0"/>
    <w:pPr>
      <w:framePr w:w="9140" w:h="1242" w:hRule="exact" w:hSpace="284" w:wrap="around" w:vAnchor="page" w:hAnchor="page" w:x="1645" w:y="2910" w:anchorLock="1"/>
      <w:spacing w:before="57" w:line="280" w:lineRule="exact"/>
      <w:jc w:val="right"/>
    </w:pPr>
    <w:rPr>
      <w:rFonts w:ascii="宋体" w:hAnsi="Times New Roman" w:eastAsia="宋体" w:cs="Times New Roman"/>
      <w:sz w:val="21"/>
      <w:szCs w:val="21"/>
      <w:lang w:val="en-US" w:eastAsia="zh-CN" w:bidi="ar-SA"/>
    </w:rPr>
  </w:style>
  <w:style w:type="paragraph" w:customStyle="1" w:styleId="22">
    <w:name w:val="封面标准号2"/>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sz w:val="28"/>
      <w:szCs w:val="28"/>
      <w:lang w:val="en-US" w:eastAsia="zh-CN" w:bidi="ar-SA"/>
    </w:rPr>
  </w:style>
  <w:style w:type="paragraph" w:customStyle="1" w:styleId="23">
    <w:name w:val="其他标准称谓"/>
    <w:next w:val="1"/>
    <w:qFormat/>
    <w:uiPriority w:val="0"/>
    <w:pPr>
      <w:framePr w:hSpace="181" w:vSpace="181" w:wrap="around" w:vAnchor="page" w:hAnchor="page" w:x="1419" w:y="2286" w:anchorLock="1"/>
      <w:spacing w:line="0" w:lineRule="atLeast"/>
      <w:jc w:val="distribute"/>
    </w:pPr>
    <w:rPr>
      <w:rFonts w:ascii="黑体" w:hAnsi="宋体" w:eastAsia="黑体" w:cs="Times New Roman"/>
      <w:spacing w:val="-40"/>
      <w:sz w:val="48"/>
      <w:szCs w:val="52"/>
      <w:lang w:val="en-US" w:eastAsia="zh-CN" w:bidi="ar-SA"/>
    </w:rPr>
  </w:style>
  <w:style w:type="paragraph" w:customStyle="1" w:styleId="24">
    <w:name w:val="封面标准名称"/>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5">
    <w:name w:val="封面标准文稿类别"/>
    <w:basedOn w:val="26"/>
    <w:qFormat/>
    <w:uiPriority w:val="0"/>
    <w:pPr>
      <w:spacing w:after="160" w:line="240" w:lineRule="auto"/>
    </w:pPr>
    <w:rPr>
      <w:sz w:val="24"/>
    </w:rPr>
  </w:style>
  <w:style w:type="paragraph" w:customStyle="1" w:styleId="26">
    <w:name w:val="封面一致性程度标识"/>
    <w:basedOn w:val="27"/>
    <w:qFormat/>
    <w:uiPriority w:val="0"/>
    <w:pPr>
      <w:spacing w:before="440"/>
    </w:pPr>
    <w:rPr>
      <w:rFonts w:ascii="宋体" w:eastAsia="宋体"/>
    </w:rPr>
  </w:style>
  <w:style w:type="paragraph" w:customStyle="1" w:styleId="27">
    <w:name w:val="封面标准英文名称"/>
    <w:basedOn w:val="24"/>
    <w:qFormat/>
    <w:uiPriority w:val="0"/>
    <w:pPr>
      <w:spacing w:before="370" w:line="400" w:lineRule="exact"/>
    </w:pPr>
    <w:rPr>
      <w:rFonts w:ascii="Times New Roman"/>
      <w:sz w:val="28"/>
      <w:szCs w:val="28"/>
    </w:rPr>
  </w:style>
  <w:style w:type="paragraph" w:customStyle="1" w:styleId="28">
    <w:name w:val="封面标准文稿编辑信息"/>
    <w:basedOn w:val="25"/>
    <w:qFormat/>
    <w:uiPriority w:val="0"/>
    <w:pPr>
      <w:spacing w:before="180" w:line="180" w:lineRule="exact"/>
    </w:pPr>
    <w:rPr>
      <w:sz w:val="21"/>
    </w:rPr>
  </w:style>
  <w:style w:type="paragraph" w:customStyle="1" w:styleId="29">
    <w:name w:val="其他发布日期"/>
    <w:qFormat/>
    <w:uiPriority w:val="0"/>
    <w:pPr>
      <w:framePr w:w="3997" w:h="471" w:hRule="exact" w:vSpace="181" w:wrap="around" w:vAnchor="page" w:hAnchor="page" w:x="1419" w:y="14097" w:anchorLock="1"/>
    </w:pPr>
    <w:rPr>
      <w:rFonts w:ascii="Times New Roman" w:hAnsi="Times New Roman" w:eastAsia="黑体" w:cs="Times New Roman"/>
      <w:sz w:val="28"/>
      <w:lang w:val="en-US" w:eastAsia="zh-CN" w:bidi="ar-SA"/>
    </w:rPr>
  </w:style>
  <w:style w:type="paragraph" w:customStyle="1" w:styleId="30">
    <w:name w:val="其他实施日期"/>
    <w:basedOn w:val="31"/>
    <w:qFormat/>
    <w:uiPriority w:val="0"/>
  </w:style>
  <w:style w:type="paragraph" w:customStyle="1" w:styleId="31">
    <w:name w:val="实施日期"/>
    <w:qFormat/>
    <w:uiPriority w:val="0"/>
    <w:pPr>
      <w:framePr w:w="3997" w:h="471" w:hRule="exact" w:vSpace="181" w:wrap="around" w:vAnchor="page" w:hAnchor="page" w:x="7089" w:y="14097"/>
      <w:jc w:val="right"/>
    </w:pPr>
    <w:rPr>
      <w:rFonts w:ascii="Times New Roman" w:hAnsi="Times New Roman" w:eastAsia="黑体" w:cs="Times New Roman"/>
      <w:sz w:val="28"/>
      <w:lang w:val="en-US" w:eastAsia="zh-CN" w:bidi="ar-SA"/>
    </w:rPr>
  </w:style>
  <w:style w:type="paragraph" w:customStyle="1" w:styleId="32">
    <w:name w:val="其他发布部门"/>
    <w:basedOn w:val="33"/>
    <w:qFormat/>
    <w:uiPriority w:val="0"/>
    <w:pPr>
      <w:framePr w:y="15310"/>
      <w:spacing w:line="0" w:lineRule="atLeast"/>
    </w:pPr>
    <w:rPr>
      <w:rFonts w:ascii="黑体" w:eastAsia="黑体"/>
      <w:b w:val="0"/>
    </w:rPr>
  </w:style>
  <w:style w:type="paragraph" w:customStyle="1" w:styleId="33">
    <w:name w:val="发布部门"/>
    <w:next w:val="34"/>
    <w:qFormat/>
    <w:uiPriority w:val="0"/>
    <w:pPr>
      <w:framePr w:w="7938" w:h="1134" w:hRule="exact" w:hSpace="125" w:vSpace="181" w:wrap="around" w:vAnchor="page" w:hAnchor="page" w:x="2150" w:y="14630" w:anchorLock="1"/>
      <w:jc w:val="center"/>
    </w:pPr>
    <w:rPr>
      <w:rFonts w:ascii="宋体" w:hAnsi="Times New Roman" w:eastAsia="宋体" w:cs="Times New Roman"/>
      <w:b/>
      <w:spacing w:val="20"/>
      <w:w w:val="135"/>
      <w:sz w:val="28"/>
      <w:lang w:val="en-US" w:eastAsia="zh-CN" w:bidi="ar-SA"/>
    </w:rPr>
  </w:style>
  <w:style w:type="paragraph" w:customStyle="1" w:styleId="34">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35">
    <w:name w:val="发布"/>
    <w:qFormat/>
    <w:uiPriority w:val="0"/>
    <w:rPr>
      <w:rFonts w:ascii="黑体" w:eastAsia="黑体"/>
      <w:spacing w:val="85"/>
      <w:w w:val="100"/>
      <w:position w:val="3"/>
      <w:sz w:val="28"/>
      <w:szCs w:val="28"/>
    </w:rPr>
  </w:style>
  <w:style w:type="paragraph" w:customStyle="1" w:styleId="36">
    <w:name w:val="WPSOffice手动目录 1"/>
    <w:qFormat/>
    <w:uiPriority w:val="0"/>
    <w:pPr>
      <w:ind w:leftChars="0"/>
    </w:pPr>
    <w:rPr>
      <w:rFonts w:ascii="Times New Roman" w:hAnsi="Times New Roman" w:eastAsia="宋体" w:cs="Times New Roman"/>
      <w:sz w:val="20"/>
      <w:szCs w:val="20"/>
    </w:rPr>
  </w:style>
  <w:style w:type="character" w:customStyle="1" w:styleId="37">
    <w:name w:val="正文首行缩进 2 Char"/>
    <w:link w:val="14"/>
    <w:qFormat/>
    <w:uiPriority w:val="0"/>
    <w:rPr>
      <w:rFonts w:ascii="Calibri" w:hAnsi="Calibri" w:eastAsia="方正仿宋简体" w:cs="Times New Roman"/>
      <w:b/>
      <w:sz w:val="32"/>
    </w:rPr>
  </w:style>
  <w:style w:type="character" w:customStyle="1" w:styleId="38">
    <w:name w:val="Subtle Reference1"/>
    <w:basedOn w:val="16"/>
    <w:qFormat/>
    <w:uiPriority w:val="99"/>
    <w:rPr>
      <w:rFonts w:cs="Times New Roman"/>
      <w:smallCaps/>
      <w:color w:val="ED7D31"/>
      <w:u w:val="single"/>
    </w:rPr>
  </w:style>
  <w:style w:type="character" w:customStyle="1" w:styleId="39">
    <w:name w:val="不明显参考1"/>
    <w:basedOn w:val="16"/>
    <w:qFormat/>
    <w:uiPriority w:val="99"/>
    <w:rPr>
      <w:rFonts w:cs="Times New Roman"/>
      <w:smallCaps/>
      <w:color w:val="ED7D31"/>
      <w:u w:val="single"/>
    </w:rPr>
  </w:style>
  <w:style w:type="paragraph" w:styleId="40">
    <w:name w:val="List Paragraph"/>
    <w:basedOn w:val="1"/>
    <w:qFormat/>
    <w:uiPriority w:val="1"/>
    <w:pPr>
      <w:ind w:left="218"/>
    </w:pPr>
    <w:rPr>
      <w:rFonts w:ascii="宋体" w:hAnsi="宋体" w:eastAsia="宋体" w:cs="宋体"/>
      <w:lang w:val="en-US" w:eastAsia="en-US" w:bidi="en-US"/>
    </w:rPr>
  </w:style>
  <w:style w:type="paragraph" w:customStyle="1" w:styleId="41">
    <w:name w:val="中宋小四"/>
    <w:qFormat/>
    <w:uiPriority w:val="0"/>
    <w:pPr>
      <w:spacing w:line="500" w:lineRule="exact"/>
      <w:ind w:firstLine="527"/>
    </w:pPr>
    <w:rPr>
      <w:rFonts w:ascii="Times New Roman" w:hAnsi="Times New Roman" w:eastAsia="华文中宋" w:cs="宋体"/>
      <w:kern w:val="2"/>
      <w:sz w:val="24"/>
      <w:szCs w:val="24"/>
      <w:lang w:val="en-US" w:eastAsia="zh-CN" w:bidi="ar-SA"/>
    </w:rPr>
  </w:style>
  <w:style w:type="paragraph" w:customStyle="1" w:styleId="42">
    <w:name w:val="文献分类号"/>
    <w:qFormat/>
    <w:uiPriority w:val="0"/>
    <w:pPr>
      <w:framePr w:hSpace="180" w:vSpace="180" w:wrap="around" w:vAnchor="margin" w:hAnchor="margin" w:y="1" w:anchorLock="1"/>
      <w:widowControl w:val="0"/>
      <w:textAlignment w:val="center"/>
    </w:pPr>
    <w:rPr>
      <w:rFonts w:ascii="黑体" w:hAnsi="Times New Roman" w:eastAsia="黑体" w:cs="Times New Roman"/>
      <w:sz w:val="21"/>
      <w:szCs w:val="21"/>
      <w:lang w:val="en-US" w:eastAsia="zh-CN" w:bidi="ar-SA"/>
    </w:rPr>
  </w:style>
  <w:style w:type="paragraph" w:customStyle="1" w:styleId="43">
    <w:name w:val="终结线"/>
    <w:basedOn w:val="1"/>
    <w:qFormat/>
    <w:uiPriority w:val="0"/>
    <w:pPr>
      <w:framePr w:hSpace="181" w:vSpace="181" w:wrap="around" w:vAnchor="text" w:hAnchor="margin" w:xAlign="center" w:y="285"/>
    </w:pPr>
  </w:style>
  <w:style w:type="paragraph" w:customStyle="1" w:styleId="44">
    <w:name w:val="标准文件_一级项"/>
    <w:qFormat/>
    <w:uiPriority w:val="0"/>
    <w:pPr>
      <w:numPr>
        <w:ilvl w:val="0"/>
        <w:numId w:val="1"/>
      </w:numPr>
    </w:pPr>
    <w:rPr>
      <w:rFonts w:ascii="宋体"/>
      <w:sz w:val="21"/>
      <w:lang w:val="en-US" w:eastAsia="zh-CN" w:bidi="ar-SA"/>
    </w:rPr>
  </w:style>
  <w:style w:type="paragraph" w:customStyle="1" w:styleId="45">
    <w:name w:val="标准文件_二级项2"/>
    <w:basedOn w:val="46"/>
    <w:qFormat/>
    <w:uiPriority w:val="0"/>
    <w:pPr>
      <w:numPr>
        <w:ilvl w:val="1"/>
        <w:numId w:val="1"/>
      </w:numPr>
      <w:ind w:firstLine="0" w:firstLineChars="0"/>
    </w:pPr>
  </w:style>
  <w:style w:type="paragraph" w:customStyle="1" w:styleId="46">
    <w:name w:val="标准文件_段"/>
    <w:qFormat/>
    <w:uiPriority w:val="0"/>
    <w:pPr>
      <w:autoSpaceDE w:val="0"/>
      <w:autoSpaceDN w:val="0"/>
      <w:ind w:firstLine="200" w:firstLineChars="200"/>
      <w:jc w:val="both"/>
    </w:pPr>
    <w:rPr>
      <w:rFonts w:ascii="宋体"/>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7.jpe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8.xml"/><Relationship Id="rId10" Type="http://schemas.openxmlformats.org/officeDocument/2006/relationships/footer" Target="footer7.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12235</Words>
  <Characters>13587</Characters>
  <Lines>0</Lines>
  <Paragraphs>0</Paragraphs>
  <TotalTime>6</TotalTime>
  <ScaleCrop>false</ScaleCrop>
  <LinksUpToDate>false</LinksUpToDate>
  <CharactersWithSpaces>13969</CharactersWithSpaces>
  <Application>WPS Office_12.1.0.17468_F1E327BC-269C-435d-A152-05C5408002CA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2024-07-16T09:19:00Z</dcterms:created>
  <dc:creator>方瑾</dc:creator>
  <cp:lastModifiedBy>Administrator</cp:lastModifiedBy>
  <cp:lastPrinted>2024-07-17T16:49:00Z</cp:lastPrinted>
  <dcterms:modified xsi:type="dcterms:W3CDTF">2024-08-01T08:02:18Z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2052-12.1.0.17468</vt:lpwstr>
  </property>
  <property fmtid="{D5CDD505-2E9C-101B-9397-08002B2CF9AE}" pid="3" name="KSOSaveFontToCloudKey">
    <vt:lpwstr>1479577653_btnclosed</vt:lpwstr>
  </property>
  <property fmtid="{D5CDD505-2E9C-101B-9397-08002B2CF9AE}" pid="4" name="ICV">
    <vt:lpwstr>46F9990C3C2348AD839F35F7228E4845_13</vt:lpwstr>
  </property>
</Properties>
</file>