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sz w:val="48"/>
          <w:szCs w:val="48"/>
          <w:lang w:eastAsia="zh-CN"/>
        </w:rPr>
      </w:pPr>
      <w:r>
        <w:rPr>
          <w:rFonts w:hint="eastAsia" w:ascii="方正小标宋_GBK" w:hAnsi="方正小标宋_GBK" w:eastAsia="方正小标宋_GBK" w:cs="方正小标宋_GBK"/>
          <w:sz w:val="48"/>
          <w:szCs w:val="48"/>
          <w:lang w:eastAsia="zh-CN"/>
        </w:rPr>
        <w:t>《</w:t>
      </w:r>
      <w:r>
        <w:rPr>
          <w:rFonts w:hint="eastAsia" w:ascii="方正小标宋_GBK" w:hAnsi="方正小标宋_GBK" w:eastAsia="方正小标宋_GBK" w:cs="方正小标宋_GBK"/>
          <w:sz w:val="48"/>
          <w:szCs w:val="48"/>
        </w:rPr>
        <w:t>建设工</w:t>
      </w:r>
      <w:r>
        <w:rPr>
          <w:rFonts w:hint="eastAsia" w:ascii="方正小标宋_GBK" w:hAnsi="方正小标宋_GBK" w:eastAsia="方正小标宋_GBK" w:cs="方正小标宋_GBK"/>
          <w:sz w:val="48"/>
          <w:szCs w:val="48"/>
          <w:lang w:eastAsia="zh-CN"/>
        </w:rPr>
        <w:t>程规划</w:t>
      </w:r>
      <w:r>
        <w:rPr>
          <w:rFonts w:hint="eastAsia" w:ascii="方正小标宋_GBK" w:hAnsi="方正小标宋_GBK" w:eastAsia="方正小标宋_GBK" w:cs="方正小标宋_GBK"/>
          <w:sz w:val="48"/>
          <w:szCs w:val="48"/>
        </w:rPr>
        <w:t>批后管理服务规范</w:t>
      </w:r>
      <w:r>
        <w:rPr>
          <w:rFonts w:hint="eastAsia" w:ascii="方正小标宋_GBK" w:hAnsi="方正小标宋_GBK" w:eastAsia="方正小标宋_GBK" w:cs="方正小标宋_GBK"/>
          <w:sz w:val="48"/>
          <w:szCs w:val="48"/>
          <w:lang w:eastAsia="zh-CN"/>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spacing w:val="130"/>
          <w:sz w:val="48"/>
          <w:szCs w:val="48"/>
          <w:lang w:eastAsia="zh-CN"/>
        </w:rPr>
      </w:pPr>
      <w:r>
        <w:rPr>
          <w:rFonts w:hint="eastAsia" w:ascii="方正小标宋_GBK" w:hAnsi="方正小标宋_GBK" w:eastAsia="方正小标宋_GBK" w:cs="方正小标宋_GBK"/>
          <w:spacing w:val="130"/>
          <w:sz w:val="48"/>
          <w:szCs w:val="48"/>
          <w:lang w:eastAsia="zh-CN"/>
        </w:rPr>
        <w:t>编制说明</w:t>
      </w: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40"/>
          <w:szCs w:val="4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黑体" w:hAnsi="黑体" w:eastAsia="黑体" w:cs="黑体"/>
          <w:spacing w:val="20"/>
          <w:sz w:val="30"/>
          <w:szCs w:val="30"/>
          <w:lang w:eastAsia="zh-CN"/>
        </w:rPr>
      </w:pPr>
      <w:r>
        <w:rPr>
          <w:rFonts w:hint="eastAsia" w:ascii="黑体" w:hAnsi="黑体" w:eastAsia="黑体" w:cs="黑体"/>
          <w:spacing w:val="20"/>
          <w:sz w:val="30"/>
          <w:szCs w:val="30"/>
          <w:lang w:eastAsia="zh-CN"/>
        </w:rPr>
        <w:t>规范编制小组</w:t>
      </w: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2024年7月</w:t>
      </w:r>
    </w:p>
    <w:p>
      <w:pPr>
        <w:keepNext w:val="0"/>
        <w:keepLines w:val="0"/>
        <w:pageBreakBefore w:val="0"/>
        <w:widowControl w:val="0"/>
        <w:kinsoku/>
        <w:wordWrap/>
        <w:overflowPunct/>
        <w:topLinePunct w:val="0"/>
        <w:autoSpaceDE/>
        <w:autoSpaceDN/>
        <w:bidi w:val="0"/>
        <w:adjustRightInd/>
        <w:snapToGrid/>
        <w:spacing w:before="157" w:beforeLines="50" w:line="460" w:lineRule="exact"/>
        <w:jc w:val="center"/>
        <w:textAlignment w:val="auto"/>
        <w:rPr>
          <w:rFonts w:hint="eastAsia" w:ascii="方正小标宋_GBK" w:hAnsi="方正小标宋_GBK" w:eastAsia="方正小标宋_GBK" w:cs="方正小标宋_GBK"/>
          <w:sz w:val="30"/>
          <w:szCs w:val="30"/>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28"/>
          <w:szCs w:val="28"/>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工作简况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方正楷体简体" w:hAnsi="方正楷体简体" w:eastAsia="方正楷体简体" w:cs="方正楷体简体"/>
          <w:sz w:val="28"/>
          <w:szCs w:val="28"/>
          <w:lang w:eastAsia="zh-CN"/>
        </w:rPr>
      </w:pPr>
      <w:r>
        <w:rPr>
          <w:rFonts w:hint="eastAsia" w:ascii="方正楷体简体" w:hAnsi="方正楷体简体" w:eastAsia="方正楷体简体" w:cs="方正楷体简体"/>
          <w:sz w:val="28"/>
          <w:szCs w:val="28"/>
          <w:lang w:eastAsia="zh-CN"/>
        </w:rPr>
        <w:t>（一）</w:t>
      </w:r>
      <w:r>
        <w:rPr>
          <w:rFonts w:hint="eastAsia" w:ascii="方正楷体简体" w:hAnsi="方正楷体简体" w:eastAsia="方正楷体简体" w:cs="方正楷体简体"/>
          <w:sz w:val="28"/>
          <w:szCs w:val="28"/>
          <w:lang w:val="en-US" w:eastAsia="zh-CN"/>
        </w:rPr>
        <w:t>任务</w:t>
      </w:r>
      <w:r>
        <w:rPr>
          <w:rFonts w:hint="eastAsia" w:ascii="方正楷体简体" w:hAnsi="方正楷体简体" w:eastAsia="方正楷体简体" w:cs="方正楷体简体"/>
          <w:sz w:val="28"/>
          <w:szCs w:val="28"/>
          <w:lang w:eastAsia="zh-CN"/>
        </w:rPr>
        <w:t>来源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2023年5月，济宁市市场监督管理局发布《关于下达&lt;政德教育培训服务规范&gt;等19项济宁市地方标准计划项目的通知》批准了《建设工程规划批后管理服务规范》的立项。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《建设工程规划批后管理服务规范》编制工作是由济宁市城市管理局依据建设工程批后管理服务实践工作提出、归口并组织实施。本规范以济宁市城市管理综合执法支队、济宁市勘测院为主要起草单位。</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jc w:val="both"/>
        <w:textAlignment w:val="auto"/>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（二）主要起草人及承担工作见下表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5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起草人</w:t>
            </w:r>
          </w:p>
        </w:tc>
        <w:tc>
          <w:tcPr>
            <w:tcW w:w="576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陈  忠</w:t>
            </w:r>
          </w:p>
        </w:tc>
        <w:tc>
          <w:tcPr>
            <w:tcW w:w="5763"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负责主持标准起草工作。包括对人员的调配、对标准编制质量和进度的总体监控和项目方案的拟定和成果核验。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kern w:val="2"/>
                <w:sz w:val="28"/>
                <w:szCs w:val="28"/>
                <w:vertAlign w:val="baseline"/>
                <w:lang w:val="en-US" w:eastAsia="zh-CN" w:bidi="ar-SA"/>
              </w:rPr>
              <w:t>张中喜</w:t>
            </w:r>
          </w:p>
        </w:tc>
        <w:tc>
          <w:tcPr>
            <w:tcW w:w="5763"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sz w:val="28"/>
                <w:szCs w:val="28"/>
                <w:vertAlign w:val="baseline"/>
                <w:lang w:val="en-US" w:eastAsia="zh-CN"/>
              </w:rPr>
              <w:t>颜  文</w:t>
            </w:r>
          </w:p>
        </w:tc>
        <w:tc>
          <w:tcPr>
            <w:tcW w:w="5763"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sz w:val="28"/>
                <w:szCs w:val="28"/>
                <w:vertAlign w:val="baseline"/>
                <w:lang w:val="en-US" w:eastAsia="zh-CN"/>
              </w:rPr>
              <w:t>王  峰</w:t>
            </w:r>
          </w:p>
        </w:tc>
        <w:tc>
          <w:tcPr>
            <w:tcW w:w="5763"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方正仿宋简体" w:hAnsi="方正仿宋简体" w:eastAsia="方正仿宋简体" w:cs="方正仿宋简体"/>
                <w:sz w:val="28"/>
                <w:szCs w:val="28"/>
                <w:vertAlign w:val="baseline"/>
                <w:lang w:val="en-US" w:eastAsia="zh-CN"/>
              </w:rPr>
            </w:pPr>
            <w:r>
              <w:rPr>
                <w:rFonts w:hint="eastAsia" w:ascii="宋体" w:hAnsi="宋体" w:eastAsia="宋体" w:cs="宋体"/>
                <w:sz w:val="28"/>
                <w:szCs w:val="28"/>
                <w:vertAlign w:val="baseline"/>
                <w:lang w:val="en-US" w:eastAsia="zh-CN"/>
              </w:rPr>
              <w:t>负责主要起草工作。参与项目前期调研、组织标准编制研讨，参与关键过程的实施、阶段性成果审核、完成项目各阶段联络和协调等工作安排。负责对标准文本、标准相关材料进行编写、整体内容审核、格式审查及修改工作，同时负责标准征求意见及报批材料的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sz w:val="28"/>
                <w:szCs w:val="28"/>
                <w:vertAlign w:val="baseline"/>
                <w:lang w:val="en-US" w:eastAsia="zh-CN"/>
              </w:rPr>
              <w:t>赖传印</w:t>
            </w:r>
          </w:p>
        </w:tc>
        <w:tc>
          <w:tcPr>
            <w:tcW w:w="5763" w:type="dxa"/>
            <w:vMerge w:val="continue"/>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sz w:val="28"/>
                <w:szCs w:val="28"/>
                <w:vertAlign w:val="baseline"/>
                <w:lang w:val="en-US" w:eastAsia="zh-CN"/>
              </w:rPr>
              <w:t>张  波</w:t>
            </w:r>
          </w:p>
        </w:tc>
        <w:tc>
          <w:tcPr>
            <w:tcW w:w="5763" w:type="dxa"/>
            <w:vMerge w:val="continue"/>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方正仿宋简体" w:hAnsi="方正仿宋简体" w:eastAsia="方正仿宋简体" w:cs="方正仿宋简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kern w:val="2"/>
                <w:sz w:val="28"/>
                <w:szCs w:val="28"/>
                <w:vertAlign w:val="baseline"/>
                <w:lang w:val="en-US" w:eastAsia="zh-CN" w:bidi="ar-SA"/>
              </w:rPr>
              <w:t>张正芳</w:t>
            </w:r>
          </w:p>
        </w:tc>
        <w:tc>
          <w:tcPr>
            <w:tcW w:w="5763" w:type="dxa"/>
            <w:vMerge w:val="continue"/>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kern w:val="2"/>
                <w:sz w:val="28"/>
                <w:szCs w:val="28"/>
                <w:vertAlign w:val="baseline"/>
                <w:lang w:val="en-US" w:eastAsia="zh-CN" w:bidi="ar-SA"/>
              </w:rPr>
              <w:t>耿际源</w:t>
            </w:r>
          </w:p>
        </w:tc>
        <w:tc>
          <w:tcPr>
            <w:tcW w:w="5763" w:type="dxa"/>
            <w:vMerge w:val="continue"/>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kern w:val="2"/>
                <w:sz w:val="28"/>
                <w:szCs w:val="28"/>
                <w:vertAlign w:val="baseline"/>
                <w:lang w:val="en-US" w:eastAsia="zh-CN" w:bidi="ar-SA"/>
              </w:rPr>
              <w:t>谢  腾</w:t>
            </w:r>
          </w:p>
        </w:tc>
        <w:tc>
          <w:tcPr>
            <w:tcW w:w="5763"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仿宋简体" w:hAnsi="方正仿宋简体" w:eastAsia="方正仿宋简体" w:cs="方正仿宋简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kern w:val="2"/>
                <w:sz w:val="28"/>
                <w:szCs w:val="28"/>
                <w:vertAlign w:val="baseline"/>
                <w:lang w:val="en-US" w:eastAsia="zh-CN" w:bidi="ar-SA"/>
              </w:rPr>
              <w:t>郭宗阁</w:t>
            </w:r>
          </w:p>
        </w:tc>
        <w:tc>
          <w:tcPr>
            <w:tcW w:w="5763"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仿宋简体" w:hAnsi="方正仿宋简体" w:eastAsia="方正仿宋简体" w:cs="方正仿宋简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kern w:val="2"/>
                <w:sz w:val="28"/>
                <w:szCs w:val="28"/>
                <w:vertAlign w:val="baseline"/>
                <w:lang w:val="en-US" w:eastAsia="zh-CN" w:bidi="ar-SA"/>
              </w:rPr>
            </w:pPr>
            <w:r>
              <w:rPr>
                <w:rFonts w:hint="eastAsia" w:ascii="宋体" w:hAnsi="宋体" w:eastAsia="宋体" w:cs="宋体"/>
                <w:kern w:val="2"/>
                <w:sz w:val="28"/>
                <w:szCs w:val="28"/>
                <w:vertAlign w:val="baseline"/>
                <w:lang w:val="en-US" w:eastAsia="zh-CN" w:bidi="ar-SA"/>
              </w:rPr>
              <w:t>乔  蒙</w:t>
            </w:r>
          </w:p>
        </w:tc>
        <w:tc>
          <w:tcPr>
            <w:tcW w:w="5763"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仿宋简体" w:hAnsi="方正仿宋简体" w:eastAsia="方正仿宋简体" w:cs="方正仿宋简体"/>
                <w:sz w:val="28"/>
                <w:szCs w:val="28"/>
                <w:vertAlign w:val="baseline"/>
                <w:lang w:val="en-US" w:eastAsia="zh-CN"/>
              </w:rPr>
            </w:pPr>
          </w:p>
        </w:tc>
      </w:tr>
    </w:tbl>
    <w:p>
      <w:pPr>
        <w:keepNext w:val="0"/>
        <w:keepLines w:val="0"/>
        <w:pageBreakBefore w:val="0"/>
        <w:widowControl w:val="0"/>
        <w:numPr>
          <w:ilvl w:val="0"/>
          <w:numId w:val="2"/>
        </w:numPr>
        <w:kinsoku/>
        <w:wordWrap/>
        <w:overflowPunct/>
        <w:topLinePunct w:val="0"/>
        <w:autoSpaceDE/>
        <w:autoSpaceDN/>
        <w:bidi w:val="0"/>
        <w:adjustRightInd/>
        <w:snapToGrid/>
        <w:spacing w:line="560" w:lineRule="exact"/>
        <w:jc w:val="both"/>
        <w:textAlignment w:val="auto"/>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起草过程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宋体" w:hAnsi="宋体" w:eastAsia="宋体" w:cs="宋体"/>
          <w:sz w:val="28"/>
          <w:szCs w:val="28"/>
          <w:vertAlign w:val="baseline"/>
          <w:lang w:val="en-US" w:eastAsia="zh-CN"/>
        </w:rPr>
        <w:t>1.成立起草工作组，进行调研。2023年5月，本规范获批立项后，济宁市城市管理综合执法支队、济宁市勘测院立即组建标准起草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组，明确组内各成员的职责、任务和分工；同步收集资料，广泛开展了预研工作。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2.形成标准初稿。在收集资料并广泛调研的基础上，对调研情况进行汇总分析，确定标准制定的主要内容，形成了本规范的初稿。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征求意见稿阶段。2023年5月-2023年11月，组织标准化领域、建筑领域、规划批后管理领域多位专家学者召开现场研讨和初稿的线上研讨，并按照线上线下专家提出的建设性指导意见进行修订完善，形成征求意见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4.征求意见及送审稿阶段。2023年11月，规范起草组将征求意见稿发送各相关部门，广泛征求意见，促使本规范在编写格式上日趋规范，在核心内容方面日臻完善，形成送审稿。具体意见征求及回复情况：</w:t>
      </w:r>
      <w:r>
        <w:rPr>
          <w:rFonts w:hint="eastAsia" w:ascii="宋体" w:hAnsi="宋体" w:eastAsia="宋体" w:cs="宋体"/>
          <w:sz w:val="28"/>
          <w:szCs w:val="28"/>
          <w:shd w:val="clear" w:color="auto" w:fill="FFFFFF"/>
        </w:rPr>
        <w:t>发送“地方标准草案征求意见稿”</w:t>
      </w:r>
      <w:r>
        <w:rPr>
          <w:rFonts w:hint="eastAsia" w:ascii="宋体" w:hAnsi="宋体" w:eastAsia="宋体" w:cs="宋体"/>
          <w:sz w:val="28"/>
          <w:szCs w:val="28"/>
        </w:rPr>
        <w:t>的单位或专家</w:t>
      </w:r>
      <w:r>
        <w:rPr>
          <w:rFonts w:hint="eastAsia" w:ascii="宋体" w:hAnsi="宋体" w:eastAsia="宋体" w:cs="宋体"/>
          <w:sz w:val="28"/>
          <w:szCs w:val="28"/>
          <w:lang w:val="en-US" w:eastAsia="zh-CN"/>
        </w:rPr>
        <w:t>30</w:t>
      </w:r>
      <w:r>
        <w:rPr>
          <w:rFonts w:hint="eastAsia" w:ascii="宋体" w:hAnsi="宋体" w:eastAsia="宋体" w:cs="宋体"/>
          <w:sz w:val="28"/>
          <w:szCs w:val="28"/>
        </w:rPr>
        <w:t>个</w:t>
      </w:r>
      <w:r>
        <w:rPr>
          <w:rFonts w:hint="eastAsia" w:ascii="宋体" w:hAnsi="宋体" w:eastAsia="宋体" w:cs="宋体"/>
          <w:sz w:val="28"/>
          <w:szCs w:val="28"/>
          <w:lang w:eastAsia="zh-CN"/>
        </w:rPr>
        <w:t>，</w:t>
      </w:r>
      <w:r>
        <w:rPr>
          <w:rFonts w:hint="eastAsia" w:ascii="宋体" w:hAnsi="宋体" w:eastAsia="宋体" w:cs="宋体"/>
          <w:sz w:val="28"/>
          <w:szCs w:val="28"/>
          <w:shd w:val="clear" w:color="auto" w:fill="FFFFFF"/>
        </w:rPr>
        <w:t>收到“地方标准草案征求意见稿”后，回函的单位或专家</w:t>
      </w:r>
      <w:r>
        <w:rPr>
          <w:rFonts w:hint="eastAsia" w:ascii="宋体" w:hAnsi="宋体" w:eastAsia="宋体" w:cs="宋体"/>
          <w:sz w:val="28"/>
          <w:szCs w:val="28"/>
          <w:shd w:val="clear" w:color="auto" w:fill="FFFFFF"/>
          <w:lang w:val="en-US" w:eastAsia="zh-CN"/>
        </w:rPr>
        <w:t>26</w:t>
      </w:r>
      <w:r>
        <w:rPr>
          <w:rFonts w:hint="eastAsia" w:ascii="宋体" w:hAnsi="宋体" w:eastAsia="宋体" w:cs="宋体"/>
          <w:sz w:val="28"/>
          <w:szCs w:val="28"/>
          <w:shd w:val="clear" w:color="auto" w:fill="FFFFFF"/>
        </w:rPr>
        <w:t xml:space="preserve"> 个</w:t>
      </w:r>
      <w:r>
        <w:rPr>
          <w:rFonts w:hint="eastAsia" w:ascii="宋体" w:hAnsi="宋体" w:eastAsia="宋体" w:cs="宋体"/>
          <w:sz w:val="28"/>
          <w:szCs w:val="28"/>
          <w:shd w:val="clear" w:color="auto" w:fill="FFFFFF"/>
          <w:lang w:eastAsia="zh-CN"/>
        </w:rPr>
        <w:t>，</w:t>
      </w:r>
      <w:r>
        <w:rPr>
          <w:rFonts w:hint="eastAsia" w:ascii="宋体" w:hAnsi="宋体" w:eastAsia="宋体" w:cs="宋体"/>
          <w:sz w:val="28"/>
          <w:szCs w:val="28"/>
          <w:shd w:val="clear" w:color="auto" w:fill="FFFFFF"/>
        </w:rPr>
        <w:t>收到“地方标准草案征求意见稿”后，回函并有建议或意见的单位或专家</w:t>
      </w:r>
      <w:r>
        <w:rPr>
          <w:rFonts w:hint="eastAsia" w:ascii="宋体" w:hAnsi="宋体" w:eastAsia="宋体" w:cs="宋体"/>
          <w:sz w:val="28"/>
          <w:szCs w:val="28"/>
          <w:shd w:val="clear" w:color="auto" w:fill="FFFFFF"/>
          <w:lang w:val="en-US" w:eastAsia="zh-CN"/>
        </w:rPr>
        <w:t>1</w:t>
      </w:r>
      <w:r>
        <w:rPr>
          <w:rFonts w:hint="eastAsia" w:ascii="宋体" w:hAnsi="宋体" w:eastAsia="宋体" w:cs="宋体"/>
          <w:sz w:val="28"/>
          <w:szCs w:val="28"/>
          <w:shd w:val="clear" w:color="auto" w:fill="FFFFFF"/>
        </w:rPr>
        <w:t>个</w:t>
      </w:r>
      <w:r>
        <w:rPr>
          <w:rFonts w:hint="eastAsia" w:ascii="宋体" w:hAnsi="宋体" w:eastAsia="宋体" w:cs="宋体"/>
          <w:sz w:val="28"/>
          <w:szCs w:val="28"/>
          <w:shd w:val="clear" w:color="auto" w:fill="FFFFFF"/>
          <w:lang w:eastAsia="zh-CN"/>
        </w:rPr>
        <w:t>，</w:t>
      </w:r>
      <w:r>
        <w:rPr>
          <w:rFonts w:hint="eastAsia" w:ascii="宋体" w:hAnsi="宋体" w:eastAsia="宋体" w:cs="宋体"/>
          <w:sz w:val="28"/>
          <w:szCs w:val="28"/>
          <w:shd w:val="clear" w:color="auto" w:fill="FFFFFF"/>
        </w:rPr>
        <w:t>没有回函的单位或专家</w:t>
      </w:r>
      <w:r>
        <w:rPr>
          <w:rFonts w:hint="eastAsia" w:ascii="宋体" w:hAnsi="宋体" w:eastAsia="宋体" w:cs="宋体"/>
          <w:sz w:val="28"/>
          <w:szCs w:val="28"/>
          <w:shd w:val="clear" w:color="auto" w:fill="FFFFFF"/>
          <w:lang w:val="en-US" w:eastAsia="zh-CN"/>
        </w:rPr>
        <w:t>4</w:t>
      </w:r>
      <w:r>
        <w:rPr>
          <w:rFonts w:hint="eastAsia" w:ascii="宋体" w:hAnsi="宋体" w:eastAsia="宋体" w:cs="宋体"/>
          <w:sz w:val="28"/>
          <w:szCs w:val="28"/>
          <w:shd w:val="clear" w:color="auto" w:fill="FFFFFF"/>
        </w:rPr>
        <w:t>个</w:t>
      </w:r>
      <w:r>
        <w:rPr>
          <w:rFonts w:hint="eastAsia" w:ascii="宋体" w:hAnsi="宋体" w:eastAsia="宋体" w:cs="宋体"/>
          <w:sz w:val="28"/>
          <w:szCs w:val="28"/>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color w:val="FF0000"/>
          <w:sz w:val="28"/>
          <w:szCs w:val="28"/>
          <w:vertAlign w:val="baseline"/>
          <w:lang w:val="en-US" w:eastAsia="zh-CN"/>
        </w:rPr>
      </w:pPr>
      <w:r>
        <w:rPr>
          <w:rFonts w:hint="eastAsia" w:ascii="黑体" w:hAnsi="黑体" w:eastAsia="黑体" w:cs="黑体"/>
          <w:sz w:val="28"/>
          <w:szCs w:val="28"/>
          <w:lang w:val="en-US" w:eastAsia="zh-CN"/>
        </w:rPr>
        <w:t>5.</w:t>
      </w:r>
      <w:r>
        <w:rPr>
          <w:rFonts w:hint="eastAsia" w:ascii="宋体" w:hAnsi="宋体" w:eastAsia="宋体" w:cs="宋体"/>
          <w:sz w:val="28"/>
          <w:szCs w:val="28"/>
          <w:vertAlign w:val="baseline"/>
          <w:lang w:val="en-US" w:eastAsia="zh-CN"/>
        </w:rPr>
        <w:t>组织专家审查会并形成报批稿。</w:t>
      </w:r>
      <w:r>
        <w:rPr>
          <w:rFonts w:hint="default" w:ascii="宋体" w:hAnsi="宋体" w:eastAsia="宋体" w:cs="宋体"/>
          <w:sz w:val="28"/>
          <w:szCs w:val="28"/>
          <w:vertAlign w:val="baseline"/>
          <w:lang w:val="en-US" w:eastAsia="zh-CN"/>
        </w:rPr>
        <w:t>2024年7月12日，济宁市城市管理局在</w:t>
      </w:r>
      <w:r>
        <w:rPr>
          <w:rFonts w:hint="eastAsia" w:ascii="宋体" w:hAnsi="宋体" w:eastAsia="宋体" w:cs="宋体"/>
          <w:sz w:val="28"/>
          <w:szCs w:val="28"/>
          <w:vertAlign w:val="baseline"/>
          <w:lang w:val="en-US" w:eastAsia="zh-CN"/>
        </w:rPr>
        <w:t>济宁组织召开了济宁市地方标准《建设工程规划批后管理服务规范》专家审查会议</w:t>
      </w:r>
      <w:r>
        <w:rPr>
          <w:rFonts w:hint="default" w:ascii="宋体" w:hAnsi="宋体" w:eastAsia="宋体" w:cs="宋体"/>
          <w:sz w:val="28"/>
          <w:szCs w:val="28"/>
          <w:vertAlign w:val="baseline"/>
          <w:lang w:val="en-US" w:eastAsia="zh-CN"/>
        </w:rPr>
        <w:t>，</w:t>
      </w:r>
      <w:r>
        <w:rPr>
          <w:rFonts w:hint="eastAsia" w:ascii="宋体" w:hAnsi="宋体" w:eastAsia="宋体" w:cs="宋体"/>
          <w:sz w:val="28"/>
          <w:szCs w:val="28"/>
          <w:vertAlign w:val="baseline"/>
          <w:lang w:val="en-US" w:eastAsia="zh-CN"/>
        </w:rPr>
        <w:t>济宁市市场监督管理局对审查会议进行监督指导。9名专家组成的审查委员会听取了标准编制情况汇报，对标准文本进行了逐章、逐条审查，对标准编制说明等进行了审查。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28"/>
          <w:szCs w:val="28"/>
          <w:lang w:eastAsia="zh-CN"/>
        </w:rPr>
      </w:pPr>
      <w:r>
        <w:rPr>
          <w:rFonts w:hint="eastAsia" w:ascii="黑体" w:hAnsi="黑体" w:eastAsia="黑体" w:cs="黑体"/>
          <w:sz w:val="28"/>
          <w:szCs w:val="28"/>
          <w:lang w:val="en-US" w:eastAsia="zh-CN"/>
        </w:rPr>
        <w:t>二、编制</w:t>
      </w:r>
      <w:r>
        <w:rPr>
          <w:rFonts w:hint="eastAsia" w:ascii="黑体" w:hAnsi="黑体" w:eastAsia="黑体" w:cs="黑体"/>
          <w:sz w:val="28"/>
          <w:szCs w:val="28"/>
          <w:lang w:eastAsia="zh-CN"/>
        </w:rPr>
        <w:t>目的及意义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建设工程批后管理服务是城市建设过程中实施阶段的管理服务，是城市规划管理的重要组成部分，是城市规划落实的关键环节。由于缺乏关于建设工程规划批后管理服务领域的规范性指导文件，部分建设单位（个人）对规划批后管理工作知之甚少，对服务流程、节点控制及具体职责内容不清楚，导致思想上对规划批后管理工作重视不够，以致不同程度影响了城市空间布局和正常的城市建设秩序，阻碍城市的可持续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color w:val="0000FF"/>
          <w:sz w:val="28"/>
          <w:szCs w:val="28"/>
          <w:vertAlign w:val="baseline"/>
          <w:lang w:val="en-US" w:eastAsia="zh-CN"/>
        </w:rPr>
      </w:pPr>
      <w:r>
        <w:rPr>
          <w:rFonts w:hint="eastAsia" w:ascii="宋体" w:hAnsi="宋体" w:eastAsia="宋体" w:cs="宋体"/>
          <w:sz w:val="28"/>
          <w:szCs w:val="28"/>
          <w:vertAlign w:val="baseline"/>
          <w:lang w:val="en-US" w:eastAsia="zh-CN"/>
        </w:rPr>
        <w:t>为加强和规范建设工程批后管理服务，明确管理服务内容、流程和要求，保障公众对服务流程、内容的知情权，做好执法监察环节的监督工作，同时，确保各类建设工程按照规划审批文件要求和批准的建设工程设计方案及规划条件进行建设，有必要制定《建</w:t>
      </w:r>
      <w:r>
        <w:rPr>
          <w:rFonts w:hint="eastAsia" w:ascii="宋体" w:hAnsi="宋体" w:eastAsia="宋体" w:cs="宋体"/>
          <w:sz w:val="28"/>
          <w:szCs w:val="28"/>
          <w:lang w:val="en-US" w:eastAsia="zh-CN"/>
        </w:rPr>
        <w:t>设工程规划批后管理服务规范》，覆盖建设工程自开工验线到规划竣工核实的全过程管理服务要点及注意事项，进一步提升建设工程规划批后管理服务水平，填补该领域市级地方规范的空白。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三、编制原则、主要技术内容和确定依据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80" w:firstLineChars="100"/>
        <w:jc w:val="both"/>
        <w:textAlignment w:val="auto"/>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（一）编制原则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本规范在制定过程中遵循以下编制原则：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1.合规性原则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与本规范密切有关的法律法规有《中华人民共和国城乡规划法》《中华人民共和国城市房地产管理法》《山东省城乡规划条例》《济宁市城乡规划管理技术规定》《济宁市市区国有建设用地批后监督管理办法》等，在起草本规范时，起草工作组严格遵守法律法规的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在格式上，本规范严格按照GB/T 1.1-2020《标准化工作导则 第1部分：标准化文件的结构和起草规则》和GB/T 20000《标准化工作指南》等国家标准的有关规定起草。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2.通用性原则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本规范在充分调研的基础上，结合我市建设工程批后管理服务的实际情况，确保各项条款符合我市的实际现状和现实需求，以保证本标准内容的普适性和通用性。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3.操作性原则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规范依据科学合理、具体可行的原则，给出规范化要求，内容明确、要求具体，易于操作和考核，使其具有较强的实用性。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4.协调性原则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宋体" w:hAnsi="宋体" w:eastAsia="宋体" w:cs="宋体"/>
          <w:sz w:val="28"/>
          <w:szCs w:val="28"/>
          <w:vertAlign w:val="baseline"/>
          <w:lang w:val="en-US" w:eastAsia="zh-CN"/>
        </w:rPr>
      </w:pPr>
      <w:r>
        <w:rPr>
          <w:rFonts w:hint="default" w:ascii="宋体" w:hAnsi="宋体" w:eastAsia="宋体" w:cs="宋体"/>
          <w:sz w:val="28"/>
          <w:szCs w:val="28"/>
          <w:vertAlign w:val="baseline"/>
          <w:lang w:val="en-US" w:eastAsia="zh-CN"/>
        </w:rPr>
        <w:t>在</w:t>
      </w:r>
      <w:r>
        <w:rPr>
          <w:rFonts w:hint="eastAsia" w:ascii="宋体" w:hAnsi="宋体" w:eastAsia="宋体" w:cs="宋体"/>
          <w:sz w:val="28"/>
          <w:szCs w:val="28"/>
          <w:vertAlign w:val="baseline"/>
          <w:lang w:val="en-US" w:eastAsia="zh-CN"/>
        </w:rPr>
        <w:t>规范</w:t>
      </w:r>
      <w:r>
        <w:rPr>
          <w:rFonts w:hint="default" w:ascii="宋体" w:hAnsi="宋体" w:eastAsia="宋体" w:cs="宋体"/>
          <w:sz w:val="28"/>
          <w:szCs w:val="28"/>
          <w:vertAlign w:val="baseline"/>
          <w:lang w:val="en-US" w:eastAsia="zh-CN"/>
        </w:rPr>
        <w:t>编写过程中，我们始终遵循协调性原则，详细研究建设工程批后管理领域内相关的标准、规范，并确保在内容上与其保持协调一致。</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280" w:firstLineChars="100"/>
        <w:jc w:val="both"/>
        <w:textAlignment w:val="auto"/>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lang w:val="en-US" w:eastAsia="zh-CN"/>
        </w:rPr>
        <w:t>规范主要技术内容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《建设工程规划批后管理服务规范》除前言部分外，共分7部分：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第1章：范围。简要说明本文件编写内容与</w:t>
      </w:r>
      <w:r>
        <w:rPr>
          <w:rFonts w:hint="eastAsia" w:ascii="宋体" w:hAnsi="宋体" w:eastAsia="宋体" w:cs="宋体"/>
          <w:sz w:val="28"/>
          <w:szCs w:val="28"/>
          <w:lang w:val="en-US" w:eastAsia="zh-CN"/>
        </w:rPr>
        <w:t>区域</w:t>
      </w:r>
      <w:r>
        <w:rPr>
          <w:rFonts w:hint="default" w:ascii="宋体" w:hAnsi="宋体" w:eastAsia="宋体" w:cs="宋体"/>
          <w:sz w:val="28"/>
          <w:szCs w:val="28"/>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第2章：规范性引用文件。</w:t>
      </w:r>
      <w:sdt>
        <w:sdtPr>
          <w:rPr>
            <w:rFonts w:hint="eastAsia"/>
          </w:rPr>
          <w:id w:val="715848253"/>
          <w:placeholder>
            <w:docPart w:val="{c5ee35f6-0102-4c9c-a47d-7a39a32a1e4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宋体" w:eastAsia="宋体" w:cs="宋体"/>
            <w:sz w:val="28"/>
            <w:szCs w:val="28"/>
            <w:lang w:val="en-US" w:eastAsia="zh-CN"/>
          </w:rPr>
        </w:sdtEndPr>
        <w:sdtContent>
          <w:r>
            <w:rPr>
              <w:rFonts w:hint="eastAsia" w:ascii="宋体" w:hAnsi="宋体" w:eastAsia="宋体" w:cs="宋体"/>
              <w:sz w:val="28"/>
              <w:szCs w:val="28"/>
              <w:lang w:val="en-US" w:eastAsia="zh-CN"/>
            </w:rPr>
            <w:t>本文件没有规范性引用文件。</w:t>
          </w:r>
        </w:sdtContent>
      </w:sdt>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第</w:t>
      </w:r>
      <w:r>
        <w:rPr>
          <w:rFonts w:hint="eastAsia" w:ascii="宋体" w:hAnsi="宋体" w:eastAsia="宋体" w:cs="宋体"/>
          <w:sz w:val="28"/>
          <w:szCs w:val="28"/>
          <w:lang w:val="en-US" w:eastAsia="zh-CN"/>
        </w:rPr>
        <w:t>3</w:t>
      </w:r>
      <w:r>
        <w:rPr>
          <w:rFonts w:hint="default" w:ascii="宋体" w:hAnsi="宋体" w:eastAsia="宋体" w:cs="宋体"/>
          <w:sz w:val="28"/>
          <w:szCs w:val="28"/>
          <w:lang w:val="en-US" w:eastAsia="zh-CN"/>
        </w:rPr>
        <w:t>章：术语和定义。本文件中的主要术语参考实际工作流程及内容、行业标准</w:t>
      </w:r>
      <w:r>
        <w:rPr>
          <w:rFonts w:hint="eastAsia" w:ascii="宋体" w:hAnsi="宋体" w:eastAsia="宋体" w:cs="宋体"/>
          <w:sz w:val="28"/>
          <w:szCs w:val="28"/>
          <w:lang w:val="en-US" w:eastAsia="zh-CN"/>
        </w:rPr>
        <w:t>确定</w:t>
      </w:r>
      <w:r>
        <w:rPr>
          <w:rFonts w:hint="default" w:ascii="宋体" w:hAnsi="宋体" w:eastAsia="宋体" w:cs="宋体"/>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第</w:t>
      </w:r>
      <w:r>
        <w:rPr>
          <w:rFonts w:hint="eastAsia" w:ascii="宋体" w:hAnsi="宋体" w:eastAsia="宋体" w:cs="宋体"/>
          <w:sz w:val="28"/>
          <w:szCs w:val="28"/>
          <w:lang w:val="en-US" w:eastAsia="zh-CN"/>
        </w:rPr>
        <w:t>4</w:t>
      </w:r>
      <w:r>
        <w:rPr>
          <w:rFonts w:hint="default" w:ascii="宋体" w:hAnsi="宋体" w:eastAsia="宋体" w:cs="宋体"/>
          <w:sz w:val="28"/>
          <w:szCs w:val="28"/>
          <w:lang w:val="en-US" w:eastAsia="zh-CN"/>
        </w:rPr>
        <w:t>章：一般要求。以</w:t>
      </w:r>
      <w:r>
        <w:rPr>
          <w:rFonts w:hint="eastAsia" w:ascii="宋体" w:hAnsi="宋体" w:eastAsia="宋体" w:cs="宋体"/>
          <w:sz w:val="28"/>
          <w:szCs w:val="28"/>
          <w:lang w:val="en-US" w:eastAsia="zh-CN"/>
        </w:rPr>
        <w:t>建设工程规划批后管理服务</w:t>
      </w:r>
      <w:r>
        <w:rPr>
          <w:rFonts w:hint="default" w:ascii="宋体" w:hAnsi="宋体" w:eastAsia="宋体" w:cs="宋体"/>
          <w:sz w:val="28"/>
          <w:szCs w:val="28"/>
          <w:lang w:val="en-US" w:eastAsia="zh-CN"/>
        </w:rPr>
        <w:t>日常工作的实际出发，</w:t>
      </w:r>
      <w:r>
        <w:rPr>
          <w:rFonts w:hint="eastAsia" w:ascii="宋体" w:hAnsi="宋体" w:eastAsia="宋体" w:cs="宋体"/>
          <w:sz w:val="28"/>
          <w:szCs w:val="28"/>
          <w:lang w:val="en-US" w:eastAsia="zh-CN"/>
        </w:rPr>
        <w:t>在实施节点、实施内容等制定</w:t>
      </w:r>
      <w:r>
        <w:rPr>
          <w:rFonts w:hint="default" w:ascii="宋体" w:hAnsi="宋体" w:eastAsia="宋体" w:cs="宋体"/>
          <w:sz w:val="28"/>
          <w:szCs w:val="28"/>
          <w:lang w:val="en-US" w:eastAsia="zh-CN"/>
        </w:rPr>
        <w:t>了通用的基本</w:t>
      </w:r>
      <w:r>
        <w:rPr>
          <w:rFonts w:hint="eastAsia" w:ascii="宋体" w:hAnsi="宋体" w:eastAsia="宋体" w:cs="宋体"/>
          <w:sz w:val="28"/>
          <w:szCs w:val="28"/>
          <w:lang w:val="en-US" w:eastAsia="zh-CN"/>
        </w:rPr>
        <w:t>规范</w:t>
      </w:r>
      <w:r>
        <w:rPr>
          <w:rFonts w:hint="default" w:ascii="宋体" w:hAnsi="宋体" w:eastAsia="宋体" w:cs="宋体"/>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第</w:t>
      </w:r>
      <w:r>
        <w:rPr>
          <w:rFonts w:hint="eastAsia" w:ascii="宋体" w:hAnsi="宋体" w:eastAsia="宋体" w:cs="宋体"/>
          <w:sz w:val="28"/>
          <w:szCs w:val="28"/>
          <w:lang w:val="en-US" w:eastAsia="zh-CN"/>
        </w:rPr>
        <w:t>5</w:t>
      </w:r>
      <w:r>
        <w:rPr>
          <w:rFonts w:hint="default" w:ascii="宋体" w:hAnsi="宋体" w:eastAsia="宋体" w:cs="宋体"/>
          <w:sz w:val="28"/>
          <w:szCs w:val="28"/>
          <w:lang w:val="en-US" w:eastAsia="zh-CN"/>
        </w:rPr>
        <w:t>章：</w:t>
      </w:r>
      <w:r>
        <w:rPr>
          <w:rFonts w:hint="eastAsia" w:ascii="宋体" w:hAnsi="宋体" w:eastAsia="宋体" w:cs="宋体"/>
          <w:sz w:val="28"/>
          <w:szCs w:val="28"/>
          <w:lang w:val="en-US" w:eastAsia="zh-CN"/>
        </w:rPr>
        <w:t>管理服务人员配置</w:t>
      </w:r>
      <w:r>
        <w:rPr>
          <w:rFonts w:hint="default" w:ascii="宋体" w:hAnsi="宋体" w:eastAsia="宋体" w:cs="宋体"/>
          <w:sz w:val="28"/>
          <w:szCs w:val="28"/>
          <w:lang w:val="en-US" w:eastAsia="zh-CN"/>
        </w:rPr>
        <w:t>要求。根据有关上级规定</w:t>
      </w:r>
      <w:r>
        <w:rPr>
          <w:rFonts w:hint="eastAsia" w:ascii="宋体" w:hAnsi="宋体" w:eastAsia="宋体" w:cs="宋体"/>
          <w:sz w:val="28"/>
          <w:szCs w:val="28"/>
          <w:lang w:val="en-US" w:eastAsia="zh-CN"/>
        </w:rPr>
        <w:t>对规划监察执法人员</w:t>
      </w:r>
      <w:r>
        <w:rPr>
          <w:rFonts w:hint="default" w:ascii="宋体" w:hAnsi="宋体" w:eastAsia="宋体" w:cs="宋体"/>
          <w:sz w:val="28"/>
          <w:szCs w:val="28"/>
          <w:lang w:val="en-US" w:eastAsia="zh-CN"/>
        </w:rPr>
        <w:t>的装备配备</w:t>
      </w:r>
      <w:r>
        <w:rPr>
          <w:rFonts w:hint="eastAsia" w:ascii="宋体" w:hAnsi="宋体" w:eastAsia="宋体" w:cs="宋体"/>
          <w:sz w:val="28"/>
          <w:szCs w:val="28"/>
          <w:lang w:val="en-US" w:eastAsia="zh-CN"/>
        </w:rPr>
        <w:t>及</w:t>
      </w:r>
      <w:r>
        <w:rPr>
          <w:rFonts w:hint="default" w:ascii="宋体" w:hAnsi="宋体" w:eastAsia="宋体" w:cs="宋体"/>
          <w:sz w:val="28"/>
          <w:szCs w:val="28"/>
          <w:lang w:val="en-US" w:eastAsia="zh-CN"/>
        </w:rPr>
        <w:t>着装要求进行了规范。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第</w:t>
      </w:r>
      <w:r>
        <w:rPr>
          <w:rFonts w:hint="eastAsia" w:ascii="宋体" w:hAnsi="宋体" w:eastAsia="宋体" w:cs="宋体"/>
          <w:sz w:val="28"/>
          <w:szCs w:val="28"/>
          <w:lang w:val="en-US" w:eastAsia="zh-CN"/>
        </w:rPr>
        <w:t>6</w:t>
      </w:r>
      <w:r>
        <w:rPr>
          <w:rFonts w:hint="default" w:ascii="宋体" w:hAnsi="宋体" w:eastAsia="宋体" w:cs="宋体"/>
          <w:sz w:val="28"/>
          <w:szCs w:val="28"/>
          <w:lang w:val="en-US" w:eastAsia="zh-CN"/>
        </w:rPr>
        <w:t>章：工作流程。进一步明确了</w:t>
      </w:r>
      <w:r>
        <w:rPr>
          <w:rFonts w:hint="eastAsia" w:ascii="宋体" w:hAnsi="宋体" w:eastAsia="宋体" w:cs="宋体"/>
          <w:sz w:val="28"/>
          <w:szCs w:val="28"/>
          <w:lang w:val="en-US" w:eastAsia="zh-CN"/>
        </w:rPr>
        <w:t>城乡规划、城市管理部门在规划批后</w:t>
      </w:r>
      <w:r>
        <w:rPr>
          <w:rFonts w:hint="default" w:ascii="宋体" w:hAnsi="宋体" w:eastAsia="宋体" w:cs="宋体"/>
          <w:sz w:val="28"/>
          <w:szCs w:val="28"/>
          <w:lang w:val="en-US" w:eastAsia="zh-CN"/>
        </w:rPr>
        <w:t>管理</w:t>
      </w:r>
      <w:r>
        <w:rPr>
          <w:rFonts w:hint="eastAsia" w:ascii="宋体" w:hAnsi="宋体" w:eastAsia="宋体" w:cs="宋体"/>
          <w:sz w:val="28"/>
          <w:szCs w:val="28"/>
          <w:lang w:val="en-US" w:eastAsia="zh-CN"/>
        </w:rPr>
        <w:t>服务</w:t>
      </w:r>
      <w:r>
        <w:rPr>
          <w:rFonts w:hint="default" w:ascii="宋体" w:hAnsi="宋体" w:eastAsia="宋体" w:cs="宋体"/>
          <w:sz w:val="28"/>
          <w:szCs w:val="28"/>
          <w:lang w:val="en-US" w:eastAsia="zh-CN"/>
        </w:rPr>
        <w:t>工作中的</w:t>
      </w:r>
      <w:r>
        <w:rPr>
          <w:rFonts w:hint="eastAsia" w:ascii="宋体" w:hAnsi="宋体" w:eastAsia="宋体" w:cs="宋体"/>
          <w:sz w:val="28"/>
          <w:szCs w:val="28"/>
          <w:lang w:val="en-US" w:eastAsia="zh-CN"/>
        </w:rPr>
        <w:t>具体流程、</w:t>
      </w:r>
      <w:r>
        <w:rPr>
          <w:rFonts w:hint="default" w:ascii="宋体" w:hAnsi="宋体" w:eastAsia="宋体" w:cs="宋体"/>
          <w:sz w:val="28"/>
          <w:szCs w:val="28"/>
          <w:lang w:val="en-US" w:eastAsia="zh-CN"/>
        </w:rPr>
        <w:t>职责及工作内容。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第</w:t>
      </w:r>
      <w:r>
        <w:rPr>
          <w:rFonts w:hint="eastAsia" w:ascii="宋体" w:hAnsi="宋体" w:eastAsia="宋体" w:cs="宋体"/>
          <w:sz w:val="28"/>
          <w:szCs w:val="28"/>
          <w:lang w:val="en-US" w:eastAsia="zh-CN"/>
        </w:rPr>
        <w:t>7</w:t>
      </w:r>
      <w:r>
        <w:rPr>
          <w:rFonts w:hint="default" w:ascii="宋体" w:hAnsi="宋体" w:eastAsia="宋体" w:cs="宋体"/>
          <w:sz w:val="28"/>
          <w:szCs w:val="28"/>
          <w:lang w:val="en-US" w:eastAsia="zh-CN"/>
        </w:rPr>
        <w:t>章：</w:t>
      </w:r>
      <w:r>
        <w:rPr>
          <w:rFonts w:hint="eastAsia" w:ascii="宋体" w:hAnsi="宋体" w:eastAsia="宋体" w:cs="宋体"/>
          <w:sz w:val="28"/>
          <w:szCs w:val="28"/>
          <w:lang w:val="en-US" w:eastAsia="zh-CN"/>
        </w:rPr>
        <w:t>保障</w:t>
      </w:r>
      <w:r>
        <w:rPr>
          <w:rFonts w:hint="default" w:ascii="宋体" w:hAnsi="宋体" w:eastAsia="宋体" w:cs="宋体"/>
          <w:sz w:val="28"/>
          <w:szCs w:val="28"/>
          <w:lang w:val="en-US" w:eastAsia="zh-CN"/>
        </w:rPr>
        <w:t>措施。对</w:t>
      </w:r>
      <w:r>
        <w:rPr>
          <w:rFonts w:hint="eastAsia" w:ascii="宋体" w:hAnsi="宋体" w:eastAsia="宋体" w:cs="宋体"/>
          <w:sz w:val="28"/>
          <w:szCs w:val="28"/>
          <w:lang w:val="en-US" w:eastAsia="zh-CN"/>
        </w:rPr>
        <w:t>建设工程规划批后</w:t>
      </w:r>
      <w:r>
        <w:rPr>
          <w:rFonts w:hint="default" w:ascii="宋体" w:hAnsi="宋体" w:eastAsia="宋体" w:cs="宋体"/>
          <w:sz w:val="28"/>
          <w:szCs w:val="28"/>
          <w:lang w:val="en-US" w:eastAsia="zh-CN"/>
        </w:rPr>
        <w:t>管理</w:t>
      </w:r>
      <w:r>
        <w:rPr>
          <w:rFonts w:hint="eastAsia" w:ascii="宋体" w:hAnsi="宋体" w:eastAsia="宋体" w:cs="宋体"/>
          <w:sz w:val="28"/>
          <w:szCs w:val="28"/>
          <w:lang w:val="en-US" w:eastAsia="zh-CN"/>
        </w:rPr>
        <w:t>服务</w:t>
      </w:r>
      <w:r>
        <w:rPr>
          <w:rFonts w:hint="default" w:ascii="宋体" w:hAnsi="宋体" w:eastAsia="宋体" w:cs="宋体"/>
          <w:sz w:val="28"/>
          <w:szCs w:val="28"/>
          <w:lang w:val="en-US" w:eastAsia="zh-CN"/>
        </w:rPr>
        <w:t>工作中涉及到的</w:t>
      </w:r>
      <w:r>
        <w:rPr>
          <w:rFonts w:hint="eastAsia" w:ascii="宋体" w:hAnsi="宋体" w:eastAsia="宋体" w:cs="宋体"/>
          <w:sz w:val="28"/>
          <w:szCs w:val="28"/>
          <w:lang w:val="en-US" w:eastAsia="zh-CN"/>
        </w:rPr>
        <w:t>便利</w:t>
      </w:r>
      <w:r>
        <w:rPr>
          <w:rFonts w:hint="default" w:ascii="宋体" w:hAnsi="宋体" w:eastAsia="宋体" w:cs="宋体"/>
          <w:sz w:val="28"/>
          <w:szCs w:val="28"/>
          <w:lang w:val="en-US" w:eastAsia="zh-CN"/>
        </w:rPr>
        <w:t>措施</w:t>
      </w:r>
      <w:r>
        <w:rPr>
          <w:rFonts w:hint="eastAsia" w:ascii="宋体" w:hAnsi="宋体" w:eastAsia="宋体" w:cs="宋体"/>
          <w:sz w:val="28"/>
          <w:szCs w:val="28"/>
          <w:lang w:val="en-US" w:eastAsia="zh-CN"/>
        </w:rPr>
        <w:t>做出</w:t>
      </w:r>
      <w:r>
        <w:rPr>
          <w:rFonts w:hint="default" w:ascii="宋体" w:hAnsi="宋体" w:eastAsia="宋体" w:cs="宋体"/>
          <w:sz w:val="28"/>
          <w:szCs w:val="28"/>
          <w:lang w:val="en-US" w:eastAsia="zh-CN"/>
        </w:rPr>
        <w:t>了规定。</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280" w:firstLineChars="100"/>
        <w:jc w:val="both"/>
        <w:textAlignment w:val="auto"/>
        <w:rPr>
          <w:rFonts w:hint="default" w:ascii="宋体" w:hAnsi="宋体" w:eastAsia="宋体" w:cs="宋体"/>
          <w:sz w:val="28"/>
          <w:szCs w:val="28"/>
          <w:vertAlign w:val="baseline"/>
          <w:lang w:val="en-US" w:eastAsia="zh-CN"/>
        </w:rPr>
      </w:pPr>
      <w:r>
        <w:rPr>
          <w:rFonts w:hint="eastAsia" w:ascii="方正楷体简体" w:hAnsi="方正楷体简体" w:eastAsia="方正楷体简体" w:cs="方正楷体简体"/>
          <w:sz w:val="28"/>
          <w:szCs w:val="28"/>
          <w:lang w:val="en-US" w:eastAsia="zh-CN"/>
        </w:rPr>
        <w:t>确定本规范主要内容的依据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依据《中华人民共和国城乡规划法》《中华人民共和国城市房地产管理法》《山东省城乡规划条例》《济宁市城乡规划管理技术规定》《济宁市市区国有建设用地批后监督管理办法》等法律法规的规定和济宁市建设工程规划批后管理服务实际工作经验，确定了本规范主要内容。</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与现行相关法律、行政法规和其他标准的关系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宋体" w:hAnsi="宋体" w:eastAsia="宋体" w:cs="宋体"/>
          <w:sz w:val="28"/>
          <w:szCs w:val="28"/>
          <w:vertAlign w:val="baseline"/>
          <w:lang w:val="en-US" w:eastAsia="zh-CN"/>
        </w:rPr>
      </w:pPr>
      <w:r>
        <w:rPr>
          <w:rFonts w:hint="eastAsia" w:ascii="黑体" w:hAnsi="黑体" w:eastAsia="黑体" w:cs="黑体"/>
          <w:sz w:val="28"/>
          <w:szCs w:val="28"/>
          <w:lang w:val="en-US" w:eastAsia="zh-CN"/>
        </w:rPr>
        <w:t xml:space="preserve">    </w:t>
      </w:r>
      <w:r>
        <w:rPr>
          <w:rFonts w:hint="eastAsia" w:ascii="宋体" w:hAnsi="宋体" w:eastAsia="宋体" w:cs="宋体"/>
          <w:sz w:val="28"/>
          <w:szCs w:val="28"/>
          <w:vertAlign w:val="baseline"/>
          <w:lang w:val="en-US" w:eastAsia="zh-CN"/>
        </w:rPr>
        <w:t>本规范符合《中华人民共和国城乡规划法》《山东省城乡规划条例》等相关法律法规要求，并依据济宁市规划批后管理服务工作实际，作出具体细化规定。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五、重大意见分歧的处理依据及结果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本规范在制定过程中无产生重大分歧意见。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六、对该规范自发布日期至实施日期之间过渡期建议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rPr>
          <w:rFonts w:hint="default" w:ascii="宋体" w:hAnsi="宋体" w:eastAsia="宋体" w:cs="宋体"/>
          <w:sz w:val="28"/>
          <w:szCs w:val="28"/>
          <w:vertAlign w:val="baseline"/>
          <w:lang w:val="en-US" w:eastAsia="zh-CN"/>
        </w:rPr>
      </w:pPr>
      <w:r>
        <w:rPr>
          <w:rFonts w:hint="eastAsia" w:ascii="黑体" w:hAnsi="黑体" w:eastAsia="黑体" w:cs="黑体"/>
          <w:sz w:val="28"/>
          <w:szCs w:val="28"/>
          <w:lang w:val="en-US" w:eastAsia="zh-CN"/>
        </w:rPr>
        <w:t xml:space="preserve">    </w:t>
      </w:r>
      <w:r>
        <w:rPr>
          <w:rFonts w:hint="eastAsia" w:ascii="宋体" w:hAnsi="宋体" w:eastAsia="宋体" w:cs="宋体"/>
          <w:sz w:val="28"/>
          <w:szCs w:val="28"/>
          <w:vertAlign w:val="baseline"/>
          <w:lang w:val="en-US" w:eastAsia="zh-CN"/>
        </w:rPr>
        <w:t>建议过渡期限为30日。过渡期内，建设工程规划批后管理服务工作按照国家有关规定执行。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七、其它需要说明的情况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jc w:val="both"/>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eastAsia="宋体" w:cs="宋体"/>
          <w:sz w:val="28"/>
          <w:szCs w:val="28"/>
          <w:vertAlign w:val="baseline"/>
          <w:lang w:val="en-US" w:eastAsia="zh-CN"/>
        </w:rPr>
      </w:pP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jc w:val="right"/>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济宁市城市管理局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jc w:val="right"/>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2024年8月5</w:t>
      </w:r>
      <w:bookmarkStart w:id="0" w:name="_GoBack"/>
      <w:bookmarkEnd w:id="0"/>
      <w:r>
        <w:rPr>
          <w:rFonts w:hint="eastAsia" w:ascii="宋体" w:hAnsi="宋体" w:eastAsia="宋体" w:cs="宋体"/>
          <w:sz w:val="28"/>
          <w:szCs w:val="28"/>
          <w:vertAlign w:val="baseline"/>
          <w:lang w:val="en-US" w:eastAsia="zh-CN"/>
        </w:rPr>
        <w:t>日</w:t>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方正楷体简体">
    <w:panose1 w:val="02000000000000000000"/>
    <w:charset w:val="86"/>
    <w:family w:val="auto"/>
    <w:pitch w:val="default"/>
    <w:sig w:usb0="A00002BF" w:usb1="184F6CFA" w:usb2="00000012" w:usb3="00000000" w:csb0="00040001"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29F144"/>
    <w:multiLevelType w:val="singleLevel"/>
    <w:tmpl w:val="CB29F144"/>
    <w:lvl w:ilvl="0" w:tentative="0">
      <w:start w:val="3"/>
      <w:numFmt w:val="chineseCounting"/>
      <w:suff w:val="nothing"/>
      <w:lvlText w:val="（%1）"/>
      <w:lvlJc w:val="left"/>
      <w:rPr>
        <w:rFonts w:hint="eastAsia"/>
      </w:rPr>
    </w:lvl>
  </w:abstractNum>
  <w:abstractNum w:abstractNumId="1">
    <w:nsid w:val="0BAAFD40"/>
    <w:multiLevelType w:val="singleLevel"/>
    <w:tmpl w:val="0BAAFD40"/>
    <w:lvl w:ilvl="0" w:tentative="0">
      <w:start w:val="1"/>
      <w:numFmt w:val="chineseCounting"/>
      <w:suff w:val="nothing"/>
      <w:lvlText w:val="%1、"/>
      <w:lvlJc w:val="left"/>
      <w:rPr>
        <w:rFonts w:hint="eastAsia"/>
      </w:rPr>
    </w:lvl>
  </w:abstractNum>
  <w:abstractNum w:abstractNumId="2">
    <w:nsid w:val="19121272"/>
    <w:multiLevelType w:val="singleLevel"/>
    <w:tmpl w:val="19121272"/>
    <w:lvl w:ilvl="0" w:tentative="0">
      <w:start w:val="4"/>
      <w:numFmt w:val="chineseCounting"/>
      <w:suff w:val="nothing"/>
      <w:lvlText w:val="%1、"/>
      <w:lvlJc w:val="left"/>
      <w:rPr>
        <w:rFonts w:hint="eastAsia"/>
      </w:rPr>
    </w:lvl>
  </w:abstractNum>
  <w:abstractNum w:abstractNumId="3">
    <w:nsid w:val="2BD91892"/>
    <w:multiLevelType w:val="singleLevel"/>
    <w:tmpl w:val="2BD91892"/>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NzM3NmUxNjcyY2FjZmNkZDVlMGE4M2MzMjdhZTUifQ=="/>
    <w:docVar w:name="KSO_WPS_MARK_KEY" w:val="7dcdd9c2-9866-4182-8f98-ba5a12a669c0"/>
  </w:docVars>
  <w:rsids>
    <w:rsidRoot w:val="00000000"/>
    <w:rsid w:val="03FE6732"/>
    <w:rsid w:val="040C52A9"/>
    <w:rsid w:val="08017C1A"/>
    <w:rsid w:val="095542E8"/>
    <w:rsid w:val="0A096537"/>
    <w:rsid w:val="0B600FB7"/>
    <w:rsid w:val="0F0B0F3A"/>
    <w:rsid w:val="10472EC0"/>
    <w:rsid w:val="11DA59A9"/>
    <w:rsid w:val="190C0A80"/>
    <w:rsid w:val="20515D3B"/>
    <w:rsid w:val="23005CF2"/>
    <w:rsid w:val="29AC7D4C"/>
    <w:rsid w:val="2BFB5B90"/>
    <w:rsid w:val="2D3742AD"/>
    <w:rsid w:val="2D76575B"/>
    <w:rsid w:val="31E673E3"/>
    <w:rsid w:val="375D76BF"/>
    <w:rsid w:val="417D5D54"/>
    <w:rsid w:val="45236DFE"/>
    <w:rsid w:val="466563AC"/>
    <w:rsid w:val="478552E3"/>
    <w:rsid w:val="48B176E3"/>
    <w:rsid w:val="49307B50"/>
    <w:rsid w:val="4D2E1B5F"/>
    <w:rsid w:val="4EAE3978"/>
    <w:rsid w:val="4EF334C2"/>
    <w:rsid w:val="50093D5E"/>
    <w:rsid w:val="54C52BFF"/>
    <w:rsid w:val="5578370E"/>
    <w:rsid w:val="60903764"/>
    <w:rsid w:val="637B1AF3"/>
    <w:rsid w:val="63ED20C2"/>
    <w:rsid w:val="6586356E"/>
    <w:rsid w:val="66377521"/>
    <w:rsid w:val="68382E89"/>
    <w:rsid w:val="6A8446E4"/>
    <w:rsid w:val="6E7028A7"/>
    <w:rsid w:val="7ACF3BB7"/>
    <w:rsid w:val="7CF44998"/>
    <w:rsid w:val="7E641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line="570" w:lineRule="exact"/>
      <w:ind w:firstLine="562"/>
      <w:outlineLvl w:val="1"/>
    </w:pPr>
    <w:rPr>
      <w:rFonts w:ascii="楷体_GB2312" w:hAnsi="楷体_GB2312" w:eastAsia="楷体_GB2312"/>
      <w:sz w:val="32"/>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5ee35f6-0102-4c9c-a47d-7a39a32a1e47}"/>
        <w:style w:val=""/>
        <w:category>
          <w:name w:val="常规"/>
          <w:gallery w:val="placeholder"/>
        </w:category>
        <w:types>
          <w:type w:val="bbPlcHdr"/>
        </w:types>
        <w:behaviors>
          <w:behavior w:val="content"/>
        </w:behaviors>
        <w:description w:val=""/>
        <w:guid w:val="{c5ee35f6-0102-4c9c-a47d-7a39a32a1e47}"/>
      </w:docPartPr>
      <w:docPartBody>
        <w:p>
          <w:pPr>
            <w:pStyle w:val="2"/>
          </w:pPr>
          <w:r>
            <w:rPr>
              <w:rStyle w:val="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DCEE669C2D854F4486F88DD1866CE9F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styleId="3">
    <w:name w:val="Placeholder Text"/>
    <w:basedOn w:val="1"/>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4672</Words>
  <Characters>4846</Characters>
  <Lines>0</Lines>
  <Paragraphs>0</Paragraphs>
  <TotalTime>12</TotalTime>
  <ScaleCrop>false</ScaleCrop>
  <LinksUpToDate>false</LinksUpToDate>
  <CharactersWithSpaces>4881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2023-12-01T03:13:00Z</dcterms:created>
  <dc:creator>Administrator</dc:creator>
  <cp:lastModifiedBy>Administrator</cp:lastModifiedBy>
  <cp:lastPrinted>2023-12-06T01:32:00Z</cp:lastPrinted>
  <dcterms:modified xsi:type="dcterms:W3CDTF">2024-08-05T01:19:10Z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1AD1366A5FE944D3A966EEBD4431EB6D</vt:lpwstr>
  </property>
</Properties>
</file>