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93.140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P 67</w:t>
            </w:r>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234"/>
              <w:framePr w:w="0" w:hRule="auto" w:hSpace="0" w:vSpace="0" w:wrap="auto" w:vAnchor="margin" w:hAnchor="text" w:xAlign="left" w:yAlign="inline"/>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9"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1" w:name="c1"/>
            <w:r>
              <w:instrText xml:space="preserve"> FORMTEXT </w:instrText>
            </w:r>
            <w:r>
              <w:fldChar w:fldCharType="separate"/>
            </w:r>
            <w:r>
              <w:t>3708</w:t>
            </w:r>
            <w:r>
              <w:fldChar w:fldCharType="end"/>
            </w:r>
            <w:bookmarkEnd w:id="1"/>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济宁市</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pPr>
        <w:pStyle w:val="195"/>
        <w:framePr/>
        <w:rPr>
          <w:lang w:val="fr-FR"/>
        </w:rPr>
      </w:pPr>
      <w:r>
        <w:rPr>
          <w:lang w:val="fr-FR"/>
        </w:rPr>
        <w:t>DB</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t>3708</w:t>
      </w:r>
      <w:r>
        <w:rPr>
          <w:lang w:val="fr-FR"/>
        </w:rPr>
        <w:t>/T</w:t>
      </w:r>
      <w:r>
        <w:fldChar w:fldCharType="end"/>
      </w:r>
      <w:bookmarkEnd w:id="3"/>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pPr>
        <w:pStyle w:val="196"/>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rPr>
          <w:rFonts w:hint="eastAsia"/>
        </w:rPr>
        <w:t>旅游客运船舶渡口设施设备配备指南</w:t>
      </w:r>
    </w:p>
    <w:p>
      <w:pPr>
        <w:framePr w:w="9639" w:h="6974" w:hRule="exact" w:wrap="around" w:vAnchor="page" w:hAnchor="page" w:x="1419" w:y="6408" w:anchorLock="1"/>
        <w:ind w:left="-1418"/>
      </w:pPr>
    </w:p>
    <w:p>
      <w:pPr>
        <w:pStyle w:val="126"/>
        <w:framePr w:w="9639" w:h="6974" w:hRule="exact" w:wrap="around" w:vAnchor="page" w:hAnchor="page" w:x="1419" w:y="6408" w:anchorLock="1"/>
        <w:ind w:firstLine="420"/>
        <w:rPr>
          <w:rFonts w:ascii="黑体" w:hAnsi="黑体" w:eastAsia="黑体" w:cs="黑体"/>
          <w:color w:val="000000"/>
        </w:rPr>
      </w:pPr>
      <w:r>
        <w:rPr>
          <w:rFonts w:hint="eastAsia" w:ascii="黑体" w:hAnsi="黑体" w:eastAsia="黑体" w:cs="黑体"/>
          <w:color w:val="000000"/>
        </w:rPr>
        <w:t>（征求意见稿）</w:t>
      </w:r>
    </w:p>
    <w:p>
      <w:pPr>
        <w:pStyle w:val="193"/>
        <w:framePr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rPr>
          <w:rFonts w:ascii="黑体"/>
        </w:rPr>
        <w:t>-</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ascii="黑体"/>
        </w:rPr>
        <w:t>-</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rPr>
          <w:rFonts w:ascii="黑体"/>
        </w:rPr>
        <w:t>-</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13" w:name="fm"/>
      <w:r>
        <w:rPr>
          <w:rFonts w:hAnsi="黑体"/>
          <w:w w:val="100"/>
          <w:sz w:val="28"/>
        </w:rPr>
        <w:instrText xml:space="preserve"> FORMTEXT </w:instrText>
      </w:r>
      <w:r>
        <w:rPr>
          <w:rFonts w:hAnsi="黑体"/>
          <w:w w:val="100"/>
          <w:sz w:val="28"/>
        </w:rPr>
        <w:fldChar w:fldCharType="separate"/>
      </w:r>
      <w:r>
        <w:rPr>
          <w:rFonts w:hint="eastAsia" w:hAnsi="黑体"/>
          <w:w w:val="100"/>
          <w:sz w:val="28"/>
        </w:rPr>
        <w:t>济宁市市场监督管理局</w:t>
      </w:r>
      <w:r>
        <w:rPr>
          <w:rFonts w:hAnsi="黑体"/>
          <w:w w:val="100"/>
          <w:sz w:val="28"/>
        </w:rPr>
        <w:fldChar w:fldCharType="end"/>
      </w:r>
      <w:bookmarkEnd w:id="13"/>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1028" o:spid="_x0000_s1028"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pPr>
        <w:pStyle w:val="91"/>
        <w:spacing w:after="360"/>
      </w:pPr>
      <w:bookmarkStart w:id="14" w:name="BookMark1"/>
      <w:bookmarkStart w:id="15" w:name="_Toc155966008"/>
      <w:r>
        <w:rPr>
          <w:rFonts w:hint="eastAsia"/>
          <w:spacing w:val="320"/>
        </w:rPr>
        <w:t>目</w:t>
      </w:r>
      <w:r>
        <w:rPr>
          <w:rFonts w:hint="eastAsia"/>
        </w:rPr>
        <w:t>次</w:t>
      </w:r>
    </w:p>
    <w:p>
      <w:pPr>
        <w:pStyle w:val="19"/>
      </w:pPr>
    </w:p>
    <w:p>
      <w:pPr>
        <w:pStyle w:val="19"/>
        <w:rPr>
          <w:rFonts w:asciiTheme="minorHAnsi" w:hAnsiTheme="minorHAnsi" w:eastAsiaTheme="minorEastAsia" w:cstheme="minorBidi"/>
          <w:szCs w:val="22"/>
        </w:rPr>
      </w:pPr>
      <w:r>
        <w:fldChar w:fldCharType="begin"/>
      </w:r>
      <w:r>
        <w:instrText xml:space="preserve"> TOC \o "1-2" \h \z \u </w:instrText>
      </w:r>
      <w:r>
        <w:fldChar w:fldCharType="separate"/>
      </w:r>
      <w:r>
        <w:fldChar w:fldCharType="begin"/>
      </w:r>
      <w:r>
        <w:instrText xml:space="preserve"> HYPERLINK \l "_Toc161929369" </w:instrText>
      </w:r>
      <w:r>
        <w:fldChar w:fldCharType="separate"/>
      </w:r>
      <w:r>
        <w:rPr>
          <w:rStyle w:val="32"/>
          <w:rFonts w:hint="eastAsia"/>
        </w:rPr>
        <w:t>前言</w:t>
      </w:r>
      <w:r>
        <w:tab/>
      </w:r>
      <w:r>
        <w:fldChar w:fldCharType="begin"/>
      </w:r>
      <w:r>
        <w:instrText xml:space="preserve"> PAGEREF _Toc161929369 \h </w:instrText>
      </w:r>
      <w:r>
        <w:fldChar w:fldCharType="separate"/>
      </w:r>
      <w:r>
        <w:t>II</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"_Toc161929370" </w:instrText>
      </w:r>
      <w:r>
        <w:fldChar w:fldCharType="separate"/>
      </w:r>
      <w:r>
        <w:rPr>
          <w:rStyle w:val="32"/>
        </w:rPr>
        <w:t>1</w:t>
      </w:r>
      <w:r>
        <w:rPr>
          <w:rStyle w:val="32"/>
          <w:rFonts w:hint="eastAsia"/>
        </w:rPr>
        <w:t xml:space="preserve"> 总则</w:t>
      </w:r>
      <w:r>
        <w:tab/>
      </w:r>
      <w:r>
        <w:fldChar w:fldCharType="begin"/>
      </w:r>
      <w:r>
        <w:instrText xml:space="preserve"> PAGEREF _Toc161929370 \h </w:instrText>
      </w:r>
      <w:r>
        <w:fldChar w:fldCharType="separate"/>
      </w:r>
      <w:r>
        <w:t>1</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"_Toc161929371" </w:instrText>
      </w:r>
      <w:r>
        <w:fldChar w:fldCharType="separate"/>
      </w:r>
      <w:r>
        <w:rPr>
          <w:rStyle w:val="32"/>
        </w:rPr>
        <w:t>2</w:t>
      </w:r>
      <w:r>
        <w:rPr>
          <w:rStyle w:val="32"/>
          <w:rFonts w:hint="eastAsia"/>
        </w:rPr>
        <w:t xml:space="preserve"> 规适用范围</w:t>
      </w:r>
      <w:r>
        <w:tab/>
      </w:r>
      <w:r>
        <w:fldChar w:fldCharType="begin"/>
      </w:r>
      <w:r>
        <w:instrText xml:space="preserve"> PAGEREF _Toc161929371 \h </w:instrText>
      </w:r>
      <w:r>
        <w:fldChar w:fldCharType="separate"/>
      </w:r>
      <w:r>
        <w:t>1</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"_Toc161929372" </w:instrText>
      </w:r>
      <w:r>
        <w:fldChar w:fldCharType="separate"/>
      </w:r>
      <w:r>
        <w:rPr>
          <w:rStyle w:val="32"/>
        </w:rPr>
        <w:t>3</w:t>
      </w:r>
      <w:r>
        <w:rPr>
          <w:rStyle w:val="32"/>
          <w:rFonts w:hint="eastAsia"/>
        </w:rPr>
        <w:t xml:space="preserve"> 规范性引用文件</w:t>
      </w:r>
      <w:r>
        <w:tab/>
      </w:r>
      <w:r>
        <w:fldChar w:fldCharType="begin"/>
      </w:r>
      <w:r>
        <w:instrText xml:space="preserve"> PAGEREF _Toc161929372 \h </w:instrText>
      </w:r>
      <w:r>
        <w:fldChar w:fldCharType="separate"/>
      </w:r>
      <w:r>
        <w:t>1</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"_Toc161929373" </w:instrText>
      </w:r>
      <w:r>
        <w:fldChar w:fldCharType="separate"/>
      </w:r>
      <w:r>
        <w:rPr>
          <w:rStyle w:val="32"/>
        </w:rPr>
        <w:t>4</w:t>
      </w:r>
      <w:r>
        <w:rPr>
          <w:rStyle w:val="32"/>
          <w:rFonts w:hint="eastAsia"/>
        </w:rPr>
        <w:t xml:space="preserve"> 术语和定义</w:t>
      </w:r>
      <w:r>
        <w:tab/>
      </w:r>
      <w:r>
        <w:fldChar w:fldCharType="begin"/>
      </w:r>
      <w:r>
        <w:instrText xml:space="preserve"> PAGEREF _Toc161929373 \h </w:instrText>
      </w:r>
      <w:r>
        <w:fldChar w:fldCharType="separate"/>
      </w:r>
      <w:r>
        <w:t>1</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"_Toc161929375" </w:instrText>
      </w:r>
      <w:r>
        <w:fldChar w:fldCharType="separate"/>
      </w:r>
      <w:r>
        <w:rPr>
          <w:rStyle w:val="32"/>
        </w:rPr>
        <w:t>5</w:t>
      </w:r>
      <w:r>
        <w:rPr>
          <w:rStyle w:val="32"/>
          <w:rFonts w:hint="eastAsia"/>
        </w:rPr>
        <w:t xml:space="preserve"> 停靠旅游客运船舶舶渡口的要求</w:t>
      </w:r>
      <w:r>
        <w:tab/>
      </w:r>
      <w:r>
        <w:fldChar w:fldCharType="begin"/>
      </w:r>
      <w:r>
        <w:instrText xml:space="preserve"> PAGEREF _Toc161929375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"_Toc161929376" </w:instrText>
      </w:r>
      <w:r>
        <w:fldChar w:fldCharType="separate"/>
      </w:r>
      <w:r>
        <w:rPr>
          <w:rStyle w:val="32"/>
        </w:rPr>
        <w:t>5.1</w:t>
      </w:r>
      <w:r>
        <w:rPr>
          <w:rStyle w:val="32"/>
          <w:rFonts w:hint="eastAsia"/>
        </w:rPr>
        <w:t xml:space="preserve"> 基本规定</w:t>
      </w:r>
      <w:r>
        <w:tab/>
      </w:r>
      <w:r>
        <w:fldChar w:fldCharType="begin"/>
      </w:r>
      <w:r>
        <w:instrText xml:space="preserve"> PAGEREF _Toc161929376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"_Toc161929377" </w:instrText>
      </w:r>
      <w:r>
        <w:fldChar w:fldCharType="separate"/>
      </w:r>
      <w:r>
        <w:rPr>
          <w:rStyle w:val="32"/>
        </w:rPr>
        <w:t>5.2</w:t>
      </w:r>
      <w:r>
        <w:rPr>
          <w:rStyle w:val="32"/>
          <w:rFonts w:hint="eastAsia"/>
        </w:rPr>
        <w:t xml:space="preserve"> 停靠旅游客运船舶舶渡口的相关要求</w:t>
      </w:r>
      <w:r>
        <w:tab/>
      </w:r>
      <w:r>
        <w:fldChar w:fldCharType="begin"/>
      </w:r>
      <w:r>
        <w:instrText xml:space="preserve"> PAGEREF _Toc161929377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"_Toc161929378" </w:instrText>
      </w:r>
      <w:r>
        <w:fldChar w:fldCharType="separate"/>
      </w:r>
      <w:r>
        <w:rPr>
          <w:rStyle w:val="32"/>
        </w:rPr>
        <w:t>5.3</w:t>
      </w:r>
      <w:r>
        <w:rPr>
          <w:rStyle w:val="32"/>
          <w:rFonts w:hint="eastAsia"/>
        </w:rPr>
        <w:t xml:space="preserve"> 码头结构</w:t>
      </w:r>
      <w:r>
        <w:tab/>
      </w:r>
      <w:r>
        <w:fldChar w:fldCharType="begin"/>
      </w:r>
      <w:r>
        <w:instrText xml:space="preserve"> PAGEREF _Toc161929378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"_Toc161929379" </w:instrText>
      </w:r>
      <w:r>
        <w:fldChar w:fldCharType="separate"/>
      </w:r>
      <w:r>
        <w:rPr>
          <w:rStyle w:val="32"/>
        </w:rPr>
        <w:t>5.4</w:t>
      </w:r>
      <w:r>
        <w:rPr>
          <w:rStyle w:val="32"/>
          <w:rFonts w:hint="eastAsia"/>
        </w:rPr>
        <w:t xml:space="preserve"> 附属设施</w:t>
      </w:r>
      <w:r>
        <w:tab/>
      </w:r>
      <w:r>
        <w:fldChar w:fldCharType="begin"/>
      </w:r>
      <w:r>
        <w:instrText xml:space="preserve"> PAGEREF _Toc161929379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"_Toc161929380" </w:instrText>
      </w:r>
      <w:r>
        <w:fldChar w:fldCharType="separate"/>
      </w:r>
      <w:r>
        <w:rPr>
          <w:rStyle w:val="32"/>
        </w:rPr>
        <w:t>5.5</w:t>
      </w:r>
      <w:r>
        <w:rPr>
          <w:rStyle w:val="32"/>
          <w:rFonts w:hint="eastAsia"/>
        </w:rPr>
        <w:t xml:space="preserve"> 配套设施</w:t>
      </w:r>
      <w:r>
        <w:tab/>
      </w:r>
      <w:r>
        <w:fldChar w:fldCharType="begin"/>
      </w:r>
      <w:r>
        <w:instrText xml:space="preserve"> PAGEREF _Toc161929380 \h </w:instrText>
      </w:r>
      <w:r>
        <w:fldChar w:fldCharType="separate"/>
      </w:r>
      <w:r>
        <w:t>3</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"_Toc161929381" </w:instrText>
      </w:r>
      <w:r>
        <w:fldChar w:fldCharType="separate"/>
      </w:r>
      <w:r>
        <w:rPr>
          <w:rStyle w:val="32"/>
        </w:rPr>
        <w:t>6</w:t>
      </w:r>
      <w:r>
        <w:rPr>
          <w:rStyle w:val="32"/>
          <w:rFonts w:hint="eastAsia"/>
        </w:rPr>
        <w:t xml:space="preserve"> 其他</w:t>
      </w:r>
      <w:r>
        <w:tab/>
      </w:r>
      <w:r>
        <w:fldChar w:fldCharType="begin"/>
      </w:r>
      <w:r>
        <w:instrText xml:space="preserve"> PAGEREF _Toc161929381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p>
    <w:p>
      <w:pPr>
        <w:pStyle w:val="91"/>
        <w:spacing w:before="0" w:afterLines="0" w:line="400" w:lineRule="exact"/>
        <w:jc w:val="both"/>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720" w:num="1"/>
          <w:formProt w:val="0"/>
        </w:sectPr>
      </w:pPr>
      <w:r>
        <w:rPr>
          <w:rFonts w:ascii="宋体" w:eastAsia="宋体"/>
          <w:sz w:val="21"/>
        </w:rPr>
        <w:fldChar w:fldCharType="end"/>
      </w:r>
    </w:p>
    <w:bookmarkEnd w:id="14"/>
    <w:p>
      <w:pPr>
        <w:pStyle w:val="89"/>
        <w:spacing w:after="360"/>
      </w:pPr>
      <w:bookmarkStart w:id="16" w:name="_Toc161929369"/>
      <w:bookmarkStart w:id="17" w:name="BookMark2"/>
      <w:r>
        <w:rPr>
          <w:spacing w:val="320"/>
        </w:rPr>
        <w:t>前</w:t>
      </w:r>
      <w:r>
        <w:t>言</w:t>
      </w:r>
      <w:bookmarkEnd w:id="15"/>
      <w:bookmarkEnd w:id="16"/>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本文件由济宁市交通运输局提出、归口并组织实施。</w:t>
      </w:r>
    </w:p>
    <w:p>
      <w:pPr>
        <w:pStyle w:val="56"/>
        <w:ind w:firstLine="420"/>
      </w:pPr>
      <w:r>
        <w:rPr>
          <w:rFonts w:hint="eastAsia"/>
        </w:rPr>
        <w:t>本文件起草单位：济宁市交通运输局、济宁市港航事业发展中心、济宁运河水运规划设计院有限公司。</w:t>
      </w:r>
    </w:p>
    <w:p>
      <w:pPr>
        <w:pStyle w:val="56"/>
        <w:ind w:firstLine="420"/>
      </w:pPr>
      <w:r>
        <w:rPr>
          <w:rFonts w:hint="eastAsia"/>
        </w:rPr>
        <w:t>本文件主要起草人：陈永刚、付林、贾兴本、李肖、黄勇、刘骁、刁瑞红、刘茹。</w:t>
      </w:r>
    </w:p>
    <w:p>
      <w:pPr>
        <w:pStyle w:val="56"/>
        <w:ind w:firstLine="420"/>
        <w:sectPr>
          <w:pgSz w:w="11906" w:h="16838"/>
          <w:pgMar w:top="1928" w:right="1134" w:bottom="1134" w:left="1134" w:header="1418" w:footer="1134" w:gutter="284"/>
          <w:pgNumType w:fmt="upperRoman"/>
          <w:cols w:space="720" w:num="1"/>
          <w:formProt w:val="0"/>
        </w:sectPr>
      </w:pPr>
    </w:p>
    <w:bookmarkEnd w:id="17"/>
    <w:p>
      <w:pPr>
        <w:spacing w:line="20" w:lineRule="exact"/>
        <w:jc w:val="center"/>
        <w:rPr>
          <w:rFonts w:ascii="黑体" w:hAnsi="黑体" w:eastAsia="黑体"/>
          <w:sz w:val="32"/>
          <w:szCs w:val="32"/>
        </w:rPr>
      </w:pPr>
      <w:bookmarkStart w:id="18" w:name="BookMark4"/>
    </w:p>
    <w:p>
      <w:pPr>
        <w:spacing w:line="20" w:lineRule="exact"/>
        <w:jc w:val="center"/>
        <w:rPr>
          <w:rFonts w:ascii="黑体" w:hAnsi="黑体" w:eastAsia="黑体"/>
          <w:sz w:val="32"/>
          <w:szCs w:val="32"/>
        </w:rPr>
      </w:pPr>
    </w:p>
    <w:sdt>
      <w:sdtPr>
        <w:tag w:val="NEW_STAND_NAME"/>
        <w:id w:val="595910757"/>
        <w:lock w:val="sdtLocked"/>
        <w:placeholder>
          <w:docPart w:val="AFD8DB34D658468DB1F477CF22DCB355"/>
        </w:placeholder>
      </w:sdtPr>
      <w:sdtContent>
        <w:p>
          <w:pPr>
            <w:pStyle w:val="177"/>
            <w:spacing w:beforeLines="182" w:afterLines="220"/>
          </w:pPr>
          <w:bookmarkStart w:id="19" w:name="NEW_STAND_NAME"/>
          <w:r>
            <w:rPr>
              <w:rFonts w:hint="eastAsia"/>
            </w:rPr>
            <w:t>旅游客运船舶渡口设施设备配备指南</w:t>
          </w:r>
        </w:p>
      </w:sdtContent>
    </w:sdt>
    <w:bookmarkEnd w:id="19"/>
    <w:p>
      <w:pPr>
        <w:pStyle w:val="104"/>
        <w:spacing w:before="240" w:after="240"/>
      </w:pPr>
      <w:bookmarkStart w:id="20" w:name="_Toc161929370"/>
      <w:r>
        <w:rPr>
          <w:rFonts w:hint="eastAsia"/>
        </w:rPr>
        <w:t>总则</w:t>
      </w:r>
      <w:bookmarkEnd w:id="20"/>
    </w:p>
    <w:p>
      <w:pPr>
        <w:pStyle w:val="56"/>
        <w:ind w:firstLine="420"/>
      </w:pPr>
      <w:bookmarkStart w:id="21" w:name="_Toc26648466"/>
      <w:bookmarkStart w:id="22" w:name="_Toc24884212"/>
      <w:bookmarkStart w:id="23" w:name="_Toc17233334"/>
      <w:bookmarkStart w:id="24" w:name="_Toc17233326"/>
      <w:bookmarkStart w:id="25" w:name="_Toc24884219"/>
      <w:r>
        <w:rPr>
          <w:rFonts w:hint="eastAsia"/>
        </w:rPr>
        <w:t>1</w:t>
      </w:r>
      <w:r>
        <w:t>.1</w:t>
      </w:r>
      <w:r>
        <w:rPr>
          <w:rFonts w:hint="eastAsia"/>
        </w:rPr>
        <w:t>为适应济宁市旅游客运船舶运输发展的需要，保证旅游客运船舶经营站点的安全运营，规范停靠旅游客运船舶舶渡口设施设备的配备标准，制定本指南。</w:t>
      </w:r>
    </w:p>
    <w:p>
      <w:pPr>
        <w:pStyle w:val="56"/>
        <w:ind w:firstLine="420"/>
      </w:pPr>
      <w:r>
        <w:rPr>
          <w:rFonts w:hint="eastAsia"/>
        </w:rPr>
        <w:t>1.2停靠旅游客运船舶舶渡口的设置应贯彻以人为本，绿色发展方针，合理利用岸线、土地、水域等资源，保护环境、防止污染。</w:t>
      </w:r>
    </w:p>
    <w:p>
      <w:pPr>
        <w:pStyle w:val="56"/>
        <w:ind w:firstLine="420"/>
      </w:pPr>
      <w:r>
        <w:rPr>
          <w:rFonts w:hint="eastAsia"/>
        </w:rPr>
        <w:t>1.3济宁市停靠旅游客运船舶舶渡口除执行本指南外，尚应符合国家现行有关标准的规定</w:t>
      </w:r>
      <w:r>
        <w:t>。</w:t>
      </w:r>
    </w:p>
    <w:p>
      <w:pPr>
        <w:pStyle w:val="104"/>
        <w:spacing w:before="240" w:after="240"/>
      </w:pPr>
      <w:bookmarkStart w:id="26" w:name="_Toc132294444"/>
      <w:bookmarkStart w:id="27" w:name="_Toc132295269"/>
      <w:bookmarkStart w:id="28" w:name="_Toc26986531"/>
      <w:bookmarkStart w:id="29" w:name="_Toc26986772"/>
      <w:bookmarkStart w:id="30" w:name="_Toc132294785"/>
      <w:bookmarkStart w:id="31" w:name="_Toc155966010"/>
      <w:bookmarkStart w:id="32" w:name="_Toc155965528"/>
      <w:bookmarkStart w:id="33" w:name="_Toc97191424"/>
      <w:bookmarkStart w:id="34" w:name="_Toc26718931"/>
      <w:bookmarkStart w:id="35" w:name="_Toc161929371"/>
      <w:r>
        <w:rPr>
          <w:rFonts w:hint="eastAsia"/>
        </w:rPr>
        <w:t>规</w:t>
      </w:r>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rPr>
        <w:t>适用范围</w:t>
      </w:r>
      <w:bookmarkEnd w:id="35"/>
    </w:p>
    <w:p>
      <w:pPr>
        <w:pStyle w:val="56"/>
        <w:ind w:firstLine="420"/>
      </w:pPr>
      <w:bookmarkStart w:id="36" w:name="_Toc132295270"/>
      <w:bookmarkStart w:id="37" w:name="_Toc97191425"/>
      <w:bookmarkStart w:id="38" w:name="_Toc155965529"/>
      <w:bookmarkStart w:id="39" w:name="_Toc155966011"/>
      <w:bookmarkStart w:id="40" w:name="_Toc132294786"/>
      <w:bookmarkStart w:id="41" w:name="_Toc132294445"/>
      <w:r>
        <w:rPr>
          <w:rFonts w:hint="eastAsia"/>
        </w:rPr>
        <w:t>本指南规定了济宁市停靠旅游客运船舶的渡口设施设备的配备要求。其中包括旅游客运船舶靠泊渡口结构、附属设施、消防设施、电气设施、救生设备、信号设备、环境卫生等方面的内容。</w:t>
      </w:r>
    </w:p>
    <w:p>
      <w:pPr>
        <w:pStyle w:val="56"/>
        <w:ind w:firstLine="420"/>
      </w:pPr>
      <w:r>
        <w:rPr>
          <w:rFonts w:hint="eastAsia"/>
        </w:rPr>
        <w:t>本指南适用于济宁市辖区停靠旅游客运船舶舶渡口设施设备配备要求。</w:t>
      </w:r>
    </w:p>
    <w:bookmarkEnd w:id="36"/>
    <w:bookmarkEnd w:id="37"/>
    <w:bookmarkEnd w:id="38"/>
    <w:bookmarkEnd w:id="39"/>
    <w:bookmarkEnd w:id="40"/>
    <w:bookmarkEnd w:id="41"/>
    <w:p>
      <w:pPr>
        <w:pStyle w:val="104"/>
        <w:spacing w:before="240" w:after="240"/>
      </w:pPr>
      <w:bookmarkStart w:id="42" w:name="_Toc161929372"/>
      <w:r>
        <w:rPr>
          <w:rFonts w:hint="eastAsia"/>
          <w:szCs w:val="21"/>
        </w:rPr>
        <w:t>规范性引用文件</w:t>
      </w:r>
      <w:bookmarkEnd w:id="42"/>
    </w:p>
    <w:p>
      <w:pPr>
        <w:pStyle w:val="56"/>
        <w:ind w:firstLine="420"/>
      </w:pPr>
      <w:bookmarkStart w:id="43" w:name="_Toc155966012"/>
      <w:bookmarkEnd w:id="43"/>
      <w:bookmarkStart w:id="44" w:name="_Toc132295271"/>
      <w:bookmarkEnd w:id="44"/>
      <w:bookmarkStart w:id="45" w:name="_Toc160526922"/>
      <w:bookmarkEnd w:id="45"/>
      <w:bookmarkStart w:id="46" w:name="_Toc26986532"/>
      <w:bookmarkEnd w:id="46"/>
      <w:bookmarkStart w:id="47" w:name="_Toc132294787"/>
      <w:bookmarkEnd w:id="47"/>
      <w:bookmarkStart w:id="48" w:name="_Toc132294446"/>
      <w:bookmarkEnd w:id="48"/>
      <w:bookmarkStart w:id="49" w:name="_Toc155965530"/>
      <w:bookmarkEnd w:id="49"/>
      <w:bookmarkStart w:id="50" w:name="_Toc126738274"/>
      <w:bookmarkStart w:id="51" w:name="_Toc98507006"/>
      <w:bookmarkStart w:id="52" w:name="_Toc126594917"/>
      <w:bookmarkStart w:id="53" w:name="_Toc116983178"/>
      <w:bookmarkStart w:id="54" w:name="_Toc97884136"/>
      <w:bookmarkStart w:id="55" w:name="_Toc97812612"/>
      <w:bookmarkStart w:id="56" w:name="_Toc126594822"/>
      <w:bookmarkStart w:id="57" w:name="_Toc97880491"/>
      <w:bookmarkStart w:id="58" w:name="_Toc116983078"/>
      <w:bookmarkStart w:id="59" w:name="_Toc97912387"/>
      <w:bookmarkStart w:id="60" w:name="_Toc97911366"/>
      <w:bookmarkStart w:id="61" w:name="_Toc97534781"/>
      <w:bookmarkStart w:id="62" w:name="_Toc97534806"/>
      <w:bookmarkStart w:id="63" w:name="_Toc101362573"/>
      <w:r>
        <w:t>下列文件对于本文件的应用是必不可少的。凡是注日期的引用文件，仅注日期的版本适用于本文件。凡是不注日期的引用文件，其最新版本（包括所有的修改</w:t>
      </w:r>
      <w:r>
        <w:rPr>
          <w:rFonts w:hint="eastAsia"/>
        </w:rPr>
        <w:t>版</w:t>
      </w:r>
      <w:r>
        <w:t>）适用于本文件。</w:t>
      </w:r>
    </w:p>
    <w:p>
      <w:pPr>
        <w:pStyle w:val="56"/>
        <w:ind w:firstLine="420"/>
      </w:pPr>
      <w:r>
        <w:t>JTS141水运工程设计通则；</w:t>
      </w:r>
    </w:p>
    <w:p>
      <w:pPr>
        <w:pStyle w:val="56"/>
        <w:ind w:firstLine="420"/>
      </w:pPr>
      <w:r>
        <w:t>JTS181航道工程设计规范；</w:t>
      </w:r>
    </w:p>
    <w:p>
      <w:pPr>
        <w:pStyle w:val="56"/>
        <w:ind w:firstLine="420"/>
      </w:pPr>
      <w:r>
        <w:t>JTS145港口与航道水文规范；</w:t>
      </w:r>
    </w:p>
    <w:p>
      <w:pPr>
        <w:pStyle w:val="56"/>
        <w:ind w:firstLine="420"/>
      </w:pPr>
      <w:r>
        <w:t>JTS1</w:t>
      </w:r>
      <w:r>
        <w:rPr>
          <w:rFonts w:hint="eastAsia"/>
        </w:rPr>
        <w:t>66河港总体设计规范</w:t>
      </w:r>
      <w:r>
        <w:t>；</w:t>
      </w:r>
    </w:p>
    <w:p>
      <w:pPr>
        <w:pStyle w:val="56"/>
        <w:ind w:firstLine="420"/>
      </w:pPr>
      <w:r>
        <w:t>JTS154防波堤与护岸设计规范；</w:t>
      </w:r>
    </w:p>
    <w:p>
      <w:pPr>
        <w:pStyle w:val="56"/>
        <w:ind w:firstLine="420"/>
      </w:pPr>
      <w:r>
        <w:t>JTS</w:t>
      </w:r>
      <w:r>
        <w:rPr>
          <w:rFonts w:hint="eastAsia"/>
        </w:rPr>
        <w:t>167码头结构设计</w:t>
      </w:r>
      <w:r>
        <w:t>规范；</w:t>
      </w:r>
    </w:p>
    <w:p>
      <w:pPr>
        <w:pStyle w:val="56"/>
        <w:ind w:firstLine="420"/>
      </w:pPr>
      <w:r>
        <w:t>JTS1</w:t>
      </w:r>
      <w:r>
        <w:rPr>
          <w:rFonts w:hint="eastAsia"/>
        </w:rPr>
        <w:t>65游艇码头设计规范</w:t>
      </w:r>
      <w:r>
        <w:t>；</w:t>
      </w:r>
    </w:p>
    <w:p>
      <w:pPr>
        <w:pStyle w:val="56"/>
        <w:ind w:firstLine="420"/>
      </w:pPr>
      <w:r>
        <w:t>JTS 151水运工程混凝土结构设计规范；</w:t>
      </w:r>
    </w:p>
    <w:p>
      <w:pPr>
        <w:pStyle w:val="56"/>
        <w:ind w:firstLine="420"/>
      </w:pPr>
      <w:r>
        <w:t>JTS14</w:t>
      </w:r>
      <w:r>
        <w:rPr>
          <w:rFonts w:hint="eastAsia"/>
        </w:rPr>
        <w:t>4</w:t>
      </w:r>
      <w:r>
        <w:t>港口工程荷载规范；</w:t>
      </w:r>
    </w:p>
    <w:p>
      <w:pPr>
        <w:pStyle w:val="56"/>
        <w:ind w:firstLine="420"/>
      </w:pPr>
      <w:r>
        <w:rPr>
          <w:rFonts w:hint="eastAsia"/>
        </w:rPr>
        <w:t>JTS147水运工程桩基设计规范</w:t>
      </w:r>
      <w:r>
        <w:t>；</w:t>
      </w:r>
    </w:p>
    <w:p>
      <w:pPr>
        <w:pStyle w:val="56"/>
        <w:ind w:firstLine="420"/>
      </w:pPr>
      <w:r>
        <w:t>JT</w:t>
      </w:r>
      <w:r>
        <w:rPr>
          <w:rFonts w:hint="eastAsia"/>
        </w:rPr>
        <w:t>S169</w:t>
      </w:r>
      <w:r>
        <w:t>码头附属设施技术规范；</w:t>
      </w:r>
    </w:p>
    <w:p>
      <w:pPr>
        <w:pStyle w:val="56"/>
        <w:ind w:firstLine="420"/>
      </w:pPr>
      <w:r>
        <w:rPr>
          <w:rFonts w:hint="eastAsia"/>
        </w:rPr>
        <w:t>JTS152水运工程钢结构设计规范；</w:t>
      </w:r>
    </w:p>
    <w:p>
      <w:pPr>
        <w:pStyle w:val="56"/>
        <w:ind w:firstLine="420"/>
      </w:pPr>
      <w:r>
        <w:t>JTS149</w:t>
      </w:r>
      <w:r>
        <w:rPr>
          <w:rFonts w:hint="eastAsia"/>
        </w:rPr>
        <w:t>水运</w:t>
      </w:r>
      <w:r>
        <w:t>工程环境保护设计规范</w:t>
      </w:r>
      <w:r>
        <w:rPr>
          <w:rFonts w:hint="eastAsia"/>
        </w:rPr>
        <w:t>；</w:t>
      </w:r>
    </w:p>
    <w:p>
      <w:pPr>
        <w:pStyle w:val="56"/>
        <w:ind w:firstLine="420"/>
      </w:pPr>
      <w:r>
        <w:rPr>
          <w:rFonts w:hint="eastAsia"/>
        </w:rPr>
        <w:t>GB50016建筑设计防火规范；</w:t>
      </w:r>
    </w:p>
    <w:p>
      <w:pPr>
        <w:pStyle w:val="56"/>
        <w:ind w:firstLine="420"/>
      </w:pPr>
      <w:r>
        <w:t>GB50974消防给水及消火栓系统技术规范；</w:t>
      </w:r>
    </w:p>
    <w:p>
      <w:pPr>
        <w:pStyle w:val="56"/>
        <w:ind w:firstLine="420"/>
      </w:pPr>
      <w:r>
        <w:rPr>
          <w:rFonts w:hint="eastAsia"/>
        </w:rPr>
        <w:t>GB50052供配电系统设计规范；</w:t>
      </w:r>
    </w:p>
    <w:p>
      <w:pPr>
        <w:pStyle w:val="56"/>
        <w:ind w:firstLine="420"/>
      </w:pPr>
      <w:r>
        <w:rPr>
          <w:rFonts w:hint="eastAsia"/>
        </w:rPr>
        <w:t>GB51348民用建筑电气设计标准；</w:t>
      </w:r>
    </w:p>
    <w:p>
      <w:pPr>
        <w:pStyle w:val="56"/>
        <w:ind w:firstLine="420"/>
      </w:pPr>
      <w:r>
        <w:rPr>
          <w:rFonts w:hint="eastAsia"/>
        </w:rPr>
        <w:t>GB50054低压配电设计规范。</w:t>
      </w:r>
    </w:p>
    <w:p>
      <w:pPr>
        <w:pStyle w:val="104"/>
        <w:spacing w:before="240" w:after="240"/>
      </w:pPr>
      <w:bookmarkStart w:id="64" w:name="_Toc161929373"/>
      <w:r>
        <w:rPr>
          <w:rFonts w:hint="eastAsia"/>
        </w:rPr>
        <w:t>术语和定义</w:t>
      </w:r>
      <w:bookmarkEnd w:id="64"/>
    </w:p>
    <w:p>
      <w:pPr>
        <w:pStyle w:val="56"/>
        <w:ind w:firstLine="420"/>
      </w:pPr>
      <w:r>
        <w:rPr>
          <w:rFonts w:hint="eastAsia"/>
        </w:rPr>
        <w:t>下列术语和定义适用于本文件。</w:t>
      </w:r>
    </w:p>
    <w:p>
      <w:pPr>
        <w:pStyle w:val="105"/>
        <w:spacing w:before="120" w:after="120"/>
      </w:pPr>
      <w:bookmarkStart w:id="65" w:name="_Toc161929374"/>
      <w:r>
        <w:rPr>
          <w:rFonts w:hint="eastAsia"/>
        </w:rPr>
        <w:t>客船</w:t>
      </w:r>
      <w:bookmarkEnd w:id="65"/>
    </w:p>
    <w:p>
      <w:pPr>
        <w:pStyle w:val="56"/>
        <w:ind w:firstLine="420"/>
      </w:pPr>
      <w:r>
        <w:rPr>
          <w:rFonts w:hint="eastAsia"/>
        </w:rPr>
        <w:t>指载运乘客超过12人的船舶。</w:t>
      </w:r>
    </w:p>
    <w:p>
      <w:pPr>
        <w:pStyle w:val="105"/>
        <w:spacing w:before="120" w:after="120"/>
      </w:pPr>
      <w:r>
        <w:rPr>
          <w:rFonts w:hint="eastAsia"/>
        </w:rPr>
        <w:t>码头</w:t>
      </w:r>
    </w:p>
    <w:p>
      <w:pPr>
        <w:pStyle w:val="56"/>
        <w:ind w:firstLine="420"/>
      </w:pPr>
      <w:r>
        <w:rPr>
          <w:rFonts w:hint="eastAsia"/>
        </w:rPr>
        <w:t>供船舶系泊、装卸货物和乘客上下船的水工建筑物。</w:t>
      </w:r>
    </w:p>
    <w:p>
      <w:pPr>
        <w:pStyle w:val="105"/>
        <w:spacing w:before="120" w:after="120"/>
      </w:pPr>
      <w:r>
        <w:rPr>
          <w:rFonts w:hint="eastAsia"/>
        </w:rPr>
        <w:t>直立式码头</w:t>
      </w:r>
    </w:p>
    <w:p>
      <w:pPr>
        <w:pStyle w:val="56"/>
        <w:ind w:firstLine="420"/>
      </w:pPr>
      <w:r>
        <w:rPr>
          <w:rFonts w:hint="eastAsia"/>
        </w:rPr>
        <w:t>前沿靠船面为直立或近于直立的码头。</w:t>
      </w:r>
    </w:p>
    <w:p>
      <w:pPr>
        <w:pStyle w:val="105"/>
        <w:spacing w:before="120" w:after="120"/>
      </w:pPr>
      <w:r>
        <w:rPr>
          <w:rFonts w:hint="eastAsia"/>
        </w:rPr>
        <w:t>斜坡式码头</w:t>
      </w:r>
    </w:p>
    <w:p>
      <w:pPr>
        <w:pStyle w:val="56"/>
        <w:ind w:firstLine="420"/>
      </w:pPr>
      <w:r>
        <w:rPr>
          <w:rFonts w:hint="eastAsia"/>
        </w:rPr>
        <w:t>临水面位斜坡道的码头。</w:t>
      </w:r>
    </w:p>
    <w:p>
      <w:pPr>
        <w:pStyle w:val="105"/>
        <w:spacing w:before="120" w:after="120"/>
      </w:pPr>
      <w:r>
        <w:rPr>
          <w:rFonts w:hint="eastAsia"/>
        </w:rPr>
        <w:t>浮码头</w:t>
      </w:r>
    </w:p>
    <w:p>
      <w:pPr>
        <w:pStyle w:val="56"/>
        <w:ind w:firstLine="420"/>
      </w:pPr>
      <w:r>
        <w:rPr>
          <w:rFonts w:hint="eastAsia"/>
        </w:rPr>
        <w:t>系靠船舶的结构为浮式结构的码头。</w:t>
      </w:r>
    </w:p>
    <w:p>
      <w:pPr>
        <w:pStyle w:val="105"/>
        <w:spacing w:before="120" w:after="120"/>
      </w:pPr>
      <w:r>
        <w:rPr>
          <w:rFonts w:hint="eastAsia"/>
        </w:rPr>
        <w:t>系船柱</w:t>
      </w:r>
    </w:p>
    <w:p>
      <w:pPr>
        <w:pStyle w:val="56"/>
        <w:ind w:firstLine="420"/>
      </w:pPr>
      <w:r>
        <w:rPr>
          <w:rFonts w:hint="eastAsia"/>
        </w:rPr>
        <w:t>供船舶靠泊、离泊和停泊码头时，拴系缆绳用的柱状设施。</w:t>
      </w:r>
    </w:p>
    <w:p>
      <w:pPr>
        <w:pStyle w:val="105"/>
        <w:spacing w:before="120" w:after="120"/>
      </w:pPr>
      <w:r>
        <w:rPr>
          <w:rFonts w:hint="eastAsia"/>
        </w:rPr>
        <w:t>护舷</w:t>
      </w:r>
    </w:p>
    <w:p>
      <w:pPr>
        <w:pStyle w:val="56"/>
        <w:ind w:firstLine="420"/>
      </w:pPr>
      <w:r>
        <w:rPr>
          <w:rFonts w:hint="eastAsia"/>
        </w:rPr>
        <w:t>安装在码头前沿，具有吸能功能并起隔离作用的防冲装置。</w:t>
      </w:r>
    </w:p>
    <w:bookmarkEnd w:id="50"/>
    <w:bookmarkEnd w:id="51"/>
    <w:bookmarkEnd w:id="52"/>
    <w:bookmarkEnd w:id="53"/>
    <w:bookmarkEnd w:id="54"/>
    <w:bookmarkEnd w:id="55"/>
    <w:bookmarkEnd w:id="56"/>
    <w:bookmarkEnd w:id="57"/>
    <w:bookmarkEnd w:id="58"/>
    <w:bookmarkEnd w:id="59"/>
    <w:bookmarkEnd w:id="60"/>
    <w:bookmarkEnd w:id="61"/>
    <w:bookmarkEnd w:id="62"/>
    <w:bookmarkEnd w:id="63"/>
    <w:p>
      <w:pPr>
        <w:pStyle w:val="104"/>
        <w:spacing w:before="240" w:after="240"/>
      </w:pPr>
      <w:bookmarkStart w:id="66" w:name="_Toc161929375"/>
      <w:r>
        <w:rPr>
          <w:rFonts w:hint="eastAsia"/>
        </w:rPr>
        <w:t>停靠旅游客运船舶舶渡口的要求</w:t>
      </w:r>
      <w:bookmarkEnd w:id="66"/>
    </w:p>
    <w:p>
      <w:pPr>
        <w:pStyle w:val="105"/>
        <w:spacing w:before="120" w:after="120"/>
      </w:pPr>
      <w:bookmarkStart w:id="67" w:name="_Toc132294450"/>
      <w:bookmarkStart w:id="68" w:name="_Toc132295275"/>
      <w:bookmarkStart w:id="69" w:name="_Toc155966016"/>
      <w:bookmarkStart w:id="70" w:name="_Toc132097829"/>
      <w:bookmarkStart w:id="71" w:name="_Toc155965534"/>
      <w:bookmarkStart w:id="72" w:name="_Toc132294791"/>
      <w:bookmarkStart w:id="73" w:name="_Toc161929376"/>
      <w:r>
        <w:rPr>
          <w:rFonts w:hint="eastAsia"/>
        </w:rPr>
        <w:t>基本规定</w:t>
      </w:r>
      <w:bookmarkEnd w:id="67"/>
      <w:bookmarkEnd w:id="68"/>
      <w:bookmarkEnd w:id="69"/>
      <w:bookmarkEnd w:id="70"/>
      <w:bookmarkEnd w:id="71"/>
      <w:bookmarkEnd w:id="72"/>
      <w:bookmarkEnd w:id="73"/>
    </w:p>
    <w:p>
      <w:pPr>
        <w:pStyle w:val="165"/>
        <w:numPr>
          <w:ilvl w:val="3"/>
          <w:numId w:val="32"/>
        </w:numPr>
      </w:pPr>
      <w:r>
        <w:rPr>
          <w:rFonts w:hint="eastAsia"/>
        </w:rPr>
        <w:t>停靠旅游客运船舶舶渡口平面布置应在深入分析自然条件的基础上，合理利用自然条件和岸线水陆域资源。</w:t>
      </w:r>
    </w:p>
    <w:p>
      <w:pPr>
        <w:pStyle w:val="165"/>
        <w:numPr>
          <w:ilvl w:val="3"/>
          <w:numId w:val="32"/>
        </w:numPr>
      </w:pPr>
      <w:r>
        <w:rPr>
          <w:rFonts w:hint="eastAsia"/>
        </w:rPr>
        <w:t>停靠旅游客运船舶舶渡口应确保安全并考虑美观。</w:t>
      </w:r>
    </w:p>
    <w:p>
      <w:pPr>
        <w:pStyle w:val="165"/>
        <w:numPr>
          <w:ilvl w:val="3"/>
          <w:numId w:val="32"/>
        </w:numPr>
      </w:pPr>
      <w:r>
        <w:rPr>
          <w:rFonts w:hint="eastAsia"/>
        </w:rPr>
        <w:t xml:space="preserve">停靠旅游客运船舶舶渡口作业标准: </w:t>
      </w:r>
    </w:p>
    <w:p>
      <w:pPr>
        <w:pStyle w:val="56"/>
        <w:ind w:firstLine="420"/>
      </w:pPr>
      <w:r>
        <w:rPr>
          <w:rFonts w:hint="eastAsia"/>
        </w:rPr>
        <w:t>(1)风力等级大于4级（5.5m/s～7.9m/s）时不应作业。</w:t>
      </w:r>
    </w:p>
    <w:p>
      <w:pPr>
        <w:pStyle w:val="56"/>
        <w:ind w:firstLine="420"/>
      </w:pPr>
      <w:r>
        <w:rPr>
          <w:rFonts w:hint="eastAsia"/>
        </w:rPr>
        <w:t>(2)暴雨期问、能见度较低等恶劣天气状况停止作业。</w:t>
      </w:r>
    </w:p>
    <w:p>
      <w:pPr>
        <w:pStyle w:val="56"/>
        <w:ind w:firstLine="420"/>
      </w:pPr>
      <w:r>
        <w:rPr>
          <w:rFonts w:hint="eastAsia"/>
        </w:rPr>
        <w:t>(3)其他影响旅游客运船舶安全的情况。</w:t>
      </w:r>
    </w:p>
    <w:p>
      <w:pPr>
        <w:pStyle w:val="165"/>
        <w:numPr>
          <w:ilvl w:val="3"/>
          <w:numId w:val="32"/>
        </w:numPr>
      </w:pPr>
      <w:r>
        <w:rPr>
          <w:rFonts w:hint="eastAsia"/>
        </w:rPr>
        <w:t>为确保安全，停靠旅游客运船舶舶渡口的运营应执行交通运输主管部门对船艇的营运时间限制。</w:t>
      </w:r>
    </w:p>
    <w:p>
      <w:pPr>
        <w:pStyle w:val="165"/>
        <w:numPr>
          <w:ilvl w:val="3"/>
          <w:numId w:val="32"/>
        </w:numPr>
      </w:pPr>
      <w:r>
        <w:rPr>
          <w:rFonts w:hint="eastAsia"/>
        </w:rPr>
        <w:t>渡口设施应检验合格。</w:t>
      </w:r>
    </w:p>
    <w:p>
      <w:pPr>
        <w:pStyle w:val="105"/>
        <w:numPr>
          <w:ilvl w:val="2"/>
          <w:numId w:val="32"/>
        </w:numPr>
        <w:spacing w:before="120" w:after="120"/>
      </w:pPr>
      <w:bookmarkStart w:id="74" w:name="_Toc132097830"/>
      <w:bookmarkStart w:id="75" w:name="_Toc155965535"/>
      <w:bookmarkStart w:id="76" w:name="_Toc132294792"/>
      <w:bookmarkStart w:id="77" w:name="_Toc155966017"/>
      <w:bookmarkStart w:id="78" w:name="_Toc132294451"/>
      <w:bookmarkStart w:id="79" w:name="_Toc132295276"/>
      <w:bookmarkStart w:id="80" w:name="_Toc161929377"/>
      <w:r>
        <w:rPr>
          <w:rFonts w:hint="eastAsia"/>
        </w:rPr>
        <w:t>停靠旅游客运船舶舶渡口的相关要求</w:t>
      </w:r>
      <w:bookmarkEnd w:id="74"/>
      <w:bookmarkEnd w:id="75"/>
      <w:bookmarkEnd w:id="76"/>
      <w:bookmarkEnd w:id="77"/>
      <w:bookmarkEnd w:id="78"/>
      <w:bookmarkEnd w:id="79"/>
      <w:bookmarkEnd w:id="80"/>
    </w:p>
    <w:p>
      <w:pPr>
        <w:pStyle w:val="165"/>
        <w:numPr>
          <w:ilvl w:val="3"/>
          <w:numId w:val="32"/>
        </w:numPr>
      </w:pPr>
      <w:r>
        <w:rPr>
          <w:rFonts w:hint="eastAsia"/>
        </w:rPr>
        <w:t>停靠旅游船舶渡口管理应贯彻安全生产、节约用地和节约能源的方针，合理利用资源，保护环境，防治污染。</w:t>
      </w:r>
    </w:p>
    <w:p>
      <w:pPr>
        <w:pStyle w:val="165"/>
        <w:numPr>
          <w:ilvl w:val="3"/>
          <w:numId w:val="32"/>
        </w:numPr>
      </w:pPr>
      <w:r>
        <w:rPr>
          <w:rFonts w:hint="eastAsia"/>
        </w:rPr>
        <w:t>设计代表船型应根据实测需求、建设条件、已有船型及未来发展趋势综合确定。</w:t>
      </w:r>
    </w:p>
    <w:p>
      <w:pPr>
        <w:pStyle w:val="165"/>
        <w:numPr>
          <w:ilvl w:val="3"/>
          <w:numId w:val="32"/>
        </w:numPr>
      </w:pPr>
      <w:r>
        <w:rPr>
          <w:rFonts w:hint="eastAsia"/>
        </w:rPr>
        <w:t>总平面布置应充分考虑城市、交通、港口、航道、通航建筑物现状及规划。</w:t>
      </w:r>
    </w:p>
    <w:p>
      <w:pPr>
        <w:pStyle w:val="165"/>
        <w:numPr>
          <w:ilvl w:val="3"/>
          <w:numId w:val="32"/>
        </w:numPr>
      </w:pPr>
      <w:r>
        <w:rPr>
          <w:rFonts w:hint="eastAsia"/>
        </w:rPr>
        <w:t>码头附属设施应满足船舶作业安全可靠和使用方便的要求。</w:t>
      </w:r>
    </w:p>
    <w:p>
      <w:pPr>
        <w:pStyle w:val="165"/>
        <w:numPr>
          <w:ilvl w:val="3"/>
          <w:numId w:val="32"/>
        </w:numPr>
      </w:pPr>
      <w:r>
        <w:rPr>
          <w:rFonts w:hint="eastAsia"/>
        </w:rPr>
        <w:t>渡口配套设施应与渡口规模、功能要求相匹配，满足渡口运营管理的需要。</w:t>
      </w:r>
    </w:p>
    <w:p>
      <w:pPr>
        <w:pStyle w:val="165"/>
        <w:numPr>
          <w:ilvl w:val="3"/>
          <w:numId w:val="32"/>
        </w:numPr>
      </w:pPr>
      <w:r>
        <w:rPr>
          <w:rFonts w:hint="eastAsia"/>
        </w:rPr>
        <w:t>渡口应设置安全标志、安全须知标志、防滑、消防和救生设备等防护安全设施。</w:t>
      </w:r>
    </w:p>
    <w:p>
      <w:pPr>
        <w:pStyle w:val="105"/>
        <w:numPr>
          <w:ilvl w:val="2"/>
          <w:numId w:val="32"/>
        </w:numPr>
        <w:spacing w:before="120" w:after="120"/>
      </w:pPr>
      <w:bookmarkStart w:id="81" w:name="_Toc132295277"/>
      <w:bookmarkStart w:id="82" w:name="_Toc155966018"/>
      <w:bookmarkStart w:id="83" w:name="_Toc132294793"/>
      <w:bookmarkStart w:id="84" w:name="_Toc132294452"/>
      <w:bookmarkStart w:id="85" w:name="_Toc132099445"/>
      <w:bookmarkStart w:id="86" w:name="_Toc155965536"/>
      <w:bookmarkStart w:id="87" w:name="_Toc161929378"/>
      <w:r>
        <w:rPr>
          <w:rFonts w:hint="eastAsia"/>
        </w:rPr>
        <w:t>码头结构</w:t>
      </w:r>
      <w:bookmarkEnd w:id="81"/>
      <w:bookmarkEnd w:id="82"/>
      <w:bookmarkEnd w:id="83"/>
      <w:bookmarkEnd w:id="84"/>
      <w:bookmarkEnd w:id="85"/>
      <w:bookmarkEnd w:id="86"/>
      <w:bookmarkEnd w:id="87"/>
    </w:p>
    <w:p>
      <w:pPr>
        <w:pStyle w:val="165"/>
        <w:numPr>
          <w:ilvl w:val="3"/>
          <w:numId w:val="32"/>
        </w:numPr>
      </w:pPr>
      <w:r>
        <w:rPr>
          <w:rFonts w:hint="eastAsia"/>
        </w:rPr>
        <w:t>码头结构可采用直立式码头、斜坡式码头和浮码头。码头结构在规定的使用年限内应满足在正常使用时具有良好的工作性能，在正常维护下具有足够的耐久性能。</w:t>
      </w:r>
    </w:p>
    <w:p>
      <w:pPr>
        <w:pStyle w:val="165"/>
        <w:numPr>
          <w:ilvl w:val="3"/>
          <w:numId w:val="32"/>
        </w:numPr>
      </w:pPr>
      <w:r>
        <w:rPr>
          <w:rFonts w:hint="eastAsia"/>
        </w:rPr>
        <w:t>码头设计高水位应根据水文特性等情况综合研究确定，码头顶高程不应低于码头设计高水位+超高，超高值宜取0.1m～0.5m，并应考虑码头设计船型、码头布置等因素。</w:t>
      </w:r>
    </w:p>
    <w:p>
      <w:pPr>
        <w:pStyle w:val="165"/>
        <w:numPr>
          <w:ilvl w:val="3"/>
          <w:numId w:val="32"/>
        </w:numPr>
      </w:pPr>
      <w:r>
        <w:rPr>
          <w:rFonts w:hint="eastAsia"/>
        </w:rPr>
        <w:t>头结构稳定性应满足《码头结构设计规范》（JTS169）的要求。</w:t>
      </w:r>
    </w:p>
    <w:p>
      <w:pPr>
        <w:pStyle w:val="105"/>
        <w:numPr>
          <w:ilvl w:val="2"/>
          <w:numId w:val="32"/>
        </w:numPr>
        <w:spacing w:before="120" w:after="120"/>
      </w:pPr>
      <w:bookmarkStart w:id="88" w:name="_Toc132098637"/>
      <w:bookmarkStart w:id="89" w:name="_Toc132294794"/>
      <w:bookmarkStart w:id="90" w:name="_Toc155966019"/>
      <w:bookmarkStart w:id="91" w:name="_Toc132294453"/>
      <w:bookmarkStart w:id="92" w:name="_Toc155965537"/>
      <w:bookmarkStart w:id="93" w:name="_Toc132295278"/>
      <w:bookmarkStart w:id="94" w:name="_Toc161929379"/>
      <w:r>
        <w:rPr>
          <w:rFonts w:hint="eastAsia"/>
        </w:rPr>
        <w:t>附属设施</w:t>
      </w:r>
      <w:bookmarkEnd w:id="88"/>
      <w:bookmarkEnd w:id="89"/>
      <w:bookmarkEnd w:id="90"/>
      <w:bookmarkEnd w:id="91"/>
      <w:bookmarkEnd w:id="92"/>
      <w:bookmarkEnd w:id="93"/>
      <w:bookmarkEnd w:id="94"/>
    </w:p>
    <w:p>
      <w:pPr>
        <w:pStyle w:val="165"/>
        <w:numPr>
          <w:ilvl w:val="3"/>
          <w:numId w:val="32"/>
        </w:numPr>
      </w:pPr>
      <w:r>
        <w:rPr>
          <w:rFonts w:hint="eastAsia"/>
        </w:rPr>
        <w:t>游船码头应设置安全可靠的码头系泊设备、防冲设备、船岸间连接设施和护栏。系泊设备、防冲设备、船岸间连接设施和护栏的布置应避免对码头上下游客产生干扰。</w:t>
      </w:r>
    </w:p>
    <w:p>
      <w:pPr>
        <w:pStyle w:val="165"/>
        <w:numPr>
          <w:ilvl w:val="3"/>
          <w:numId w:val="32"/>
        </w:numPr>
      </w:pPr>
      <w:r>
        <w:rPr>
          <w:rFonts w:hint="eastAsia"/>
        </w:rPr>
        <w:t>系泊设备的系缆力和系泊点数量应根据设计船型合理确定。系泊设备宜选用系船柱，亦可选用系船环。系船柱的布置应结合泊位功能、码头结构型式等综合考虑。</w:t>
      </w:r>
    </w:p>
    <w:p>
      <w:pPr>
        <w:pStyle w:val="165"/>
        <w:numPr>
          <w:ilvl w:val="3"/>
          <w:numId w:val="32"/>
        </w:numPr>
      </w:pPr>
      <w:r>
        <w:rPr>
          <w:rFonts w:hint="eastAsia"/>
        </w:rPr>
        <w:t>防冲设备可采用橡胶护舷、轮胎护舷、木护舷或聚氨酯护舷等。防冲设备的布置应满足船舶靠离泊平稳作业的要求，并应保证船舶在各水位和不同吃水条件下的安全靠泊。</w:t>
      </w:r>
    </w:p>
    <w:p>
      <w:pPr>
        <w:pStyle w:val="165"/>
        <w:numPr>
          <w:ilvl w:val="3"/>
          <w:numId w:val="32"/>
        </w:numPr>
      </w:pPr>
      <w:r>
        <w:rPr>
          <w:rFonts w:hint="eastAsia"/>
        </w:rPr>
        <w:t>船岸间连接设施可采用钢引桥、阶梯等。钢引桥的结构设计应符合现行行业标准《水运工程钢结构设计规范》（JTS152）的有关规定。</w:t>
      </w:r>
    </w:p>
    <w:p>
      <w:pPr>
        <w:pStyle w:val="165"/>
        <w:numPr>
          <w:ilvl w:val="3"/>
          <w:numId w:val="32"/>
        </w:numPr>
      </w:pPr>
      <w:r>
        <w:rPr>
          <w:rFonts w:hint="eastAsia"/>
        </w:rPr>
        <w:t>护栏应满足一定的刚度和强度，应以坚固、耐久的材料制作，并能承受荷载规范规定的水平荷载。各种护栏的构造不应采用锐角、利刺等形式。</w:t>
      </w:r>
    </w:p>
    <w:p>
      <w:pPr>
        <w:pStyle w:val="165"/>
        <w:numPr>
          <w:ilvl w:val="3"/>
          <w:numId w:val="32"/>
        </w:numPr>
      </w:pPr>
      <w:r>
        <w:rPr>
          <w:rFonts w:hint="eastAsia"/>
        </w:rPr>
        <w:t>阶梯宽度应根据人员通行量确定，客运码头可取2000mm～5000mm，踏步高度宜取150mm～200mm，宽度宜取250mm～300mm，踏步应采取防滑措施。</w:t>
      </w:r>
    </w:p>
    <w:p>
      <w:pPr>
        <w:pStyle w:val="105"/>
        <w:numPr>
          <w:ilvl w:val="2"/>
          <w:numId w:val="32"/>
        </w:numPr>
        <w:spacing w:before="120" w:after="120"/>
      </w:pPr>
      <w:bookmarkStart w:id="95" w:name="_Toc161929380"/>
      <w:r>
        <w:rPr>
          <w:rFonts w:hint="eastAsia"/>
        </w:rPr>
        <w:t>配套设施</w:t>
      </w:r>
      <w:bookmarkEnd w:id="95"/>
    </w:p>
    <w:p>
      <w:pPr>
        <w:pStyle w:val="165"/>
        <w:numPr>
          <w:ilvl w:val="3"/>
          <w:numId w:val="32"/>
        </w:numPr>
      </w:pPr>
      <w:r>
        <w:rPr>
          <w:rFonts w:hint="eastAsia"/>
        </w:rPr>
        <w:t>消防设施</w:t>
      </w:r>
    </w:p>
    <w:p>
      <w:pPr>
        <w:pStyle w:val="164"/>
        <w:numPr>
          <w:ilvl w:val="4"/>
          <w:numId w:val="32"/>
        </w:numPr>
      </w:pPr>
      <w:r>
        <w:rPr>
          <w:rFonts w:hint="eastAsia"/>
        </w:rPr>
        <w:t>渡口应配备消防沙池、消防桶、消防铲、灭火器等消防器材。</w:t>
      </w:r>
    </w:p>
    <w:p>
      <w:pPr>
        <w:pStyle w:val="164"/>
        <w:numPr>
          <w:ilvl w:val="4"/>
          <w:numId w:val="32"/>
        </w:numPr>
      </w:pPr>
      <w:r>
        <w:rPr>
          <w:rFonts w:hint="eastAsia"/>
        </w:rPr>
        <w:t>泊位上应设置消火栓箱，间距宜取40m。</w:t>
      </w:r>
    </w:p>
    <w:p>
      <w:pPr>
        <w:pStyle w:val="164"/>
        <w:numPr>
          <w:ilvl w:val="4"/>
          <w:numId w:val="32"/>
        </w:numPr>
      </w:pPr>
      <w:r>
        <w:rPr>
          <w:rFonts w:hint="eastAsia"/>
        </w:rPr>
        <w:t>应配备足量的消防沙和灭火毯，配置要求：占地面积在2000平方以下配1个消防沙池/箱，每个总量不少于2m³，灭火毯不少于2张；占地面积在2000-5000平方配2个消防沙池/箱，灭火毯不少于4张；占地面积在5000平方以上配3-4个消防沙池/箱，灭火毯不少于8张。</w:t>
      </w:r>
    </w:p>
    <w:p>
      <w:pPr>
        <w:pStyle w:val="164"/>
        <w:numPr>
          <w:ilvl w:val="4"/>
          <w:numId w:val="32"/>
        </w:numPr>
      </w:pPr>
      <w:r>
        <w:rPr>
          <w:rFonts w:hint="eastAsia"/>
        </w:rPr>
        <w:t>消防沙应保持充足和干燥，消防沙池/箱装设地点的环境应符合相应产品或设施的正常使用要求，室外漏天的沙池应加盖，避免雨水淋湿。</w:t>
      </w:r>
    </w:p>
    <w:p>
      <w:pPr>
        <w:pStyle w:val="56"/>
        <w:ind w:firstLine="420"/>
      </w:pPr>
    </w:p>
    <w:p>
      <w:pPr>
        <w:pStyle w:val="165"/>
        <w:numPr>
          <w:ilvl w:val="3"/>
          <w:numId w:val="32"/>
        </w:numPr>
      </w:pPr>
      <w:r>
        <w:rPr>
          <w:rFonts w:hint="eastAsia"/>
        </w:rPr>
        <w:t>电气设施</w:t>
      </w:r>
    </w:p>
    <w:p>
      <w:pPr>
        <w:pStyle w:val="164"/>
        <w:numPr>
          <w:ilvl w:val="4"/>
          <w:numId w:val="32"/>
        </w:numPr>
      </w:pPr>
      <w:r>
        <w:rPr>
          <w:rFonts w:hint="eastAsia"/>
        </w:rPr>
        <w:t>变配电所宜采用箱式变配电所。变配电所的设置除满足国家相关标准规范要求的功能条件和安全条件外，应避开游人易接触的场所。如不能满足要求，应在变配电所周边加设安全护栏或围墙。</w:t>
      </w:r>
    </w:p>
    <w:p>
      <w:pPr>
        <w:pStyle w:val="164"/>
        <w:numPr>
          <w:ilvl w:val="4"/>
          <w:numId w:val="32"/>
        </w:numPr>
      </w:pPr>
      <w:r>
        <w:rPr>
          <w:rFonts w:hint="eastAsia"/>
        </w:rPr>
        <w:t>所有安装在渡口的配电箱、接电箱等电气设备的箱门应加锁。配电线路应加漏电保护装置。</w:t>
      </w:r>
    </w:p>
    <w:p>
      <w:pPr>
        <w:pStyle w:val="164"/>
        <w:numPr>
          <w:ilvl w:val="4"/>
          <w:numId w:val="32"/>
        </w:numPr>
      </w:pPr>
      <w:r>
        <w:rPr>
          <w:rFonts w:hint="eastAsia"/>
        </w:rPr>
        <w:t>渡口配电线路不宜架空敷设。在游人易接触的地方悬挂敷设的电线、电缆应采取穿管等保护措施；引出地面的电线或电缆低于1.8m部分应穿钢管保护。</w:t>
      </w:r>
    </w:p>
    <w:p>
      <w:pPr>
        <w:pStyle w:val="164"/>
        <w:numPr>
          <w:ilvl w:val="4"/>
          <w:numId w:val="32"/>
        </w:numPr>
      </w:pPr>
      <w:r>
        <w:rPr>
          <w:rFonts w:hint="eastAsia"/>
        </w:rPr>
        <w:t>渡口宜采用和周边环境相协调的照明装置和高效节能型照明灯具。照明灯具布置应考虑游人行走安全和行动便利，并应符合照度标准的规定。</w:t>
      </w:r>
    </w:p>
    <w:p>
      <w:pPr>
        <w:pStyle w:val="165"/>
        <w:numPr>
          <w:ilvl w:val="3"/>
          <w:numId w:val="32"/>
        </w:numPr>
      </w:pPr>
      <w:r>
        <w:rPr>
          <w:rFonts w:hint="eastAsia"/>
        </w:rPr>
        <w:t>通信</w:t>
      </w:r>
    </w:p>
    <w:p>
      <w:pPr>
        <w:pStyle w:val="164"/>
        <w:numPr>
          <w:ilvl w:val="4"/>
          <w:numId w:val="32"/>
        </w:numPr>
      </w:pPr>
      <w:r>
        <w:rPr>
          <w:rFonts w:hint="eastAsia"/>
        </w:rPr>
        <w:t>码头应设置公众网电话和网络，应提供24小时电话服务。</w:t>
      </w:r>
    </w:p>
    <w:p>
      <w:pPr>
        <w:pStyle w:val="164"/>
        <w:numPr>
          <w:ilvl w:val="4"/>
          <w:numId w:val="32"/>
        </w:numPr>
      </w:pPr>
      <w:r>
        <w:rPr>
          <w:rFonts w:hint="eastAsia"/>
        </w:rPr>
        <w:t>码头应设置完善的视频监控系统。</w:t>
      </w:r>
    </w:p>
    <w:p>
      <w:pPr>
        <w:pStyle w:val="164"/>
        <w:numPr>
          <w:ilvl w:val="4"/>
          <w:numId w:val="32"/>
        </w:numPr>
      </w:pPr>
      <w:r>
        <w:rPr>
          <w:rFonts w:hint="eastAsia"/>
        </w:rPr>
        <w:t>码头宜设置对讲广播系统。</w:t>
      </w:r>
    </w:p>
    <w:p>
      <w:pPr>
        <w:pStyle w:val="164"/>
        <w:numPr>
          <w:ilvl w:val="4"/>
          <w:numId w:val="32"/>
        </w:numPr>
      </w:pPr>
      <w:r>
        <w:rPr>
          <w:rFonts w:hint="eastAsia"/>
        </w:rPr>
        <w:t>码头应配置能向旅游客运船舶传统气象预报、应急安全的服务设备。</w:t>
      </w:r>
    </w:p>
    <w:p>
      <w:pPr>
        <w:pStyle w:val="165"/>
        <w:numPr>
          <w:ilvl w:val="3"/>
          <w:numId w:val="32"/>
        </w:numPr>
      </w:pPr>
      <w:r>
        <w:rPr>
          <w:rFonts w:hint="eastAsia"/>
        </w:rPr>
        <w:t>安全、救生设施</w:t>
      </w:r>
    </w:p>
    <w:p>
      <w:pPr>
        <w:pStyle w:val="164"/>
        <w:numPr>
          <w:ilvl w:val="4"/>
          <w:numId w:val="32"/>
        </w:numPr>
      </w:pPr>
      <w:r>
        <w:rPr>
          <w:rFonts w:hint="eastAsia"/>
        </w:rPr>
        <w:t>渡口应根据规模配备适量救生衣、救生圈、急救药箱等救生设备，儿童救生衣的配备数量不宜低于10%。</w:t>
      </w:r>
    </w:p>
    <w:p>
      <w:pPr>
        <w:pStyle w:val="164"/>
        <w:numPr>
          <w:ilvl w:val="4"/>
          <w:numId w:val="32"/>
        </w:numPr>
        <w:rPr>
          <w:rFonts w:hAnsi="Calibri"/>
          <w:szCs w:val="21"/>
        </w:rPr>
      </w:pPr>
      <w:r>
        <w:rPr>
          <w:rFonts w:hint="eastAsia" w:hAnsi="Calibri"/>
          <w:szCs w:val="21"/>
        </w:rPr>
        <w:t>码头区域宜设置围网、门禁。</w:t>
      </w:r>
    </w:p>
    <w:p>
      <w:pPr>
        <w:pStyle w:val="164"/>
        <w:numPr>
          <w:ilvl w:val="4"/>
          <w:numId w:val="32"/>
        </w:numPr>
      </w:pPr>
      <w:r>
        <w:rPr>
          <w:rFonts w:hint="eastAsia"/>
        </w:rPr>
        <w:t>渡口应设置必要的交通安全标志和助航设施。</w:t>
      </w:r>
    </w:p>
    <w:p>
      <w:pPr>
        <w:pStyle w:val="165"/>
        <w:numPr>
          <w:ilvl w:val="3"/>
          <w:numId w:val="32"/>
        </w:numPr>
      </w:pPr>
      <w:r>
        <w:rPr>
          <w:rFonts w:hint="eastAsia"/>
        </w:rPr>
        <w:t>环保</w:t>
      </w:r>
    </w:p>
    <w:p>
      <w:pPr>
        <w:pStyle w:val="164"/>
        <w:numPr>
          <w:ilvl w:val="4"/>
          <w:numId w:val="32"/>
        </w:numPr>
      </w:pPr>
      <w:r>
        <w:rPr>
          <w:rFonts w:hint="eastAsia"/>
        </w:rPr>
        <w:t>渡口应设置固体废物分类回收和接收装置，并应保持完好，外观应当整洁并与周围环境相协调。</w:t>
      </w:r>
    </w:p>
    <w:p>
      <w:pPr>
        <w:pStyle w:val="164"/>
        <w:numPr>
          <w:ilvl w:val="4"/>
          <w:numId w:val="32"/>
        </w:numPr>
      </w:pPr>
      <w:r>
        <w:rPr>
          <w:rFonts w:hint="eastAsia"/>
        </w:rPr>
        <w:t>渡口应设置生活污水接收装置，生活污水集中收集后，委托有资质的单位收纳处理。</w:t>
      </w:r>
    </w:p>
    <w:p>
      <w:pPr>
        <w:pStyle w:val="104"/>
        <w:numPr>
          <w:ilvl w:val="1"/>
          <w:numId w:val="32"/>
        </w:numPr>
        <w:spacing w:before="240" w:after="240"/>
      </w:pPr>
      <w:bookmarkStart w:id="96" w:name="_Toc161929381"/>
      <w:r>
        <w:rPr>
          <w:rFonts w:hint="eastAsia"/>
        </w:rPr>
        <w:t>其他</w:t>
      </w:r>
      <w:bookmarkEnd w:id="96"/>
    </w:p>
    <w:p>
      <w:pPr>
        <w:pStyle w:val="162"/>
      </w:pPr>
      <w:bookmarkStart w:id="97" w:name="_Toc161929382"/>
      <w:bookmarkStart w:id="98" w:name="_Toc126594922"/>
      <w:bookmarkStart w:id="99" w:name="_Toc126738279"/>
      <w:bookmarkStart w:id="100" w:name="_Toc126594827"/>
      <w:r>
        <w:rPr>
          <w:rFonts w:hint="eastAsia"/>
        </w:rPr>
        <w:t>停靠旅游船舶的渡口设置应贯彻以人为本、绿色发展方针，合理利用岸线、土地、水域等资源，保护环境、防止污染。</w:t>
      </w:r>
      <w:bookmarkEnd w:id="97"/>
    </w:p>
    <w:p>
      <w:pPr>
        <w:pStyle w:val="162"/>
      </w:pPr>
      <w:bookmarkStart w:id="101" w:name="_Toc161929383"/>
      <w:r>
        <w:rPr>
          <w:rFonts w:hint="eastAsia"/>
        </w:rPr>
        <w:t>渡口所有人或管理人应当做好渡口及附属设施设备的日常监测维护，使其保持正常状态。</w:t>
      </w:r>
      <w:bookmarkEnd w:id="101"/>
    </w:p>
    <w:p>
      <w:pPr>
        <w:pStyle w:val="162"/>
      </w:pPr>
      <w:bookmarkStart w:id="102" w:name="_Toc161929384"/>
      <w:r>
        <w:rPr>
          <w:rFonts w:hint="eastAsia"/>
        </w:rPr>
        <w:t>渡口应当按照国家有关规定配备有效的消防、救生、环保、船舶污染防治、防疫和监控等设施设备。</w:t>
      </w:r>
      <w:bookmarkEnd w:id="102"/>
    </w:p>
    <w:p>
      <w:pPr>
        <w:pStyle w:val="162"/>
      </w:pPr>
      <w:bookmarkStart w:id="103" w:name="_Toc161929385"/>
      <w:r>
        <w:rPr>
          <w:rFonts w:hint="eastAsia"/>
        </w:rPr>
        <w:t>夜间运营的渡口，照明设施的照度应当满足船舶靠离泊、人员上下船和其他相关作业的安全要求。</w:t>
      </w:r>
      <w:bookmarkEnd w:id="103"/>
    </w:p>
    <w:p>
      <w:pPr>
        <w:pStyle w:val="162"/>
      </w:pPr>
      <w:bookmarkStart w:id="104" w:name="_Toc161929386"/>
      <w:r>
        <w:rPr>
          <w:rFonts w:hint="eastAsia"/>
        </w:rPr>
        <w:t>渡口所有人或管理人变更或改造渡口的候船、安全、环保等设施，不属于改建或扩建码头的，应当将有关情况书面告知所在县（区）主管部门。</w:t>
      </w:r>
      <w:bookmarkEnd w:id="104"/>
    </w:p>
    <w:p>
      <w:pPr>
        <w:pStyle w:val="162"/>
      </w:pPr>
      <w:bookmarkStart w:id="105" w:name="_Toc161929387"/>
      <w:r>
        <w:rPr>
          <w:rFonts w:hint="eastAsia"/>
        </w:rPr>
        <w:t>渡口应当建立健全安全生产责任制度、安全生产管理制度、操作规程以及应急预案，配备专业技术人员和管理人员，保证船舶靠泊和人员上下及候船的安全、秩序。</w:t>
      </w:r>
      <w:bookmarkEnd w:id="105"/>
    </w:p>
    <w:p>
      <w:pPr>
        <w:pStyle w:val="162"/>
      </w:pPr>
      <w:bookmarkStart w:id="106" w:name="_Toc161929388"/>
      <w:r>
        <w:rPr>
          <w:rFonts w:hint="eastAsia"/>
        </w:rPr>
        <w:t>渡口工作人员上岗前应当经过培训和考核，掌握有关法律法规及规章的规定和本单位内部管理制度、操作规程和应急预案，以及必要的应急救护常识。</w:t>
      </w:r>
      <w:bookmarkEnd w:id="106"/>
    </w:p>
    <w:p>
      <w:pPr>
        <w:pStyle w:val="162"/>
      </w:pPr>
      <w:bookmarkStart w:id="107" w:name="_Toc161929389"/>
      <w:r>
        <w:rPr>
          <w:rFonts w:hint="eastAsia"/>
        </w:rPr>
        <w:t>运营渡口应当制定防治船舶及其有关作业活动污染河道环境应急预案，报海事和生态环境部门备案，并应当定期组织演练，做好相应记录。渡口应当维护河道岸线生态平衡和环境安全，防治河道岸线和水体污染。</w:t>
      </w:r>
      <w:bookmarkEnd w:id="107"/>
    </w:p>
    <w:p>
      <w:pPr>
        <w:pStyle w:val="162"/>
        <w:numPr>
          <w:numId w:val="0"/>
        </w:numPr>
        <w:ind w:leftChars="0"/>
        <w:rPr>
          <w:rFonts w:hint="eastAsia"/>
        </w:rPr>
      </w:pPr>
    </w:p>
    <w:p>
      <w:pPr>
        <w:pStyle w:val="162"/>
        <w:numPr>
          <w:numId w:val="0"/>
        </w:numPr>
        <w:ind w:leftChars="0"/>
        <w:rPr>
          <w:rFonts w:hint="eastAsia"/>
        </w:rPr>
      </w:pPr>
      <w:bookmarkStart w:id="115" w:name="_GoBack"/>
      <w:bookmarkEnd w:id="115"/>
    </w:p>
    <w:bookmarkEnd w:id="98"/>
    <w:bookmarkEnd w:id="99"/>
    <w:bookmarkEnd w:id="100"/>
    <w:p>
      <w:pPr>
        <w:pStyle w:val="198"/>
        <w:rPr>
          <w:vanish w:val="0"/>
          <w:shd w:val="clear" w:color="auto" w:fill="FFFFFF"/>
        </w:rPr>
      </w:pPr>
      <w:bookmarkStart w:id="108" w:name="_Toc116983096"/>
      <w:bookmarkStart w:id="109" w:name="_Toc126594936"/>
      <w:bookmarkStart w:id="110" w:name="_Toc116983196"/>
      <w:bookmarkStart w:id="111" w:name="_Toc132102408"/>
      <w:bookmarkStart w:id="112" w:name="_Toc128381575"/>
      <w:bookmarkStart w:id="113" w:name="_Toc126594839"/>
    </w:p>
    <w:p>
      <w:pPr>
        <w:pStyle w:val="199"/>
        <w:rPr>
          <w:vanish w:val="0"/>
        </w:rPr>
      </w:pPr>
    </w:p>
    <w:bookmarkEnd w:id="18"/>
    <w:bookmarkEnd w:id="108"/>
    <w:bookmarkEnd w:id="109"/>
    <w:bookmarkEnd w:id="110"/>
    <w:bookmarkEnd w:id="111"/>
    <w:bookmarkEnd w:id="112"/>
    <w:bookmarkEnd w:id="113"/>
    <w:p>
      <w:pPr>
        <w:pStyle w:val="56"/>
        <w:ind w:firstLine="420"/>
      </w:pPr>
    </w:p>
    <w:p>
      <w:pPr>
        <w:pStyle w:val="56"/>
        <w:ind w:left="0" w:leftChars="0" w:firstLine="0" w:firstLineChars="0"/>
        <w:jc w:val="center"/>
      </w:pPr>
      <w:bookmarkStart w:id="114" w:name="BookMark8"/>
      <w:r>
        <w:drawing>
          <wp:inline distT="0" distB="0" distL="0" distR="0">
            <wp:extent cx="1485900" cy="317500"/>
            <wp:effectExtent l="0" t="0" r="0" b="6350"/>
            <wp:docPr id="650588960" name="图片 1"/>
            <wp:cNvGraphicFramePr/>
            <a:graphic xmlns:a="http://schemas.openxmlformats.org/drawingml/2006/main">
              <a:graphicData uri="http://schemas.openxmlformats.org/drawingml/2006/picture">
                <pic:pic xmlns:pic="http://schemas.openxmlformats.org/drawingml/2006/picture">
                  <pic:nvPicPr>
                    <pic:cNvPr id="650588960" name="图片 1"/>
                    <pic:cNvPicPr/>
                  </pic:nvPicPr>
                  <pic:blipFill>
                    <a:blip r:embed="rId20">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14"/>
    </w:p>
    <w:sectPr>
      <w:headerReference r:id="rId15" w:type="default"/>
      <w:footerReference r:id="rId17" w:type="default"/>
      <w:headerReference r:id="rId16" w:type="even"/>
      <w:pgSz w:w="11906" w:h="16838"/>
      <w:pgMar w:top="1928" w:right="1134" w:bottom="1134" w:left="1134" w:header="1418" w:footer="1134" w:gutter="284"/>
      <w:pgNumType w:start="1"/>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等线">
    <w:altName w:val="国标仿宋"/>
    <w:panose1 w:val="00000000000000000000"/>
    <w:charset w:val="86"/>
    <w:family w:val="auto"/>
    <w:pitch w:val="default"/>
    <w:sig w:usb0="00000000" w:usb1="00000000" w:usb2="00000016" w:usb3="00000000" w:csb0="0004000F" w:csb1="00000000"/>
  </w:font>
  <w:font w:name="等线 Light">
    <w:altName w:val="国标仿宋"/>
    <w:panose1 w:val="00000000000000000000"/>
    <w:charset w:val="86"/>
    <w:family w:val="roman"/>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anumGothic">
    <w:panose1 w:val="020D0604000000000000"/>
    <w:charset w:val="81"/>
    <w:family w:val="auto"/>
    <w:pitch w:val="default"/>
    <w:sig w:usb0="900002A7" w:usb1="29D7FCFB" w:usb2="00000010" w:usb3="00000000" w:csb0="00080001" w:csb1="0000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33734"/>
    </w:sdtPr>
    <w:sdtContent>
      <w:p>
        <w:pPr>
          <w:pStyle w:val="52"/>
        </w:pPr>
        <w:r>
          <w:fldChar w:fldCharType="begin"/>
        </w:r>
        <w:r>
          <w:instrText xml:space="preserve">PAGE   \* MERGEFORMAT</w:instrText>
        </w:r>
        <w:r>
          <w:fldChar w:fldCharType="separate"/>
        </w:r>
        <w:r>
          <w:rPr>
            <w:lang w:val="zh-CN"/>
          </w:rPr>
          <w:t>II</w:t>
        </w:r>
        <w:r>
          <w:fldChar w:fldCharType="end"/>
        </w:r>
      </w:p>
    </w:sdtContent>
  </w:sdt>
  <w:p>
    <w:pPr>
      <w:pStyle w:val="5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DB3708</w:t>
    </w:r>
    <w:r>
      <w:rPr>
        <w:rFonts w:hint="eastAsia" w:ascii="黑体" w:hAnsi="黑体" w:eastAsia="黑体"/>
      </w:rPr>
      <w:t>/</w:t>
    </w:r>
    <w:r>
      <w:rPr>
        <w:rFonts w:ascii="黑体" w:hAnsi="黑体" w:eastAsia="黑体"/>
      </w:rPr>
      <w:t>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DB3708</w:t>
    </w:r>
    <w:r>
      <w:rPr>
        <w:rFonts w:hint="eastAsia"/>
      </w:rPr>
      <w:t>/</w:t>
    </w:r>
    <w:r>
      <w:t>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3708/T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DB3708/TXXXX—XXXX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rPr>
        <w:lang w:val="fr-FR"/>
      </w:rPr>
      <w:t>DB 3708/T 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993"/>
        </w:tabs>
        <w:ind w:left="993" w:hanging="426"/>
      </w:pPr>
      <w:rPr>
        <w:rFonts w:hint="eastAsia" w:ascii="宋体" w:hAnsi="Times New Roman" w:eastAsia="宋体"/>
        <w:b w:val="0"/>
        <w:i w:val="0"/>
        <w:sz w:val="21"/>
        <w:lang w:val="en-US"/>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mNDBjZjBlOWIxMGI4MmZiMzM3NzY5NDljMjA4MDcifQ=="/>
  </w:docVars>
  <w:rsids>
    <w:rsidRoot w:val="000E7981"/>
    <w:rsid w:val="0000040A"/>
    <w:rsid w:val="00000A94"/>
    <w:rsid w:val="00001972"/>
    <w:rsid w:val="00001D9A"/>
    <w:rsid w:val="00007B3A"/>
    <w:rsid w:val="000107E0"/>
    <w:rsid w:val="00011FDE"/>
    <w:rsid w:val="00012FFD"/>
    <w:rsid w:val="00014162"/>
    <w:rsid w:val="00014340"/>
    <w:rsid w:val="00016A9C"/>
    <w:rsid w:val="00020AA9"/>
    <w:rsid w:val="00022184"/>
    <w:rsid w:val="00022762"/>
    <w:rsid w:val="00022F89"/>
    <w:rsid w:val="000238E0"/>
    <w:rsid w:val="000249DB"/>
    <w:rsid w:val="0002595E"/>
    <w:rsid w:val="000303C3"/>
    <w:rsid w:val="000331D3"/>
    <w:rsid w:val="000342AF"/>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CBC"/>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0F0"/>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55E"/>
    <w:rsid w:val="000D0A9C"/>
    <w:rsid w:val="000D1795"/>
    <w:rsid w:val="000D329A"/>
    <w:rsid w:val="000D4B9C"/>
    <w:rsid w:val="000D4EB6"/>
    <w:rsid w:val="000D753B"/>
    <w:rsid w:val="000E4C9E"/>
    <w:rsid w:val="000E6FD7"/>
    <w:rsid w:val="000E7981"/>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97"/>
    <w:rsid w:val="00176DFD"/>
    <w:rsid w:val="001852C9"/>
    <w:rsid w:val="00187142"/>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14F0"/>
    <w:rsid w:val="001C2C03"/>
    <w:rsid w:val="001C42F7"/>
    <w:rsid w:val="001C49E5"/>
    <w:rsid w:val="001C6747"/>
    <w:rsid w:val="001C680C"/>
    <w:rsid w:val="001C6E98"/>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7FB9"/>
    <w:rsid w:val="00210B15"/>
    <w:rsid w:val="002142EA"/>
    <w:rsid w:val="002204BB"/>
    <w:rsid w:val="00221AB6"/>
    <w:rsid w:val="00221B79"/>
    <w:rsid w:val="00221C6B"/>
    <w:rsid w:val="002253A1"/>
    <w:rsid w:val="00225CF8"/>
    <w:rsid w:val="0022794E"/>
    <w:rsid w:val="002329C4"/>
    <w:rsid w:val="00233D64"/>
    <w:rsid w:val="0023482A"/>
    <w:rsid w:val="002359CB"/>
    <w:rsid w:val="00241839"/>
    <w:rsid w:val="00243540"/>
    <w:rsid w:val="0024497B"/>
    <w:rsid w:val="0024515B"/>
    <w:rsid w:val="00246021"/>
    <w:rsid w:val="0024666E"/>
    <w:rsid w:val="00247F52"/>
    <w:rsid w:val="00250B25"/>
    <w:rsid w:val="00250BBE"/>
    <w:rsid w:val="002515C2"/>
    <w:rsid w:val="0025194F"/>
    <w:rsid w:val="00255515"/>
    <w:rsid w:val="002562CE"/>
    <w:rsid w:val="0026148A"/>
    <w:rsid w:val="00262696"/>
    <w:rsid w:val="00263D25"/>
    <w:rsid w:val="002643C3"/>
    <w:rsid w:val="00264A0C"/>
    <w:rsid w:val="00266EEB"/>
    <w:rsid w:val="002677C7"/>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368"/>
    <w:rsid w:val="002A1589"/>
    <w:rsid w:val="002A1608"/>
    <w:rsid w:val="002A25DC"/>
    <w:rsid w:val="002A3AAB"/>
    <w:rsid w:val="002A4CEA"/>
    <w:rsid w:val="002A5977"/>
    <w:rsid w:val="002A5A13"/>
    <w:rsid w:val="002A757F"/>
    <w:rsid w:val="002A7F44"/>
    <w:rsid w:val="002B0C40"/>
    <w:rsid w:val="002B1966"/>
    <w:rsid w:val="002B3312"/>
    <w:rsid w:val="002B4508"/>
    <w:rsid w:val="002B5779"/>
    <w:rsid w:val="002B7332"/>
    <w:rsid w:val="002B7F51"/>
    <w:rsid w:val="002C09E7"/>
    <w:rsid w:val="002C1E06"/>
    <w:rsid w:val="002C1E1C"/>
    <w:rsid w:val="002C3F07"/>
    <w:rsid w:val="002C5278"/>
    <w:rsid w:val="002C7EBB"/>
    <w:rsid w:val="002D06C1"/>
    <w:rsid w:val="002D42B5"/>
    <w:rsid w:val="002D4D80"/>
    <w:rsid w:val="002D4F1A"/>
    <w:rsid w:val="002D6EC6"/>
    <w:rsid w:val="002D79AC"/>
    <w:rsid w:val="002E039D"/>
    <w:rsid w:val="002E2337"/>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3767B"/>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3C3F"/>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0923"/>
    <w:rsid w:val="003F23D3"/>
    <w:rsid w:val="003F3F08"/>
    <w:rsid w:val="003F49F1"/>
    <w:rsid w:val="003F6272"/>
    <w:rsid w:val="003F7F92"/>
    <w:rsid w:val="00400E72"/>
    <w:rsid w:val="00401400"/>
    <w:rsid w:val="00404869"/>
    <w:rsid w:val="00405884"/>
    <w:rsid w:val="00407D39"/>
    <w:rsid w:val="0041477A"/>
    <w:rsid w:val="004167A3"/>
    <w:rsid w:val="0042133E"/>
    <w:rsid w:val="00432DAA"/>
    <w:rsid w:val="00434305"/>
    <w:rsid w:val="00435DF7"/>
    <w:rsid w:val="0044083F"/>
    <w:rsid w:val="00441AE7"/>
    <w:rsid w:val="00445574"/>
    <w:rsid w:val="004467FB"/>
    <w:rsid w:val="00450B9D"/>
    <w:rsid w:val="00451E99"/>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AB3"/>
    <w:rsid w:val="004A12DF"/>
    <w:rsid w:val="004A17E6"/>
    <w:rsid w:val="004A1BA8"/>
    <w:rsid w:val="004A4B57"/>
    <w:rsid w:val="004A63FA"/>
    <w:rsid w:val="004B0272"/>
    <w:rsid w:val="004B2701"/>
    <w:rsid w:val="004B2E1B"/>
    <w:rsid w:val="004B3AA8"/>
    <w:rsid w:val="004B3E93"/>
    <w:rsid w:val="004C1FBC"/>
    <w:rsid w:val="004C3F1D"/>
    <w:rsid w:val="004C458D"/>
    <w:rsid w:val="004C569F"/>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997"/>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376"/>
    <w:rsid w:val="005C5F21"/>
    <w:rsid w:val="005C7156"/>
    <w:rsid w:val="005D0C75"/>
    <w:rsid w:val="005D135E"/>
    <w:rsid w:val="005D4171"/>
    <w:rsid w:val="005D6A95"/>
    <w:rsid w:val="005D6B2C"/>
    <w:rsid w:val="005D6D9C"/>
    <w:rsid w:val="005E2335"/>
    <w:rsid w:val="005E34CA"/>
    <w:rsid w:val="005E3C18"/>
    <w:rsid w:val="005E6812"/>
    <w:rsid w:val="005E7881"/>
    <w:rsid w:val="005E78E0"/>
    <w:rsid w:val="005F0D9C"/>
    <w:rsid w:val="005F284E"/>
    <w:rsid w:val="005F45FE"/>
    <w:rsid w:val="005F4712"/>
    <w:rsid w:val="005F6569"/>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975C1"/>
    <w:rsid w:val="006A07AA"/>
    <w:rsid w:val="006A25E5"/>
    <w:rsid w:val="006A2B46"/>
    <w:rsid w:val="006A336D"/>
    <w:rsid w:val="006A37B9"/>
    <w:rsid w:val="006A7410"/>
    <w:rsid w:val="006B2672"/>
    <w:rsid w:val="006B54BF"/>
    <w:rsid w:val="006B5F44"/>
    <w:rsid w:val="006B5F90"/>
    <w:rsid w:val="006B62E4"/>
    <w:rsid w:val="006C1963"/>
    <w:rsid w:val="006C1BBA"/>
    <w:rsid w:val="006C2079"/>
    <w:rsid w:val="006C5A62"/>
    <w:rsid w:val="006C5D68"/>
    <w:rsid w:val="006C6959"/>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6E7"/>
    <w:rsid w:val="00714F58"/>
    <w:rsid w:val="00722FBF"/>
    <w:rsid w:val="00722FC2"/>
    <w:rsid w:val="00724879"/>
    <w:rsid w:val="00724E1B"/>
    <w:rsid w:val="00725949"/>
    <w:rsid w:val="00727FA2"/>
    <w:rsid w:val="00730C5E"/>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BB1"/>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4EE"/>
    <w:rsid w:val="007D2508"/>
    <w:rsid w:val="007D346A"/>
    <w:rsid w:val="007D4118"/>
    <w:rsid w:val="007D6518"/>
    <w:rsid w:val="007D76BD"/>
    <w:rsid w:val="007E0BF1"/>
    <w:rsid w:val="007E5F96"/>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741"/>
    <w:rsid w:val="008269DD"/>
    <w:rsid w:val="00830621"/>
    <w:rsid w:val="0083348C"/>
    <w:rsid w:val="008357F5"/>
    <w:rsid w:val="008373D3"/>
    <w:rsid w:val="00840617"/>
    <w:rsid w:val="00840F84"/>
    <w:rsid w:val="00842A47"/>
    <w:rsid w:val="00843C13"/>
    <w:rsid w:val="008454F8"/>
    <w:rsid w:val="0085173A"/>
    <w:rsid w:val="00852346"/>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A28"/>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1FFA"/>
    <w:rsid w:val="008B3615"/>
    <w:rsid w:val="008B4AC4"/>
    <w:rsid w:val="008B50C8"/>
    <w:rsid w:val="008B5281"/>
    <w:rsid w:val="008B7E05"/>
    <w:rsid w:val="008C1797"/>
    <w:rsid w:val="008C219C"/>
    <w:rsid w:val="008C475E"/>
    <w:rsid w:val="008C619A"/>
    <w:rsid w:val="008D0CE8"/>
    <w:rsid w:val="008D1AB9"/>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268"/>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6FC3"/>
    <w:rsid w:val="009674AD"/>
    <w:rsid w:val="00970CDC"/>
    <w:rsid w:val="00977010"/>
    <w:rsid w:val="0097720B"/>
    <w:rsid w:val="00977D02"/>
    <w:rsid w:val="009809BB"/>
    <w:rsid w:val="0098364B"/>
    <w:rsid w:val="00985B5F"/>
    <w:rsid w:val="009911AF"/>
    <w:rsid w:val="00991875"/>
    <w:rsid w:val="00991F92"/>
    <w:rsid w:val="00992985"/>
    <w:rsid w:val="00993889"/>
    <w:rsid w:val="0099551B"/>
    <w:rsid w:val="00997BF1"/>
    <w:rsid w:val="009A089C"/>
    <w:rsid w:val="009A118E"/>
    <w:rsid w:val="009A189D"/>
    <w:rsid w:val="009A21CD"/>
    <w:rsid w:val="009A278C"/>
    <w:rsid w:val="009A2BC2"/>
    <w:rsid w:val="009A42C1"/>
    <w:rsid w:val="009A5429"/>
    <w:rsid w:val="009A72AD"/>
    <w:rsid w:val="009B09E0"/>
    <w:rsid w:val="009B0BC5"/>
    <w:rsid w:val="009B1247"/>
    <w:rsid w:val="009B46F9"/>
    <w:rsid w:val="009B6029"/>
    <w:rsid w:val="009B6971"/>
    <w:rsid w:val="009C0A6C"/>
    <w:rsid w:val="009C27F1"/>
    <w:rsid w:val="009C3152"/>
    <w:rsid w:val="009C4CFA"/>
    <w:rsid w:val="009C5070"/>
    <w:rsid w:val="009C55E7"/>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07F8F"/>
    <w:rsid w:val="00A129D0"/>
    <w:rsid w:val="00A12C33"/>
    <w:rsid w:val="00A138BA"/>
    <w:rsid w:val="00A14C8E"/>
    <w:rsid w:val="00A153D9"/>
    <w:rsid w:val="00A15F09"/>
    <w:rsid w:val="00A169B6"/>
    <w:rsid w:val="00A2271D"/>
    <w:rsid w:val="00A237D5"/>
    <w:rsid w:val="00A24593"/>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272"/>
    <w:rsid w:val="00A82F1B"/>
    <w:rsid w:val="00A83D8D"/>
    <w:rsid w:val="00A8446B"/>
    <w:rsid w:val="00A8473F"/>
    <w:rsid w:val="00A862D6"/>
    <w:rsid w:val="00A8715E"/>
    <w:rsid w:val="00A9295B"/>
    <w:rsid w:val="00A93B09"/>
    <w:rsid w:val="00A94247"/>
    <w:rsid w:val="00A952D7"/>
    <w:rsid w:val="00A963F7"/>
    <w:rsid w:val="00A96AD8"/>
    <w:rsid w:val="00AA052C"/>
    <w:rsid w:val="00AA1E45"/>
    <w:rsid w:val="00AA35BD"/>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6EB"/>
    <w:rsid w:val="00AD1A94"/>
    <w:rsid w:val="00AD1C05"/>
    <w:rsid w:val="00AD4126"/>
    <w:rsid w:val="00AD421C"/>
    <w:rsid w:val="00AD44FA"/>
    <w:rsid w:val="00AD4A56"/>
    <w:rsid w:val="00AE070A"/>
    <w:rsid w:val="00AE101C"/>
    <w:rsid w:val="00AE37E5"/>
    <w:rsid w:val="00AE5EB4"/>
    <w:rsid w:val="00AF0C18"/>
    <w:rsid w:val="00AF47C5"/>
    <w:rsid w:val="00AF5398"/>
    <w:rsid w:val="00AF7BC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030"/>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6BA6"/>
    <w:rsid w:val="00BA7323"/>
    <w:rsid w:val="00BA7C9A"/>
    <w:rsid w:val="00BA7DA1"/>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8FB"/>
    <w:rsid w:val="00C0119C"/>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27C4"/>
    <w:rsid w:val="00C33E50"/>
    <w:rsid w:val="00C34C20"/>
    <w:rsid w:val="00C35A3E"/>
    <w:rsid w:val="00C37331"/>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5CD7"/>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0C27"/>
    <w:rsid w:val="00D21E81"/>
    <w:rsid w:val="00D223DE"/>
    <w:rsid w:val="00D2300A"/>
    <w:rsid w:val="00D25E37"/>
    <w:rsid w:val="00D2661A"/>
    <w:rsid w:val="00D27582"/>
    <w:rsid w:val="00D27EC4"/>
    <w:rsid w:val="00D32719"/>
    <w:rsid w:val="00D33333"/>
    <w:rsid w:val="00D33457"/>
    <w:rsid w:val="00D352A2"/>
    <w:rsid w:val="00D3660F"/>
    <w:rsid w:val="00D379D4"/>
    <w:rsid w:val="00D40FBD"/>
    <w:rsid w:val="00D4162B"/>
    <w:rsid w:val="00D4514F"/>
    <w:rsid w:val="00D451E2"/>
    <w:rsid w:val="00D45E89"/>
    <w:rsid w:val="00D45E8D"/>
    <w:rsid w:val="00D466AE"/>
    <w:rsid w:val="00D4734F"/>
    <w:rsid w:val="00D51BF3"/>
    <w:rsid w:val="00D61E00"/>
    <w:rsid w:val="00D66846"/>
    <w:rsid w:val="00D675FB"/>
    <w:rsid w:val="00D71F25"/>
    <w:rsid w:val="00D72A9C"/>
    <w:rsid w:val="00D750AC"/>
    <w:rsid w:val="00D77031"/>
    <w:rsid w:val="00D84941"/>
    <w:rsid w:val="00D84FA1"/>
    <w:rsid w:val="00D851F0"/>
    <w:rsid w:val="00D86DB7"/>
    <w:rsid w:val="00D926D0"/>
    <w:rsid w:val="00D93030"/>
    <w:rsid w:val="00D950E1"/>
    <w:rsid w:val="00D952A6"/>
    <w:rsid w:val="00D97CE8"/>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B7623"/>
    <w:rsid w:val="00DC0321"/>
    <w:rsid w:val="00DC3067"/>
    <w:rsid w:val="00DC370B"/>
    <w:rsid w:val="00DC5B90"/>
    <w:rsid w:val="00DD00FF"/>
    <w:rsid w:val="00DD0619"/>
    <w:rsid w:val="00DD07FB"/>
    <w:rsid w:val="00DD25C6"/>
    <w:rsid w:val="00DD4FE5"/>
    <w:rsid w:val="00DD54B0"/>
    <w:rsid w:val="00DD57EE"/>
    <w:rsid w:val="00DD6BCC"/>
    <w:rsid w:val="00DE0A4B"/>
    <w:rsid w:val="00DE2408"/>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352B"/>
    <w:rsid w:val="00E15CCD"/>
    <w:rsid w:val="00E202EF"/>
    <w:rsid w:val="00E20B5E"/>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1DD"/>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2428"/>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CBD"/>
    <w:rsid w:val="00EF7E72"/>
    <w:rsid w:val="00F06D37"/>
    <w:rsid w:val="00F07B9D"/>
    <w:rsid w:val="00F11586"/>
    <w:rsid w:val="00F1183B"/>
    <w:rsid w:val="00F11C9F"/>
    <w:rsid w:val="00F12263"/>
    <w:rsid w:val="00F12918"/>
    <w:rsid w:val="00F1409D"/>
    <w:rsid w:val="00F14214"/>
    <w:rsid w:val="00F157A9"/>
    <w:rsid w:val="00F25BB6"/>
    <w:rsid w:val="00F26B7E"/>
    <w:rsid w:val="00F27A3B"/>
    <w:rsid w:val="00F33817"/>
    <w:rsid w:val="00F420D5"/>
    <w:rsid w:val="00F451EA"/>
    <w:rsid w:val="00F45447"/>
    <w:rsid w:val="00F456C6"/>
    <w:rsid w:val="00F4577B"/>
    <w:rsid w:val="00F45F2A"/>
    <w:rsid w:val="00F46496"/>
    <w:rsid w:val="00F474D0"/>
    <w:rsid w:val="00F50179"/>
    <w:rsid w:val="00F515EE"/>
    <w:rsid w:val="00F56511"/>
    <w:rsid w:val="00F60633"/>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B41"/>
    <w:rsid w:val="00F97C99"/>
    <w:rsid w:val="00FA4DAC"/>
    <w:rsid w:val="00FA662D"/>
    <w:rsid w:val="00FA72B0"/>
    <w:rsid w:val="00FA73B1"/>
    <w:rsid w:val="00FB0CB9"/>
    <w:rsid w:val="00FB231D"/>
    <w:rsid w:val="00FB45F1"/>
    <w:rsid w:val="00FB4A72"/>
    <w:rsid w:val="00FB54E8"/>
    <w:rsid w:val="00FB7054"/>
    <w:rsid w:val="00FC06C1"/>
    <w:rsid w:val="00FC17B7"/>
    <w:rsid w:val="00FC2CB7"/>
    <w:rsid w:val="00FC4090"/>
    <w:rsid w:val="00FC55B4"/>
    <w:rsid w:val="00FD00E6"/>
    <w:rsid w:val="00FD09A1"/>
    <w:rsid w:val="00FD1463"/>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1F9482D"/>
    <w:rsid w:val="53F7734B"/>
    <w:rsid w:val="6BE413C0"/>
    <w:rsid w:val="6EA136DF"/>
    <w:rsid w:val="EFAE1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pPr>
      <w:tabs>
        <w:tab w:val="right" w:leader="dot" w:pos="9344"/>
      </w:tabs>
      <w:jc w:val="left"/>
    </w:pPr>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tabs>
        <w:tab w:val="left" w:pos="851"/>
      </w:tabs>
      <w:ind w:left="851"/>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Table Normal"/>
    <w:semiHidden/>
    <w:qFormat/>
    <w:uiPriority w:val="2"/>
    <w:pPr>
      <w:widowControl w:val="0"/>
      <w:autoSpaceDE w:val="0"/>
      <w:autoSpaceDN w:val="0"/>
    </w:pPr>
    <w:rPr>
      <w:rFonts w:ascii="Times New Roman" w:hAnsi="Times New Roman"/>
      <w:sz w:val="22"/>
      <w:lang w:eastAsia="en-US"/>
    </w:rPr>
    <w:tblPr>
      <w:tblCellMar>
        <w:top w:w="0" w:type="dxa"/>
        <w:left w:w="0" w:type="dxa"/>
        <w:bottom w:w="0" w:type="dxa"/>
        <w:right w:w="0" w:type="dxa"/>
      </w:tblCellMar>
    </w:tblPr>
  </w:style>
  <w:style w:type="paragraph" w:customStyle="1" w:styleId="231">
    <w:name w:val="段"/>
    <w:link w:val="232"/>
    <w:qFormat/>
    <w:uiPriority w:val="0"/>
    <w:pPr>
      <w:autoSpaceDE w:val="0"/>
      <w:autoSpaceDN w:val="0"/>
      <w:ind w:firstLine="420" w:firstLineChars="200"/>
      <w:jc w:val="both"/>
    </w:pPr>
    <w:rPr>
      <w:rFonts w:ascii="宋体" w:hAnsiTheme="minorHAnsi" w:eastAsiaTheme="minorEastAsia" w:cstheme="minorBidi"/>
      <w:sz w:val="21"/>
      <w:lang w:val="en-US" w:eastAsia="zh-CN" w:bidi="ar-SA"/>
    </w:rPr>
  </w:style>
  <w:style w:type="character" w:customStyle="1" w:styleId="232">
    <w:name w:val="段 Char"/>
    <w:link w:val="231"/>
    <w:qFormat/>
    <w:uiPriority w:val="0"/>
    <w:rPr>
      <w:rFonts w:ascii="宋体" w:hAnsiTheme="minorHAnsi" w:eastAsiaTheme="minorEastAsia" w:cstheme="minorBidi"/>
      <w:sz w:val="21"/>
    </w:rPr>
  </w:style>
  <w:style w:type="paragraph" w:customStyle="1" w:styleId="233">
    <w:name w:val="TOC Heading"/>
    <w:basedOn w:val="2"/>
    <w:next w:val="1"/>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paragraph" w:customStyle="1" w:styleId="234">
    <w:name w:val="其他标准标志"/>
    <w:basedOn w:val="49"/>
    <w:qFormat/>
    <w:uiPriority w:val="0"/>
    <w:pPr>
      <w:framePr w:w="6101" w:h="1389" w:hRule="exact" w:hSpace="181" w:vSpace="181" w:vAnchor="page" w:hAnchor="page" w:x="4673" w:y="942"/>
    </w:pPr>
    <w:rPr>
      <w:szCs w:val="9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image" Target="media/image1.tiff"/><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D8DB34D658468DB1F477CF22DCB355"/>
        <w:style w:val=""/>
        <w:category>
          <w:name w:val="常规"/>
          <w:gallery w:val="placeholder"/>
        </w:category>
        <w:types>
          <w:type w:val="bbPlcHdr"/>
        </w:types>
        <w:behaviors>
          <w:behavior w:val="content"/>
        </w:behaviors>
        <w:description w:val=""/>
        <w:guid w:val="{3F9DCA41-4BA4-4B8C-B009-B7FB0D242B91}"/>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国标仿宋"/>
    <w:panose1 w:val="00000000000000000000"/>
    <w:charset w:val="86"/>
    <w:family w:val="auto"/>
    <w:pitch w:val="default"/>
    <w:sig w:usb0="00000000" w:usb1="00000000" w:usb2="00000016" w:usb3="00000000" w:csb0="0004000F"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55A4"/>
    <w:rsid w:val="00122B94"/>
    <w:rsid w:val="001500B5"/>
    <w:rsid w:val="00242199"/>
    <w:rsid w:val="002B08AA"/>
    <w:rsid w:val="003112C6"/>
    <w:rsid w:val="003B2284"/>
    <w:rsid w:val="004318E6"/>
    <w:rsid w:val="00475131"/>
    <w:rsid w:val="0062519E"/>
    <w:rsid w:val="00662CEF"/>
    <w:rsid w:val="0068704A"/>
    <w:rsid w:val="007E1877"/>
    <w:rsid w:val="00A955A4"/>
    <w:rsid w:val="00AE2E9E"/>
    <w:rsid w:val="00D07EB7"/>
    <w:rsid w:val="00DB59AD"/>
    <w:rsid w:val="00E002DD"/>
    <w:rsid w:val="00FE73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FD8DB34D658468DB1F477CF22DCB3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5E62E43C7CF464CA72EF31B8EDD50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ED7E68F69B44534A5688810B81C5C4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Pages>
  <Words>701</Words>
  <Characters>4000</Characters>
  <Lines>33</Lines>
  <Paragraphs>9</Paragraphs>
  <TotalTime>1</TotalTime>
  <ScaleCrop>false</ScaleCrop>
  <LinksUpToDate>false</LinksUpToDate>
  <CharactersWithSpaces>4692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2024-03-21T15:12:00Z</dcterms:created>
  <dc:creator>sdis-PC</dc:creator>
  <dc:description>&lt;config cover="true" show_menu="true" version="1.0.0" doctype="SDKXY"&gt;_x000d_
&lt;/config&gt;</dc:description>
  <cp:lastModifiedBy>thtf</cp:lastModifiedBy>
  <cp:lastPrinted>2020-08-30T18:00:00Z</cp:lastPrinted>
  <dcterms:modified xsi:type="dcterms:W3CDTF">2024-03-21T16:34:28Z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2052-11.8.2.9958</vt:lpwstr>
  </property>
  <property fmtid="{D5CDD505-2E9C-101B-9397-08002B2CF9AE}" pid="15" name="ICV">
    <vt:lpwstr>77889843189E45088E2DC63FC86C6253</vt:lpwstr>
  </property>
</Properties>
</file>