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27.010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F 01</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13" cstate="print">
                            <a:extLst>
                              <a:ext uri="{28A0092B-C50C-407E-A947-70E740481C1C}">
                                <a14:useLocalDpi xmlns:a14="http://schemas.microsoft.com/office/drawing/2010/main" val="false"/>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3708</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Theme="minorEastAsia" w:hAnsiTheme="minorEastAsia" w:eastAsiaTheme="minorEastAsia"/>
          <w:b w:val="0"/>
          <w:w w:val="100"/>
          <w:sz w:val="48"/>
        </w:rPr>
        <w:t>济宁市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3708/T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bookmarkStart w:id="7" w:name="NSTD_CODE_B"/>
      <w:r>
        <w:rPr>
          <w:rFonts w:ascii="黑体" w:hAnsi="Times New Roman" w:eastAsia="黑体" w:cs="Times New Roman"/>
          <w:bCs/>
          <w:sz w:val="28"/>
          <w:szCs w:val="28"/>
          <w:lang w:val="fr-FR" w:eastAsia="zh-CN" w:bidi="ar-SA"/>
        </w:rPr>
        <w:fldChar w:fldCharType="begin">
          <w:ffData>
            <w:name w:val="NSTD_CODE_B"/>
            <w:enabled/>
            <w:calcOnExit w:val="0"/>
            <w:textInput>
              <w:default w:val="2022"/>
            </w:textInput>
          </w:ffData>
        </w:fldChar>
      </w:r>
      <w:r>
        <w:rPr>
          <w:rFonts w:ascii="黑体" w:hAnsi="Times New Roman" w:eastAsia="黑体" w:cs="Times New Roman"/>
          <w:bCs/>
          <w:sz w:val="28"/>
          <w:szCs w:val="28"/>
          <w:lang w:val="fr-FR" w:eastAsia="zh-CN" w:bidi="ar-SA"/>
        </w:rPr>
        <w:instrText xml:space="preserve">FORMTEXT</w:instrText>
      </w:r>
      <w:r>
        <w:rPr>
          <w:rFonts w:ascii="黑体" w:hAnsi="Times New Roman" w:eastAsia="黑体" w:cs="Times New Roman"/>
          <w:bCs/>
          <w:sz w:val="28"/>
          <w:szCs w:val="28"/>
          <w:lang w:val="fr-FR" w:eastAsia="zh-CN" w:bidi="ar-SA"/>
        </w:rPr>
        <w:fldChar w:fldCharType="separate"/>
      </w:r>
      <w:r>
        <w:rPr>
          <w:rFonts w:ascii="黑体" w:hAnsi="Times New Roman" w:eastAsia="黑体" w:cs="Times New Roman"/>
          <w:bCs/>
          <w:sz w:val="28"/>
          <w:szCs w:val="28"/>
          <w:lang w:val="fr-FR" w:eastAsia="zh-CN" w:bidi="ar-SA"/>
        </w:rPr>
        <w:t>2022</w:t>
      </w:r>
      <w:r>
        <w:rPr>
          <w:rFonts w:ascii="黑体" w:hAnsi="Times New Roman" w:eastAsia="黑体" w:cs="Times New Roman"/>
          <w:bCs/>
          <w:sz w:val="28"/>
          <w:szCs w:val="28"/>
          <w:lang w:val="fr-FR" w:eastAsia="zh-CN" w:bidi="ar-SA"/>
        </w:rPr>
        <w:fldChar w:fldCharType="end"/>
      </w:r>
      <w:bookmarkEnd w:id="7"/>
    </w:p>
    <w:p>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公共机构节能监</w:t>
      </w:r>
      <w:r>
        <w:rPr>
          <w:rFonts w:hint="eastAsia"/>
        </w:rPr>
        <w:t>管</w:t>
      </w:r>
      <w:r>
        <w:t>平台建设指南</w:t>
      </w:r>
      <w:r>
        <w:fldChar w:fldCharType="end"/>
      </w:r>
      <w:bookmarkEnd w:id="9"/>
    </w:p>
    <w:p>
      <w:pPr>
        <w:pStyle w:val="56"/>
        <w:ind w:firstLine="420"/>
        <w:rPr>
          <w:rFonts w:hint="eastAsia"/>
        </w:rPr>
      </w:pPr>
    </w:p>
    <w:p>
      <w:pPr>
        <w:framePr w:w="9639" w:h="6974" w:hRule="exact" w:wrap="around" w:vAnchor="page" w:hAnchor="page" w:x="1419" w:y="6408" w:anchorLock="1"/>
        <w:ind w:left="-1418"/>
      </w:pPr>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r>
        <w:t>Guidelines for the construction of energy saving supervision platform in public institutions</w:t>
      </w: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3"/>
        <w:framePr w:y="14176"/>
      </w:pPr>
      <w:bookmarkStart w:id="13" w:name="PLSH_DATE_Y"/>
      <w:r>
        <w:rPr>
          <w:rFonts w:ascii="黑体" w:hAnsi="Times New Roman" w:eastAsia="黑体" w:cs="Times New Roman"/>
          <w:sz w:val="28"/>
          <w:lang w:val="en-US" w:eastAsia="zh-CN" w:bidi="ar-SA"/>
        </w:rPr>
        <w:fldChar w:fldCharType="begin">
          <w:ffData>
            <w:name w:val="PLSH_DATE_Y"/>
            <w:enabled/>
            <w:calcOnExit w:val="0"/>
            <w:textInput>
              <w:default w:val="2022"/>
              <w:maxLength w:val="4"/>
            </w:textInput>
          </w:ffData>
        </w:fldChar>
      </w:r>
      <w:r>
        <w:rPr>
          <w:rFonts w:ascii="黑体" w:hAnsi="Times New Roman" w:eastAsia="黑体" w:cs="Times New Roman"/>
          <w:sz w:val="28"/>
          <w:lang w:val="en-US" w:eastAsia="zh-CN" w:bidi="ar-SA"/>
        </w:rPr>
        <w:instrText xml:space="preserve">FORMTEXT</w:instrText>
      </w:r>
      <w:r>
        <w:rPr>
          <w:rFonts w:ascii="黑体" w:hAnsi="Times New Roman" w:eastAsia="黑体" w:cs="Times New Roman"/>
          <w:sz w:val="28"/>
          <w:lang w:val="en-US" w:eastAsia="zh-CN" w:bidi="ar-SA"/>
        </w:rPr>
        <w:fldChar w:fldCharType="separate"/>
      </w:r>
      <w:r>
        <w:rPr>
          <w:rFonts w:ascii="黑体" w:hAnsi="Times New Roman" w:eastAsia="黑体" w:cs="Times New Roman"/>
          <w:sz w:val="28"/>
          <w:lang w:val="en-US" w:eastAsia="zh-CN" w:bidi="ar-SA"/>
        </w:rPr>
        <w:t>2022</w:t>
      </w:r>
      <w:r>
        <w:rPr>
          <w:rFonts w:ascii="黑体" w:hAnsi="Times New Roman" w:eastAsia="黑体" w:cs="Times New Roman"/>
          <w:sz w:val="28"/>
          <w:lang w:val="en-US" w:eastAsia="zh-CN" w:bidi="ar-SA"/>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4"/>
        <w:framePr w:y="14176"/>
      </w:pPr>
      <w:bookmarkStart w:id="16" w:name="CROT_DATE_Y"/>
      <w:bookmarkStart w:id="42" w:name="_GoBack"/>
      <w:r>
        <w:rPr>
          <w:rFonts w:ascii="黑体" w:hAnsi="Times New Roman" w:eastAsia="黑体" w:cs="Times New Roman"/>
          <w:sz w:val="28"/>
          <w:lang w:val="en-US" w:eastAsia="zh-CN" w:bidi="ar-SA"/>
        </w:rPr>
        <w:fldChar w:fldCharType="begin">
          <w:ffData>
            <w:name w:val="CROT_DATE_Y"/>
            <w:enabled/>
            <w:calcOnExit w:val="0"/>
            <w:textInput>
              <w:default w:val="2022"/>
              <w:maxLength w:val="4"/>
            </w:textInput>
          </w:ffData>
        </w:fldChar>
      </w:r>
      <w:r>
        <w:rPr>
          <w:rFonts w:ascii="黑体" w:hAnsi="Times New Roman" w:eastAsia="黑体" w:cs="Times New Roman"/>
          <w:sz w:val="28"/>
          <w:lang w:val="en-US" w:eastAsia="zh-CN" w:bidi="ar-SA"/>
        </w:rPr>
        <w:instrText xml:space="preserve">FORMTEXT</w:instrText>
      </w:r>
      <w:r>
        <w:rPr>
          <w:rFonts w:ascii="黑体" w:hAnsi="Times New Roman" w:eastAsia="黑体" w:cs="Times New Roman"/>
          <w:sz w:val="28"/>
          <w:lang w:val="en-US" w:eastAsia="zh-CN" w:bidi="ar-SA"/>
        </w:rPr>
        <w:fldChar w:fldCharType="separate"/>
      </w:r>
      <w:r>
        <w:rPr>
          <w:rFonts w:ascii="黑体" w:hAnsi="Times New Roman" w:eastAsia="黑体" w:cs="Times New Roman"/>
          <w:sz w:val="28"/>
          <w:lang w:val="en-US" w:eastAsia="zh-CN" w:bidi="ar-SA"/>
        </w:rPr>
        <w:t>2022</w:t>
      </w:r>
      <w:r>
        <w:rPr>
          <w:rFonts w:ascii="黑体" w:hAnsi="Times New Roman" w:eastAsia="黑体" w:cs="Times New Roman"/>
          <w:sz w:val="28"/>
          <w:lang w:val="en-US" w:eastAsia="zh-CN" w:bidi="ar-SA"/>
        </w:rPr>
        <w:fldChar w:fldCharType="end"/>
      </w:r>
      <w:bookmarkEnd w:id="42"/>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济宁市市场监督管理局</w:t>
      </w:r>
      <w:r>
        <w:rPr>
          <w:rFonts w:hAnsi="黑体"/>
          <w:w w:val="10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3360"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pPr>
        <w:pStyle w:val="89"/>
        <w:spacing w:after="468"/>
      </w:pPr>
      <w:bookmarkStart w:id="20" w:name="BookMark2"/>
      <w:r>
        <w:rPr>
          <w:rFonts w:hint="eastAsia"/>
          <w:spacing w:val="320"/>
        </w:rPr>
        <w:t>前</w:t>
      </w:r>
      <w:r>
        <w:rPr>
          <w:rFonts w:hint="eastAsia"/>
        </w:rPr>
        <w:t>言</w:t>
      </w:r>
    </w:p>
    <w:p>
      <w:pPr>
        <w:pStyle w:val="56"/>
        <w:ind w:firstLine="420"/>
      </w:pPr>
      <w:r>
        <w:rPr>
          <w:rFonts w:hint="eastAsia"/>
        </w:rPr>
        <w:t>本文件按照GB/T1.1—2020《标准化工作导则第1部分：标准化文件的结构和起草规则》的规定起草。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本文件由济宁市机关事务中心提出、归口并组织实施。</w:t>
      </w:r>
    </w:p>
    <w:p>
      <w:pPr>
        <w:pStyle w:val="56"/>
        <w:ind w:firstLine="420"/>
        <w:sectPr>
          <w:headerReference r:id="rId9" w:type="default"/>
          <w:footerReference r:id="rId11" w:type="default"/>
          <w:headerReference r:id="rId10" w:type="even"/>
          <w:pgSz w:w="11906" w:h="16838"/>
          <w:pgMar w:top="2410" w:right="1134" w:bottom="1134" w:left="1134" w:header="1418" w:footer="1134" w:gutter="284"/>
          <w:pgNumType w:fmt="upperRoman" w:start="1"/>
          <w:cols w:space="425" w:num="1"/>
          <w:formProt w:val="0"/>
          <w:docGrid w:type="lines" w:linePitch="312" w:charSpace="0"/>
        </w:sectPr>
      </w:pPr>
    </w:p>
    <w:bookmarkEnd w:id="20"/>
    <w:p>
      <w:pPr>
        <w:spacing w:line="20" w:lineRule="exact"/>
        <w:jc w:val="center"/>
        <w:rPr>
          <w:rFonts w:ascii="黑体" w:hAnsi="黑体" w:eastAsia="黑体"/>
          <w:sz w:val="32"/>
          <w:szCs w:val="32"/>
        </w:rPr>
      </w:pPr>
      <w:bookmarkStart w:id="21" w:name="BookMark4"/>
    </w:p>
    <w:p>
      <w:pPr>
        <w:spacing w:line="20" w:lineRule="exact"/>
        <w:jc w:val="center"/>
        <w:rPr>
          <w:rFonts w:ascii="黑体" w:hAnsi="黑体" w:eastAsia="黑体"/>
          <w:sz w:val="32"/>
          <w:szCs w:val="32"/>
        </w:rPr>
      </w:pPr>
    </w:p>
    <w:sdt>
      <w:sdtPr>
        <w:tag w:val="NEW_STAND_NAME"/>
        <w:id w:val="595910757"/>
        <w:lock w:val="sdtLocked"/>
        <w:placeholder>
          <w:docPart w:val="CD6E7041666F440195B7EBE783A002F1"/>
        </w:placeholder>
      </w:sdtPr>
      <w:sdtContent>
        <w:p>
          <w:pPr>
            <w:pStyle w:val="177"/>
            <w:spacing w:before="312" w:beforeLines="100" w:after="686" w:afterLines="220"/>
          </w:pPr>
          <w:bookmarkStart w:id="22" w:name="NEW_STAND_NAME"/>
          <w:r>
            <w:rPr>
              <w:rFonts w:hint="eastAsia"/>
            </w:rPr>
            <w:t>公共机构节能监管平台建设指南</w:t>
          </w:r>
        </w:p>
      </w:sdtContent>
    </w:sdt>
    <w:bookmarkEnd w:id="22"/>
    <w:p>
      <w:pPr>
        <w:pStyle w:val="104"/>
        <w:spacing w:before="312" w:after="312"/>
      </w:pPr>
      <w:bookmarkStart w:id="23" w:name="_Toc17233333"/>
      <w:bookmarkStart w:id="24" w:name="_Toc26986771"/>
      <w:bookmarkStart w:id="25" w:name="_Toc26986530"/>
      <w:bookmarkStart w:id="26" w:name="_Toc24884211"/>
      <w:bookmarkStart w:id="27" w:name="_Toc26648465"/>
      <w:bookmarkStart w:id="28" w:name="_Toc26718930"/>
      <w:bookmarkStart w:id="29" w:name="_Toc24884218"/>
      <w:bookmarkStart w:id="30" w:name="_Toc17233325"/>
      <w:r>
        <w:rPr>
          <w:rFonts w:hint="eastAsia"/>
        </w:rPr>
        <w:t>范围</w:t>
      </w:r>
      <w:bookmarkEnd w:id="23"/>
      <w:bookmarkEnd w:id="24"/>
      <w:bookmarkEnd w:id="25"/>
      <w:bookmarkEnd w:id="26"/>
      <w:bookmarkEnd w:id="27"/>
      <w:bookmarkEnd w:id="28"/>
      <w:bookmarkEnd w:id="29"/>
      <w:bookmarkEnd w:id="30"/>
    </w:p>
    <w:p>
      <w:pPr>
        <w:pStyle w:val="56"/>
        <w:ind w:firstLine="420"/>
      </w:pPr>
      <w:bookmarkStart w:id="31" w:name="_Toc24884219"/>
      <w:bookmarkStart w:id="32" w:name="_Toc26648466"/>
      <w:bookmarkStart w:id="33" w:name="_Toc17233326"/>
      <w:bookmarkStart w:id="34" w:name="_Toc24884212"/>
      <w:bookmarkStart w:id="35" w:name="_Toc17233334"/>
      <w:r>
        <w:rPr>
          <w:rFonts w:hint="eastAsia"/>
        </w:rPr>
        <w:t>本文件规定了节能监管平台建设的平台构成、功能要求、资源共享和数据交换、人机交互界面设计、信息安全管理、运营维护管理等内容。</w:t>
      </w:r>
    </w:p>
    <w:p>
      <w:pPr>
        <w:pStyle w:val="56"/>
        <w:ind w:firstLine="420"/>
      </w:pPr>
      <w:r>
        <w:rPr>
          <w:rFonts w:hint="eastAsia"/>
        </w:rPr>
        <w:t>本文件适用于济宁市各公共机构的节能监测服务平台建设。</w:t>
      </w:r>
    </w:p>
    <w:p>
      <w:pPr>
        <w:pStyle w:val="104"/>
        <w:spacing w:before="312" w:after="312"/>
      </w:pPr>
      <w:bookmarkStart w:id="36" w:name="_Toc26986772"/>
      <w:bookmarkStart w:id="37" w:name="_Toc26718931"/>
      <w:bookmarkStart w:id="38" w:name="_Toc26986531"/>
      <w:r>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E73548A1ED02408EA3B8E1A6F2B25C5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 17167</w:t>
      </w:r>
      <w:r>
        <w:t xml:space="preserve">  </w:t>
      </w:r>
      <w:r>
        <w:rPr>
          <w:rFonts w:hint="eastAsia"/>
        </w:rPr>
        <w:t>用能单位能源计量器具配备和管理通则</w:t>
      </w:r>
    </w:p>
    <w:p>
      <w:pPr>
        <w:pStyle w:val="56"/>
        <w:ind w:firstLine="420"/>
      </w:pPr>
      <w:r>
        <w:rPr>
          <w:rFonts w:hint="eastAsia"/>
        </w:rPr>
        <w:t>GB/T 36674-2018</w:t>
      </w:r>
      <w:r>
        <w:t xml:space="preserve">  </w:t>
      </w:r>
      <w:r>
        <w:rPr>
          <w:rFonts w:hint="eastAsia"/>
        </w:rPr>
        <w:t>公共机构能耗监控系统通用技术要求</w:t>
      </w:r>
    </w:p>
    <w:p>
      <w:pPr>
        <w:pStyle w:val="56"/>
        <w:ind w:firstLine="420"/>
      </w:pPr>
      <w:r>
        <w:t>DB37/T 3303</w:t>
      </w:r>
      <w:r>
        <w:rPr>
          <w:rFonts w:hint="eastAsia"/>
        </w:rPr>
        <w:t xml:space="preserve">  信息安全技术 内控安全管理技术规范</w:t>
      </w:r>
    </w:p>
    <w:p>
      <w:pPr>
        <w:pStyle w:val="104"/>
        <w:spacing w:before="312" w:after="312"/>
      </w:pPr>
      <w:r>
        <w:rPr>
          <w:rFonts w:hint="eastAsia"/>
          <w:szCs w:val="21"/>
        </w:rPr>
        <w:t>术语和定义</w:t>
      </w:r>
    </w:p>
    <w:sdt>
      <w:sdtPr>
        <w:id w:val="-1909835108"/>
        <w:placeholder>
          <w:docPart w:val="A2BEFAADAA9C440E9525DF85EBDBBB1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39" w:name="_Toc26986532"/>
          <w:bookmarkEnd w:id="39"/>
          <w:r>
            <w:t>下列术语和定义适用于本文件。</w:t>
          </w:r>
        </w:p>
      </w:sdtContent>
    </w:sdt>
    <w:p>
      <w:pPr>
        <w:pStyle w:val="223"/>
        <w:ind w:left="420" w:hanging="420" w:hangingChars="200"/>
        <w:rPr>
          <w:rFonts w:ascii="黑体" w:hAnsi="黑体" w:eastAsia="黑体"/>
        </w:rPr>
      </w:pPr>
    </w:p>
    <w:p>
      <w:pPr>
        <w:pStyle w:val="223"/>
        <w:numPr>
          <w:ilvl w:val="0"/>
          <w:numId w:val="0"/>
        </w:numPr>
        <w:ind w:firstLine="420" w:firstLineChars="200"/>
        <w:rPr>
          <w:rFonts w:ascii="黑体" w:hAnsi="黑体" w:eastAsia="黑体"/>
        </w:rPr>
      </w:pPr>
      <w:r>
        <w:rPr>
          <w:rFonts w:hint="eastAsia" w:ascii="黑体" w:hAnsi="黑体" w:eastAsia="黑体"/>
        </w:rPr>
        <w:t xml:space="preserve">公共机构 </w:t>
      </w:r>
      <w:r>
        <w:rPr>
          <w:rFonts w:ascii="黑体" w:hAnsi="黑体" w:eastAsia="黑体"/>
        </w:rPr>
        <w:t>public institutions</w:t>
      </w:r>
    </w:p>
    <w:p>
      <w:pPr>
        <w:pStyle w:val="56"/>
        <w:ind w:firstLine="420"/>
      </w:pPr>
      <w:r>
        <w:rPr>
          <w:rFonts w:hint="eastAsia"/>
        </w:rPr>
        <w:t>全部或者部分使用财政性资金的国家机关、事业单位和团体组织。</w:t>
      </w:r>
    </w:p>
    <w:p>
      <w:pPr>
        <w:pStyle w:val="223"/>
        <w:ind w:left="420" w:hanging="420" w:hangingChars="200"/>
        <w:rPr>
          <w:rFonts w:ascii="黑体" w:hAnsi="黑体" w:eastAsia="黑体"/>
        </w:rPr>
      </w:pPr>
    </w:p>
    <w:p>
      <w:pPr>
        <w:pStyle w:val="223"/>
        <w:numPr>
          <w:ilvl w:val="0"/>
          <w:numId w:val="0"/>
        </w:numPr>
        <w:ind w:firstLine="420" w:firstLineChars="200"/>
        <w:rPr>
          <w:rFonts w:ascii="黑体" w:hAnsi="黑体" w:eastAsia="黑体"/>
        </w:rPr>
      </w:pPr>
      <w:r>
        <w:rPr>
          <w:rFonts w:hint="eastAsia" w:ascii="黑体" w:hAnsi="黑体" w:eastAsia="黑体"/>
        </w:rPr>
        <w:t xml:space="preserve">节能监测系统 </w:t>
      </w:r>
      <w:r>
        <w:rPr>
          <w:rFonts w:ascii="黑体" w:hAnsi="黑体" w:eastAsia="黑体"/>
        </w:rPr>
        <w:t>energy saving monitoring system</w:t>
      </w:r>
    </w:p>
    <w:p>
      <w:pPr>
        <w:pStyle w:val="56"/>
        <w:ind w:firstLine="420"/>
      </w:pPr>
      <w:r>
        <w:rPr>
          <w:rFonts w:hint="eastAsia"/>
        </w:rPr>
        <w:t>指在完善能源计量管理的基础上，集成利用信息技术手段对用能单位能耗、水耗数据进行实时采集、汇总、分析，对能源利用状况进行数字化、可视化管理的系统。</w:t>
      </w:r>
    </w:p>
    <w:p>
      <w:pPr>
        <w:pStyle w:val="223"/>
        <w:ind w:left="420" w:hanging="420" w:hangingChars="200"/>
        <w:rPr>
          <w:rFonts w:ascii="黑体" w:hAnsi="黑体" w:eastAsia="黑体"/>
        </w:rPr>
      </w:pPr>
    </w:p>
    <w:p>
      <w:pPr>
        <w:pStyle w:val="223"/>
        <w:numPr>
          <w:ilvl w:val="0"/>
          <w:numId w:val="0"/>
        </w:numPr>
        <w:ind w:left="420"/>
        <w:rPr>
          <w:rFonts w:ascii="黑体" w:hAnsi="黑体" w:eastAsia="黑体"/>
        </w:rPr>
      </w:pPr>
      <w:r>
        <w:rPr>
          <w:rFonts w:hint="eastAsia" w:ascii="黑体" w:hAnsi="黑体" w:eastAsia="黑体"/>
        </w:rPr>
        <w:t xml:space="preserve">设备监控系统 </w:t>
      </w:r>
      <w:r>
        <w:rPr>
          <w:rFonts w:ascii="黑体" w:hAnsi="黑体" w:eastAsia="黑体"/>
        </w:rPr>
        <w:t>equipment monitoring system</w:t>
      </w:r>
    </w:p>
    <w:p>
      <w:pPr>
        <w:pStyle w:val="56"/>
        <w:ind w:firstLine="420"/>
      </w:pPr>
      <w:r>
        <w:rPr>
          <w:rFonts w:hint="eastAsia"/>
        </w:rPr>
        <w:t>将建筑物或建筑群内的供暖通风与空调、配电、照明、给水排水及电梯等系统，以集中管理、监视和分散控制为目的构成的综合系统。</w:t>
      </w:r>
    </w:p>
    <w:p>
      <w:pPr>
        <w:pStyle w:val="104"/>
        <w:spacing w:before="312" w:after="312"/>
      </w:pPr>
      <w:r>
        <w:rPr>
          <w:rFonts w:hint="eastAsia"/>
        </w:rPr>
        <w:t>平台构成</w:t>
      </w:r>
    </w:p>
    <w:p>
      <w:pPr>
        <w:pStyle w:val="162"/>
      </w:pPr>
      <w:r>
        <w:rPr>
          <w:rFonts w:hint="eastAsia"/>
        </w:rPr>
        <w:t>节能监测系统组成包括但不限于以下内容：</w:t>
      </w:r>
    </w:p>
    <w:p>
      <w:pPr>
        <w:pStyle w:val="132"/>
      </w:pPr>
      <w:r>
        <w:rPr>
          <w:rFonts w:hint="eastAsia"/>
        </w:rPr>
        <w:t>计量装置；</w:t>
      </w:r>
    </w:p>
    <w:p>
      <w:pPr>
        <w:pStyle w:val="132"/>
      </w:pPr>
      <w:r>
        <w:rPr>
          <w:rFonts w:hint="eastAsia"/>
        </w:rPr>
        <w:t>数据传输网络；</w:t>
      </w:r>
    </w:p>
    <w:p>
      <w:pPr>
        <w:pStyle w:val="132"/>
      </w:pPr>
      <w:r>
        <w:rPr>
          <w:rFonts w:hint="eastAsia"/>
        </w:rPr>
        <w:t>数据中转站；</w:t>
      </w:r>
    </w:p>
    <w:p>
      <w:pPr>
        <w:pStyle w:val="132"/>
      </w:pPr>
      <w:r>
        <w:rPr>
          <w:rFonts w:hint="eastAsia"/>
        </w:rPr>
        <w:t>数据服务器；</w:t>
      </w:r>
    </w:p>
    <w:p>
      <w:pPr>
        <w:pStyle w:val="132"/>
      </w:pPr>
      <w:r>
        <w:rPr>
          <w:rFonts w:hint="eastAsia"/>
        </w:rPr>
        <w:t>管理软件。</w:t>
      </w:r>
    </w:p>
    <w:p>
      <w:pPr>
        <w:pStyle w:val="162"/>
      </w:pPr>
      <w:r>
        <w:rPr>
          <w:rFonts w:hint="eastAsia" w:hAnsi="宋体"/>
        </w:rPr>
        <w:t>设备监控系统组成包括但</w:t>
      </w:r>
      <w:r>
        <w:rPr>
          <w:rFonts w:hint="eastAsia"/>
        </w:rPr>
        <w:t>不限于以下内容：</w:t>
      </w:r>
    </w:p>
    <w:p>
      <w:pPr>
        <w:pStyle w:val="132"/>
      </w:pPr>
      <w:r>
        <w:rPr>
          <w:rFonts w:hint="eastAsia"/>
        </w:rPr>
        <w:t>现场控制站；</w:t>
      </w:r>
    </w:p>
    <w:p>
      <w:pPr>
        <w:pStyle w:val="132"/>
      </w:pPr>
      <w:r>
        <w:rPr>
          <w:rFonts w:hint="eastAsia"/>
        </w:rPr>
        <w:t>数据传输网络；</w:t>
      </w:r>
    </w:p>
    <w:p>
      <w:pPr>
        <w:pStyle w:val="132"/>
      </w:pPr>
      <w:r>
        <w:rPr>
          <w:rFonts w:hint="eastAsia"/>
        </w:rPr>
        <w:t>中央管理工作站；</w:t>
      </w:r>
    </w:p>
    <w:p>
      <w:pPr>
        <w:pStyle w:val="132"/>
      </w:pPr>
      <w:r>
        <w:rPr>
          <w:rFonts w:hint="eastAsia"/>
        </w:rPr>
        <w:t>数据服务器；</w:t>
      </w:r>
    </w:p>
    <w:p>
      <w:pPr>
        <w:pStyle w:val="132"/>
      </w:pPr>
      <w:r>
        <w:rPr>
          <w:rFonts w:hint="eastAsia"/>
        </w:rPr>
        <w:t>管理软件。</w:t>
      </w:r>
    </w:p>
    <w:p>
      <w:pPr>
        <w:pStyle w:val="104"/>
        <w:spacing w:before="312" w:after="312"/>
      </w:pPr>
      <w:r>
        <w:rPr>
          <w:rFonts w:hint="eastAsia"/>
        </w:rPr>
        <w:t>功能要求</w:t>
      </w:r>
    </w:p>
    <w:p>
      <w:pPr>
        <w:pStyle w:val="105"/>
        <w:spacing w:before="156" w:after="156"/>
      </w:pPr>
      <w:r>
        <w:rPr>
          <w:rFonts w:hint="eastAsia"/>
        </w:rPr>
        <w:t>数据采集、监测</w:t>
      </w:r>
    </w:p>
    <w:p>
      <w:pPr>
        <w:pStyle w:val="165"/>
      </w:pPr>
      <w:r>
        <w:rPr>
          <w:rFonts w:hint="eastAsia"/>
        </w:rPr>
        <w:t>安装煤、电、油、气、热和水等主要载能工质的能源计量器具。能源计量器具配备和管理符合GB 17167规定的能源计量器具配备和管理要求。</w:t>
      </w:r>
    </w:p>
    <w:p>
      <w:pPr>
        <w:pStyle w:val="165"/>
      </w:pPr>
      <w:r>
        <w:rPr>
          <w:rFonts w:hint="eastAsia"/>
        </w:rPr>
        <w:t xml:space="preserve">能源计量器具自动采集计量数据并规范化处理后传递至平台。 </w:t>
      </w:r>
    </w:p>
    <w:p>
      <w:pPr>
        <w:pStyle w:val="165"/>
      </w:pPr>
      <w:r>
        <w:rPr>
          <w:rFonts w:hint="eastAsia"/>
        </w:rPr>
        <w:t>实现计量数据从能源计量器具到采集终端的采集传输、从采集终端到平台的传输。</w:t>
      </w:r>
    </w:p>
    <w:p>
      <w:pPr>
        <w:pStyle w:val="165"/>
      </w:pPr>
      <w:r>
        <w:rPr>
          <w:rFonts w:hint="eastAsia"/>
        </w:rPr>
        <w:t xml:space="preserve">具有远程传输功能的能源计量器具与平台直接传输。 </w:t>
      </w:r>
    </w:p>
    <w:p>
      <w:pPr>
        <w:pStyle w:val="165"/>
      </w:pPr>
      <w:r>
        <w:rPr>
          <w:rFonts w:hint="eastAsia"/>
        </w:rPr>
        <w:t>数据监测实现对每日、每周、每月、每年和指定时间段内的监测。</w:t>
      </w:r>
    </w:p>
    <w:p>
      <w:pPr>
        <w:pStyle w:val="165"/>
      </w:pPr>
      <w:r>
        <w:rPr>
          <w:rFonts w:hint="eastAsia"/>
        </w:rPr>
        <w:t>对无法自动采集的数据，按照填报周期要求通过平台人工采集方式手工录入平台。</w:t>
      </w:r>
    </w:p>
    <w:p>
      <w:pPr>
        <w:pStyle w:val="165"/>
      </w:pPr>
      <w:r>
        <w:rPr>
          <w:rFonts w:hint="eastAsia"/>
        </w:rPr>
        <w:t xml:space="preserve">对于已经由其他系统或平台采集的数据，宜通过第三方系统集成共享接入至平台。 </w:t>
      </w:r>
    </w:p>
    <w:p>
      <w:pPr>
        <w:pStyle w:val="165"/>
      </w:pPr>
      <w:r>
        <w:rPr>
          <w:rFonts w:hint="eastAsia"/>
        </w:rPr>
        <w:t>实现平台对平台、能源管控中心或其他能源管理系统的数据传输。</w:t>
      </w:r>
    </w:p>
    <w:p>
      <w:pPr>
        <w:pStyle w:val="105"/>
        <w:spacing w:before="156" w:after="156"/>
      </w:pPr>
      <w:r>
        <w:rPr>
          <w:rFonts w:hint="eastAsia"/>
        </w:rPr>
        <w:t>能耗数据统计、分析</w:t>
      </w:r>
    </w:p>
    <w:p>
      <w:pPr>
        <w:pStyle w:val="165"/>
      </w:pPr>
      <w:bookmarkStart w:id="40" w:name="_Hlk74924010"/>
      <w:r>
        <w:rPr>
          <w:rFonts w:hint="eastAsia"/>
        </w:rPr>
        <w:t>实现功能包括但不限于：</w:t>
      </w:r>
    </w:p>
    <w:bookmarkEnd w:id="40"/>
    <w:p>
      <w:pPr>
        <w:pStyle w:val="132"/>
      </w:pPr>
      <w:r>
        <w:rPr>
          <w:rFonts w:hint="eastAsia"/>
        </w:rPr>
        <w:t>各个计量点的日、周、月、年的能耗统计；</w:t>
      </w:r>
    </w:p>
    <w:p>
      <w:pPr>
        <w:pStyle w:val="132"/>
      </w:pPr>
      <w:r>
        <w:rPr>
          <w:rFonts w:hint="eastAsia"/>
        </w:rPr>
        <w:t>日、周、月、年分项能耗数据统计。</w:t>
      </w:r>
    </w:p>
    <w:p>
      <w:pPr>
        <w:pStyle w:val="165"/>
      </w:pPr>
      <w:r>
        <w:rPr>
          <w:rFonts w:hint="eastAsia"/>
        </w:rPr>
        <w:t>能对任意阶段的能耗数据进行统计并分类汇总、分析，实现功能包括但不限于：</w:t>
      </w:r>
    </w:p>
    <w:p>
      <w:pPr>
        <w:pStyle w:val="132"/>
      </w:pPr>
      <w:r>
        <w:rPr>
          <w:rFonts w:hint="eastAsia"/>
        </w:rPr>
        <w:t>横向对比分析；</w:t>
      </w:r>
    </w:p>
    <w:p>
      <w:pPr>
        <w:pStyle w:val="132"/>
      </w:pPr>
      <w:r>
        <w:rPr>
          <w:rFonts w:hint="eastAsia"/>
        </w:rPr>
        <w:t>纵向对比分析；</w:t>
      </w:r>
    </w:p>
    <w:p>
      <w:pPr>
        <w:pStyle w:val="132"/>
      </w:pPr>
      <w:r>
        <w:rPr>
          <w:rFonts w:hint="eastAsia"/>
        </w:rPr>
        <w:t>定比、同比、环比分析；</w:t>
      </w:r>
    </w:p>
    <w:p>
      <w:pPr>
        <w:pStyle w:val="132"/>
      </w:pPr>
      <w:r>
        <w:rPr>
          <w:rFonts w:hint="eastAsia"/>
        </w:rPr>
        <w:t>昼夜分析；</w:t>
      </w:r>
    </w:p>
    <w:p>
      <w:pPr>
        <w:pStyle w:val="132"/>
      </w:pPr>
      <w:r>
        <w:rPr>
          <w:rFonts w:hint="eastAsia"/>
        </w:rPr>
        <w:t>损耗分析；</w:t>
      </w:r>
    </w:p>
    <w:p>
      <w:pPr>
        <w:pStyle w:val="132"/>
      </w:pPr>
      <w:r>
        <w:rPr>
          <w:rFonts w:hint="eastAsia"/>
        </w:rPr>
        <w:t>电能质量分析；</w:t>
      </w:r>
    </w:p>
    <w:p>
      <w:pPr>
        <w:pStyle w:val="132"/>
      </w:pPr>
      <w:r>
        <w:rPr>
          <w:rFonts w:hint="eastAsia"/>
        </w:rPr>
        <w:t>关联参数分析。</w:t>
      </w:r>
    </w:p>
    <w:p>
      <w:pPr>
        <w:pStyle w:val="165"/>
      </w:pPr>
      <w:r>
        <w:rPr>
          <w:rFonts w:hint="eastAsia"/>
        </w:rPr>
        <w:t>能自动生成能耗报表，包括但不限于：</w:t>
      </w:r>
    </w:p>
    <w:p>
      <w:pPr>
        <w:pStyle w:val="132"/>
      </w:pPr>
      <w:r>
        <w:rPr>
          <w:rFonts w:hint="eastAsia"/>
        </w:rPr>
        <w:t>为用能单位提供监测数据查看功能，包括能耗月度报表、能耗季度报表、能耗年度报表；</w:t>
      </w:r>
    </w:p>
    <w:p>
      <w:pPr>
        <w:pStyle w:val="132"/>
      </w:pPr>
      <w:r>
        <w:rPr>
          <w:rFonts w:hint="eastAsia"/>
        </w:rPr>
        <w:t xml:space="preserve">为用能单位提供能源利用状况分析报告； </w:t>
      </w:r>
    </w:p>
    <w:p>
      <w:pPr>
        <w:pStyle w:val="132"/>
      </w:pPr>
      <w:r>
        <w:rPr>
          <w:rFonts w:hint="eastAsia"/>
        </w:rPr>
        <w:t xml:space="preserve">为用能单位提供能效对标和排名信息； </w:t>
      </w:r>
    </w:p>
    <w:p>
      <w:pPr>
        <w:pStyle w:val="132"/>
      </w:pPr>
      <w:r>
        <w:rPr>
          <w:rFonts w:hint="eastAsia"/>
        </w:rPr>
        <w:t>为用能单位提供异常报警信息。</w:t>
      </w:r>
    </w:p>
    <w:p>
      <w:pPr>
        <w:pStyle w:val="105"/>
        <w:spacing w:before="156" w:after="156"/>
      </w:pPr>
      <w:r>
        <w:rPr>
          <w:rFonts w:hint="eastAsia"/>
        </w:rPr>
        <w:t>用能管理</w:t>
      </w:r>
    </w:p>
    <w:p>
      <w:pPr>
        <w:pStyle w:val="165"/>
      </w:pPr>
      <w:r>
        <w:rPr>
          <w:rFonts w:hint="eastAsia"/>
        </w:rPr>
        <w:t>能对用能管理，实现功能包括但不限于：</w:t>
      </w:r>
    </w:p>
    <w:p>
      <w:pPr>
        <w:pStyle w:val="132"/>
      </w:pPr>
      <w:r>
        <w:rPr>
          <w:rFonts w:hint="eastAsia"/>
        </w:rPr>
        <w:t>能效对标；</w:t>
      </w:r>
    </w:p>
    <w:p>
      <w:pPr>
        <w:pStyle w:val="56"/>
        <w:ind w:firstLine="420"/>
      </w:pPr>
      <w:r>
        <w:rPr>
          <w:rFonts w:hint="eastAsia"/>
        </w:rPr>
        <w:t>——能耗排名；</w:t>
      </w:r>
    </w:p>
    <w:p>
      <w:pPr>
        <w:pStyle w:val="56"/>
        <w:ind w:firstLine="420"/>
      </w:pPr>
      <w:r>
        <w:rPr>
          <w:rFonts w:hint="eastAsia"/>
        </w:rPr>
        <w:t>——用能定额管理；</w:t>
      </w:r>
    </w:p>
    <w:p>
      <w:pPr>
        <w:pStyle w:val="56"/>
        <w:ind w:firstLine="420"/>
      </w:pPr>
      <w:r>
        <w:rPr>
          <w:rFonts w:hint="eastAsia"/>
        </w:rPr>
        <w:t>——用能趋势分析；</w:t>
      </w:r>
    </w:p>
    <w:p>
      <w:pPr>
        <w:pStyle w:val="56"/>
        <w:ind w:firstLine="420"/>
      </w:pPr>
      <w:r>
        <w:rPr>
          <w:rFonts w:hint="eastAsia"/>
        </w:rPr>
        <w:t>——用能目标考核；</w:t>
      </w:r>
    </w:p>
    <w:p>
      <w:pPr>
        <w:pStyle w:val="56"/>
        <w:ind w:firstLine="420"/>
      </w:pPr>
      <w:r>
        <w:rPr>
          <w:rFonts w:hint="eastAsia"/>
        </w:rPr>
        <w:t>——能耗公示；</w:t>
      </w:r>
    </w:p>
    <w:p>
      <w:pPr>
        <w:pStyle w:val="56"/>
        <w:ind w:firstLine="420"/>
      </w:pPr>
      <w:r>
        <w:rPr>
          <w:rFonts w:hint="eastAsia"/>
        </w:rPr>
        <w:t>——节能项目管理。</w:t>
      </w:r>
    </w:p>
    <w:p>
      <w:pPr>
        <w:pStyle w:val="165"/>
      </w:pPr>
      <w:r>
        <w:rPr>
          <w:rFonts w:hint="eastAsia"/>
        </w:rPr>
        <w:t>能对能耗进行预警报警管理，实现功能包括但不限于：</w:t>
      </w:r>
    </w:p>
    <w:p>
      <w:pPr>
        <w:pStyle w:val="132"/>
      </w:pPr>
      <w:r>
        <w:rPr>
          <w:rFonts w:hint="eastAsia"/>
        </w:rPr>
        <w:t xml:space="preserve">对能源消费趋势进行预测； </w:t>
      </w:r>
    </w:p>
    <w:p>
      <w:pPr>
        <w:pStyle w:val="132"/>
      </w:pPr>
      <w:r>
        <w:rPr>
          <w:rFonts w:hint="eastAsia"/>
        </w:rPr>
        <w:t>能源消费预警；</w:t>
      </w:r>
    </w:p>
    <w:p>
      <w:pPr>
        <w:pStyle w:val="132"/>
      </w:pPr>
      <w:r>
        <w:rPr>
          <w:rFonts w:hint="eastAsia"/>
        </w:rPr>
        <w:t>能源采集终端、能源计量器具的运行异常报警；</w:t>
      </w:r>
    </w:p>
    <w:p>
      <w:pPr>
        <w:pStyle w:val="132"/>
      </w:pPr>
      <w:r>
        <w:rPr>
          <w:rFonts w:hint="eastAsia"/>
        </w:rPr>
        <w:t xml:space="preserve">备数据采集异常报警； </w:t>
      </w:r>
    </w:p>
    <w:p>
      <w:pPr>
        <w:pStyle w:val="132"/>
      </w:pPr>
      <w:r>
        <w:rPr>
          <w:rFonts w:hint="eastAsia"/>
        </w:rPr>
        <w:t>具备多种形式的报警通知。</w:t>
      </w:r>
    </w:p>
    <w:p>
      <w:pPr>
        <w:pStyle w:val="165"/>
      </w:pPr>
      <w:r>
        <w:rPr>
          <w:rFonts w:hint="eastAsia"/>
        </w:rPr>
        <w:t>能对能耗数据进行节能诊断，实现功能包括但不限于：</w:t>
      </w:r>
    </w:p>
    <w:p>
      <w:pPr>
        <w:pStyle w:val="56"/>
        <w:ind w:firstLine="420"/>
      </w:pPr>
      <w:r>
        <w:rPr>
          <w:rFonts w:hint="eastAsia"/>
        </w:rPr>
        <w:t>——节能诊断分析；</w:t>
      </w:r>
    </w:p>
    <w:p>
      <w:pPr>
        <w:pStyle w:val="132"/>
      </w:pPr>
      <w:r>
        <w:rPr>
          <w:rFonts w:hint="eastAsia"/>
        </w:rPr>
        <w:t>节能潜力评估；</w:t>
      </w:r>
    </w:p>
    <w:p>
      <w:pPr>
        <w:pStyle w:val="132"/>
      </w:pPr>
      <w:r>
        <w:rPr>
          <w:rFonts w:hint="eastAsia"/>
        </w:rPr>
        <w:t xml:space="preserve">具有按照不同时间周期完成能源利用状况报告功能； </w:t>
      </w:r>
    </w:p>
    <w:p>
      <w:pPr>
        <w:pStyle w:val="132"/>
      </w:pPr>
      <w:r>
        <w:rPr>
          <w:rFonts w:hint="eastAsia"/>
        </w:rPr>
        <w:t>具备用能单位的能源利用状况报告管理功能。</w:t>
      </w:r>
    </w:p>
    <w:p>
      <w:pPr>
        <w:pStyle w:val="105"/>
        <w:spacing w:before="156" w:after="156"/>
      </w:pPr>
      <w:r>
        <w:rPr>
          <w:rFonts w:hint="eastAsia"/>
        </w:rPr>
        <w:t>设备监控系统</w:t>
      </w:r>
    </w:p>
    <w:p>
      <w:pPr>
        <w:pStyle w:val="165"/>
      </w:pPr>
      <w:r>
        <w:rPr>
          <w:rFonts w:hint="eastAsia"/>
        </w:rPr>
        <w:t>现场控制站宜具有下列功能：</w:t>
      </w:r>
    </w:p>
    <w:p>
      <w:pPr>
        <w:pStyle w:val="132"/>
      </w:pPr>
      <w:r>
        <w:rPr>
          <w:rFonts w:hint="eastAsia"/>
        </w:rPr>
        <w:t>实时参数、参数与设备状态显示；</w:t>
      </w:r>
    </w:p>
    <w:p>
      <w:pPr>
        <w:pStyle w:val="132"/>
      </w:pPr>
      <w:r>
        <w:rPr>
          <w:rFonts w:hint="eastAsia"/>
        </w:rPr>
        <w:t>被控参数的自动控制和程序控制；</w:t>
      </w:r>
    </w:p>
    <w:p>
      <w:pPr>
        <w:pStyle w:val="132"/>
      </w:pPr>
      <w:r>
        <w:rPr>
          <w:rFonts w:hint="eastAsia"/>
        </w:rPr>
        <w:t>本地手动操作；</w:t>
      </w:r>
    </w:p>
    <w:p>
      <w:pPr>
        <w:pStyle w:val="132"/>
      </w:pPr>
      <w:r>
        <w:rPr>
          <w:rFonts w:hint="eastAsia"/>
        </w:rPr>
        <w:t>设备的联动、联锁和自动保护功能；</w:t>
      </w:r>
    </w:p>
    <w:p>
      <w:pPr>
        <w:pStyle w:val="132"/>
      </w:pPr>
      <w:r>
        <w:rPr>
          <w:rFonts w:hint="eastAsia"/>
        </w:rPr>
        <w:t>各系统水、电、燃料监测及显示；</w:t>
      </w:r>
    </w:p>
    <w:p>
      <w:pPr>
        <w:pStyle w:val="132"/>
      </w:pPr>
      <w:r>
        <w:rPr>
          <w:rFonts w:hint="eastAsia"/>
        </w:rPr>
        <w:t>可通过现场控制器进行参数设定和运行模式选择；</w:t>
      </w:r>
    </w:p>
    <w:p>
      <w:pPr>
        <w:pStyle w:val="132"/>
      </w:pPr>
      <w:r>
        <w:rPr>
          <w:rFonts w:hint="eastAsia"/>
        </w:rPr>
        <w:t>参数异常和设备故障的报警及显示；</w:t>
      </w:r>
    </w:p>
    <w:p>
      <w:pPr>
        <w:pStyle w:val="132"/>
        <w:adjustRightInd w:val="0"/>
        <w:ind w:left="850" w:hanging="425"/>
      </w:pPr>
      <w:r>
        <w:rPr>
          <w:rFonts w:hint="eastAsia"/>
        </w:rPr>
        <w:t>具有多种通信标准接口，通过有线或无线网络上传实时数据和报警信息，下达各种操作指令；</w:t>
      </w:r>
    </w:p>
    <w:p>
      <w:pPr>
        <w:pStyle w:val="132"/>
      </w:pPr>
      <w:r>
        <w:rPr>
          <w:rFonts w:hint="eastAsia"/>
        </w:rPr>
        <w:t>具有断电保存控制程序及历史数据存储功能，可在规定的期限内保存相关数据。</w:t>
      </w:r>
    </w:p>
    <w:p>
      <w:pPr>
        <w:pStyle w:val="165"/>
      </w:pPr>
      <w:r>
        <w:rPr>
          <w:rFonts w:hint="eastAsia"/>
        </w:rPr>
        <w:t>中央管理工作站宜具有下列功能：</w:t>
      </w:r>
    </w:p>
    <w:p>
      <w:pPr>
        <w:pStyle w:val="132"/>
      </w:pPr>
      <w:r>
        <w:rPr>
          <w:rFonts w:hint="eastAsia"/>
        </w:rPr>
        <w:t>轮询方式监测、显示各现场控制站运行参数和设备状态，即时查询某个现场控制站的实时数据，记录和存储一定时间内的所有运行及相关数据；</w:t>
      </w:r>
    </w:p>
    <w:p>
      <w:pPr>
        <w:pStyle w:val="132"/>
      </w:pPr>
      <w:r>
        <w:rPr>
          <w:rFonts w:hint="eastAsia"/>
        </w:rPr>
        <w:t>对整个系统进行远程操作，对指定的监控系统设备做启、停的操作；</w:t>
      </w:r>
    </w:p>
    <w:p>
      <w:pPr>
        <w:pStyle w:val="132"/>
      </w:pPr>
      <w:r>
        <w:rPr>
          <w:rFonts w:hint="eastAsia"/>
        </w:rPr>
        <w:t>设置、修改控制算法、群控系统、连锁保护、均衡调节系统的参数；</w:t>
      </w:r>
    </w:p>
    <w:p>
      <w:pPr>
        <w:pStyle w:val="132"/>
      </w:pPr>
      <w:r>
        <w:rPr>
          <w:rFonts w:hint="eastAsia"/>
        </w:rPr>
        <w:t>参数超限报警、事故报警及掉电报警的记录和恢复功能；</w:t>
      </w:r>
    </w:p>
    <w:p>
      <w:pPr>
        <w:pStyle w:val="132"/>
      </w:pPr>
      <w:r>
        <w:rPr>
          <w:rFonts w:hint="eastAsia"/>
        </w:rPr>
        <w:t>联动、联锁等保护功能；</w:t>
      </w:r>
    </w:p>
    <w:p>
      <w:pPr>
        <w:pStyle w:val="132"/>
      </w:pPr>
      <w:r>
        <w:rPr>
          <w:rFonts w:hint="eastAsia"/>
        </w:rPr>
        <w:t>参数列表、故障列表、曲线图、运行日志及多种报表自动生成的功能；</w:t>
      </w:r>
    </w:p>
    <w:p>
      <w:pPr>
        <w:pStyle w:val="132"/>
      </w:pPr>
      <w:r>
        <w:rPr>
          <w:rFonts w:hint="eastAsia"/>
        </w:rPr>
        <w:t>各系统的水、电、热、燃料的能源消耗记录、分析、管理的功能；</w:t>
      </w:r>
    </w:p>
    <w:p>
      <w:pPr>
        <w:pStyle w:val="132"/>
      </w:pPr>
      <w:r>
        <w:rPr>
          <w:rFonts w:hint="eastAsia"/>
        </w:rPr>
        <w:t>采用Web服务器/浏览器的方式对外开放。</w:t>
      </w:r>
    </w:p>
    <w:p>
      <w:pPr>
        <w:pStyle w:val="105"/>
        <w:spacing w:before="156" w:after="156"/>
      </w:pPr>
      <w:r>
        <w:rPr>
          <w:rFonts w:hint="eastAsia"/>
        </w:rPr>
        <w:t>供暖通风与空调系统节能监控</w:t>
      </w:r>
    </w:p>
    <w:p>
      <w:pPr>
        <w:pStyle w:val="165"/>
      </w:pPr>
      <w:r>
        <w:rPr>
          <w:rFonts w:hint="eastAsia"/>
        </w:rPr>
        <w:t>制冷机组与热泵系统宜实现以下节能功能：</w:t>
      </w:r>
    </w:p>
    <w:p>
      <w:pPr>
        <w:pStyle w:val="132"/>
      </w:pPr>
      <w:r>
        <w:rPr>
          <w:rFonts w:hint="eastAsia"/>
        </w:rPr>
        <w:t>监测负荷变化，优化调控供水温度；</w:t>
      </w:r>
    </w:p>
    <w:p>
      <w:pPr>
        <w:pStyle w:val="132"/>
      </w:pPr>
      <w:r>
        <w:rPr>
          <w:rFonts w:hint="eastAsia"/>
        </w:rPr>
        <w:t>冷、热负荷预测，并优化控制机组台数；</w:t>
      </w:r>
    </w:p>
    <w:p>
      <w:pPr>
        <w:pStyle w:val="132"/>
      </w:pPr>
      <w:r>
        <w:rPr>
          <w:rFonts w:hint="eastAsia"/>
        </w:rPr>
        <w:t>设定多个运行模式，并能修改、控制和转换运行模式。</w:t>
      </w:r>
    </w:p>
    <w:p>
      <w:pPr>
        <w:pStyle w:val="165"/>
      </w:pPr>
      <w:r>
        <w:rPr>
          <w:rFonts w:hint="eastAsia"/>
        </w:rPr>
        <w:t>燃气锅炉系统和电锅炉系统宜实现以下节能功能：</w:t>
      </w:r>
    </w:p>
    <w:p>
      <w:pPr>
        <w:pStyle w:val="132"/>
      </w:pPr>
      <w:r>
        <w:rPr>
          <w:rFonts w:hint="eastAsia"/>
        </w:rPr>
        <w:t>负荷优化控制供热量；</w:t>
      </w:r>
    </w:p>
    <w:p>
      <w:pPr>
        <w:pStyle w:val="132"/>
      </w:pPr>
      <w:r>
        <w:rPr>
          <w:rFonts w:hint="eastAsia"/>
        </w:rPr>
        <w:t>利用谷电阶段优化运行电锅炉和蓄热装置。</w:t>
      </w:r>
    </w:p>
    <w:p>
      <w:pPr>
        <w:pStyle w:val="165"/>
      </w:pPr>
      <w:r>
        <w:rPr>
          <w:rFonts w:hint="eastAsia"/>
        </w:rPr>
        <w:t>热力系统宜实现以下节能功能：</w:t>
      </w:r>
    </w:p>
    <w:p>
      <w:pPr>
        <w:pStyle w:val="132"/>
      </w:pPr>
      <w:r>
        <w:rPr>
          <w:rFonts w:hint="eastAsia"/>
        </w:rPr>
        <w:t>根据气候补偿自动调节供热量；</w:t>
      </w:r>
    </w:p>
    <w:p>
      <w:pPr>
        <w:pStyle w:val="132"/>
      </w:pPr>
      <w:r>
        <w:rPr>
          <w:rFonts w:hint="eastAsia"/>
        </w:rPr>
        <w:t>分时分区调节模式；</w:t>
      </w:r>
    </w:p>
    <w:p>
      <w:pPr>
        <w:pStyle w:val="132"/>
      </w:pPr>
      <w:r>
        <w:rPr>
          <w:rFonts w:hint="eastAsia"/>
        </w:rPr>
        <w:t>手动设定温度给定值、阀门开度给定值和频率给定值；</w:t>
      </w:r>
    </w:p>
    <w:p>
      <w:pPr>
        <w:pStyle w:val="132"/>
      </w:pPr>
      <w:r>
        <w:rPr>
          <w:rFonts w:hint="eastAsia"/>
        </w:rPr>
        <w:t>用于采暖的水—水热力站能限制一次侧回水温度；</w:t>
      </w:r>
    </w:p>
    <w:p>
      <w:pPr>
        <w:pStyle w:val="132"/>
      </w:pPr>
      <w:r>
        <w:rPr>
          <w:rFonts w:hint="eastAsia"/>
        </w:rPr>
        <w:t>建立根据负荷调节水泵频率的调控曲线，并按负荷变化修正调控曲线，变频调节循环泵运行频率；</w:t>
      </w:r>
    </w:p>
    <w:p>
      <w:pPr>
        <w:pStyle w:val="132"/>
      </w:pPr>
      <w:r>
        <w:rPr>
          <w:rFonts w:hint="eastAsia"/>
        </w:rPr>
        <w:t>均衡控制循环泵的运行时间。</w:t>
      </w:r>
    </w:p>
    <w:p>
      <w:pPr>
        <w:pStyle w:val="165"/>
      </w:pPr>
      <w:r>
        <w:rPr>
          <w:rFonts w:hint="eastAsia"/>
        </w:rPr>
        <w:t>空调水系统宜实现以下节能功能：</w:t>
      </w:r>
    </w:p>
    <w:p>
      <w:pPr>
        <w:pStyle w:val="132"/>
      </w:pPr>
      <w:r>
        <w:rPr>
          <w:rFonts w:hint="eastAsia"/>
        </w:rPr>
        <w:t>负荷优化调节机组运行台数和供水温度；</w:t>
      </w:r>
    </w:p>
    <w:p>
      <w:pPr>
        <w:pStyle w:val="132"/>
      </w:pPr>
      <w:r>
        <w:rPr>
          <w:rFonts w:hint="eastAsia"/>
        </w:rPr>
        <w:t>根据冷却水出水温度控制冷却塔风机开启台数或转速；</w:t>
      </w:r>
    </w:p>
    <w:p>
      <w:pPr>
        <w:pStyle w:val="132"/>
      </w:pPr>
      <w:r>
        <w:rPr>
          <w:rFonts w:hint="eastAsia"/>
        </w:rPr>
        <w:t>根据冷水机组最低冷却水温度自动调控冷却塔供回水总管间旁通的电动调节阀；</w:t>
      </w:r>
    </w:p>
    <w:p>
      <w:pPr>
        <w:pStyle w:val="132"/>
      </w:pPr>
      <w:r>
        <w:rPr>
          <w:rFonts w:hint="eastAsia"/>
        </w:rPr>
        <w:t>建立负荷调水泵频率的调控曲线，并按负荷变化修正调控曲线，变频调节冷冻水循环泵和冷却水循环泵；</w:t>
      </w:r>
    </w:p>
    <w:p>
      <w:pPr>
        <w:pStyle w:val="132"/>
      </w:pPr>
      <w:r>
        <w:rPr>
          <w:rFonts w:hint="eastAsia"/>
        </w:rPr>
        <w:t>均衡控制循环泵的运行时间。</w:t>
      </w:r>
    </w:p>
    <w:p>
      <w:pPr>
        <w:pStyle w:val="165"/>
      </w:pPr>
      <w:r>
        <w:rPr>
          <w:rFonts w:hint="eastAsia"/>
        </w:rPr>
        <w:t>空调通风系统宜实现以下节能功能：</w:t>
      </w:r>
    </w:p>
    <w:p>
      <w:pPr>
        <w:pStyle w:val="132"/>
      </w:pPr>
      <w:r>
        <w:rPr>
          <w:rFonts w:hint="eastAsia"/>
        </w:rPr>
        <w:t>风机启停与电动水阀连锁控制；</w:t>
      </w:r>
    </w:p>
    <w:p>
      <w:pPr>
        <w:pStyle w:val="132"/>
      </w:pPr>
      <w:r>
        <w:rPr>
          <w:rFonts w:hint="eastAsia"/>
        </w:rPr>
        <w:t>运行工况切换功能；</w:t>
      </w:r>
    </w:p>
    <w:p>
      <w:pPr>
        <w:pStyle w:val="132"/>
      </w:pPr>
      <w:r>
        <w:rPr>
          <w:rFonts w:hint="eastAsia"/>
        </w:rPr>
        <w:t>控制要求高的场所，能实现四管制的热水阀、冷冻水阀连续调节和风机三速控制；</w:t>
      </w:r>
    </w:p>
    <w:p>
      <w:pPr>
        <w:pStyle w:val="132"/>
      </w:pPr>
      <w:r>
        <w:rPr>
          <w:rFonts w:hint="eastAsia"/>
        </w:rPr>
        <w:t>通过调节冷冻水电动阀或蒸汽调节阀的开度来调节风机盘管的供水温度的方式来实现送风温度的控制。</w:t>
      </w:r>
    </w:p>
    <w:p>
      <w:pPr>
        <w:pStyle w:val="105"/>
        <w:spacing w:before="156" w:after="156"/>
      </w:pPr>
      <w:r>
        <w:rPr>
          <w:rFonts w:hint="eastAsia"/>
        </w:rPr>
        <w:t>给水排水系统节能监控</w:t>
      </w:r>
    </w:p>
    <w:p>
      <w:pPr>
        <w:pStyle w:val="165"/>
      </w:pPr>
      <w:r>
        <w:rPr>
          <w:rFonts w:hint="eastAsia"/>
        </w:rPr>
        <w:t>生活用水系统宜实现以下节能功能：</w:t>
      </w:r>
    </w:p>
    <w:p>
      <w:pPr>
        <w:pStyle w:val="132"/>
      </w:pPr>
      <w:r>
        <w:rPr>
          <w:rFonts w:hint="eastAsia"/>
        </w:rPr>
        <w:t>高位水箱式给水系统根据水池、水箱的水位，控制给水泵的启/停；</w:t>
      </w:r>
    </w:p>
    <w:p>
      <w:pPr>
        <w:pStyle w:val="132"/>
      </w:pPr>
      <w:r>
        <w:rPr>
          <w:rFonts w:hint="eastAsia"/>
        </w:rPr>
        <w:t>恒压供水系统监测进、出水压力控制水泵的启动台数和变频控制；</w:t>
      </w:r>
    </w:p>
    <w:p>
      <w:pPr>
        <w:pStyle w:val="132"/>
      </w:pPr>
      <w:r>
        <w:rPr>
          <w:rFonts w:hint="eastAsia"/>
        </w:rPr>
        <w:t>叠压供水系统根据市政供水压力和给水总管的压差来控制水泵的启动台数和变频控制；</w:t>
      </w:r>
    </w:p>
    <w:p>
      <w:pPr>
        <w:pStyle w:val="132"/>
      </w:pPr>
      <w:r>
        <w:rPr>
          <w:rFonts w:hint="eastAsia"/>
        </w:rPr>
        <w:t>生活热水实现定温、定时控制。</w:t>
      </w:r>
    </w:p>
    <w:p>
      <w:pPr>
        <w:pStyle w:val="165"/>
      </w:pPr>
      <w:r>
        <w:rPr>
          <w:rFonts w:hint="eastAsia"/>
        </w:rPr>
        <w:t>排水系统排水泵宜根据集水池水位的高低实现自动启停及变频控制。</w:t>
      </w:r>
    </w:p>
    <w:p>
      <w:pPr>
        <w:pStyle w:val="165"/>
      </w:pPr>
      <w:r>
        <w:rPr>
          <w:rFonts w:hint="eastAsia"/>
        </w:rPr>
        <w:t>中水系统宜根据水位及压力，自动启/停相应的中水给水泵和循环泵。</w:t>
      </w:r>
    </w:p>
    <w:p>
      <w:pPr>
        <w:pStyle w:val="105"/>
        <w:spacing w:before="156" w:after="156"/>
      </w:pPr>
      <w:r>
        <w:rPr>
          <w:rFonts w:hint="eastAsia"/>
        </w:rPr>
        <w:t>照明系统节能监控</w:t>
      </w:r>
    </w:p>
    <w:p>
      <w:pPr>
        <w:pStyle w:val="56"/>
        <w:ind w:firstLine="420"/>
      </w:pPr>
      <w:r>
        <w:rPr>
          <w:rFonts w:hint="eastAsia"/>
        </w:rPr>
        <w:t>宜实现以下节能功能：</w:t>
      </w:r>
    </w:p>
    <w:p>
      <w:pPr>
        <w:pStyle w:val="132"/>
      </w:pPr>
      <w:r>
        <w:rPr>
          <w:rFonts w:hint="eastAsia"/>
        </w:rPr>
        <w:t>按功能性、使用时间和照度的需求实现分区照明控制；</w:t>
      </w:r>
    </w:p>
    <w:p>
      <w:pPr>
        <w:pStyle w:val="132"/>
      </w:pPr>
      <w:r>
        <w:rPr>
          <w:rFonts w:hint="eastAsia"/>
        </w:rPr>
        <w:t>采用照度控制和时间程序控制相结合的方法控制公共区域的照明开关；</w:t>
      </w:r>
    </w:p>
    <w:p>
      <w:pPr>
        <w:pStyle w:val="132"/>
      </w:pPr>
      <w:r>
        <w:rPr>
          <w:rFonts w:hint="eastAsia"/>
        </w:rPr>
        <w:t>根据人员流动情况和自然照度开关人工光源以及调控亮度；</w:t>
      </w:r>
    </w:p>
    <w:p>
      <w:pPr>
        <w:pStyle w:val="132"/>
      </w:pPr>
      <w:r>
        <w:rPr>
          <w:rFonts w:hint="eastAsia"/>
        </w:rPr>
        <w:t>根据室外照度的变化调整室外功能性照明和景观照明时间。</w:t>
      </w:r>
    </w:p>
    <w:p>
      <w:pPr>
        <w:pStyle w:val="105"/>
        <w:spacing w:before="156" w:after="156"/>
      </w:pPr>
      <w:r>
        <w:rPr>
          <w:rFonts w:hint="eastAsia"/>
        </w:rPr>
        <w:t>电梯系统节能监控</w:t>
      </w:r>
    </w:p>
    <w:p>
      <w:pPr>
        <w:pStyle w:val="56"/>
        <w:ind w:firstLine="420"/>
      </w:pPr>
      <w:r>
        <w:rPr>
          <w:rFonts w:hint="eastAsia"/>
        </w:rPr>
        <w:t>宜实现以下节能功能；</w:t>
      </w:r>
    </w:p>
    <w:p>
      <w:pPr>
        <w:pStyle w:val="132"/>
      </w:pPr>
      <w:r>
        <w:rPr>
          <w:rFonts w:hint="eastAsia"/>
        </w:rPr>
        <w:t>对配置多台电梯的高层建筑，能按高区和低区设定电梯的联动运行；</w:t>
      </w:r>
    </w:p>
    <w:p>
      <w:pPr>
        <w:pStyle w:val="132"/>
      </w:pPr>
      <w:r>
        <w:rPr>
          <w:rFonts w:hint="eastAsia"/>
        </w:rPr>
        <w:t>当建筑物内同一区有多部电梯时，根据电梯数量、位置、额定速度、额定载荷、以及人流量和使用频率，合理分配运行区域、停靠层站和运行时间；</w:t>
      </w:r>
    </w:p>
    <w:p>
      <w:pPr>
        <w:pStyle w:val="132"/>
      </w:pPr>
      <w:r>
        <w:rPr>
          <w:rFonts w:hint="eastAsia"/>
        </w:rPr>
        <w:t>根据电梯的累计运行时间统计，均衡控制电梯运行时间；</w:t>
      </w:r>
    </w:p>
    <w:p>
      <w:pPr>
        <w:pStyle w:val="132"/>
      </w:pPr>
      <w:r>
        <w:rPr>
          <w:rFonts w:hint="eastAsia"/>
        </w:rPr>
        <w:t>对自动扶梯和自动人行道设置搭乘人员监测装置，并利用变频调速方式调节其运行速度；</w:t>
      </w:r>
    </w:p>
    <w:p>
      <w:pPr>
        <w:pStyle w:val="132"/>
      </w:pPr>
      <w:r>
        <w:rPr>
          <w:rFonts w:hint="eastAsia"/>
        </w:rPr>
        <w:t>具备变频器、轿厢照明和风扇待机节能功能。</w:t>
      </w:r>
    </w:p>
    <w:p>
      <w:pPr>
        <w:pStyle w:val="104"/>
        <w:spacing w:before="312" w:after="312"/>
      </w:pPr>
      <w:r>
        <w:rPr>
          <w:rFonts w:hint="eastAsia"/>
        </w:rPr>
        <w:t>资源共享和数据交换</w:t>
      </w:r>
    </w:p>
    <w:p>
      <w:pPr>
        <w:pStyle w:val="162"/>
      </w:pPr>
      <w:r>
        <w:rPr>
          <w:rFonts w:hint="eastAsia"/>
        </w:rPr>
        <w:t>能实现与其他平台、能源管控中心的资源共享和数据交换。与公共机构内部信息管理系统的数据进行共享，公共机构原有监测设备将监测数据传输到公共机构后台数据库中，平台间通过数据共享的方式进行数据交换。</w:t>
      </w:r>
    </w:p>
    <w:p>
      <w:pPr>
        <w:pStyle w:val="162"/>
      </w:pPr>
      <w:r>
        <w:rPr>
          <w:rFonts w:hint="eastAsia"/>
        </w:rPr>
        <w:t>数据传输符合GB/T 36674-2018中第7章的要求。</w:t>
      </w:r>
    </w:p>
    <w:p>
      <w:pPr>
        <w:pStyle w:val="104"/>
        <w:spacing w:before="312" w:after="312"/>
      </w:pPr>
      <w:r>
        <w:rPr>
          <w:rFonts w:hint="eastAsia"/>
        </w:rPr>
        <w:t>人机交互界面设计</w:t>
      </w:r>
    </w:p>
    <w:p>
      <w:pPr>
        <w:pStyle w:val="162"/>
      </w:pPr>
      <w:r>
        <w:rPr>
          <w:rFonts w:hint="eastAsia"/>
        </w:rPr>
        <w:t xml:space="preserve">界面简约清晰，操作方便、风格一致，布局合理。 </w:t>
      </w:r>
    </w:p>
    <w:p>
      <w:pPr>
        <w:pStyle w:val="162"/>
      </w:pPr>
      <w:r>
        <w:rPr>
          <w:rFonts w:hint="eastAsia"/>
        </w:rPr>
        <w:t>具有容错机制，避免操作失误。</w:t>
      </w:r>
    </w:p>
    <w:p>
      <w:pPr>
        <w:pStyle w:val="162"/>
      </w:pPr>
      <w:r>
        <w:rPr>
          <w:rFonts w:hint="eastAsia"/>
        </w:rPr>
        <w:t>具备用户管理、日志管理、信息录入、参数配置、通讯设置、标准值和预警值设置等功能。</w:t>
      </w:r>
    </w:p>
    <w:p>
      <w:pPr>
        <w:pStyle w:val="162"/>
      </w:pPr>
      <w:r>
        <w:rPr>
          <w:rFonts w:hint="eastAsia"/>
        </w:rPr>
        <w:t>用户可根据权限进行增加、编辑、修改、删除等维护和操作。</w:t>
      </w:r>
    </w:p>
    <w:p>
      <w:pPr>
        <w:pStyle w:val="162"/>
      </w:pPr>
      <w:r>
        <w:rPr>
          <w:rFonts w:hint="eastAsia"/>
        </w:rPr>
        <w:t>为了系统安全稳定运行，用户权限管理能够防止未经授权的操作，能定义不同级别用户的登录名、密码及操作权限，为系统运行维护管理提供可靠的安全保障。</w:t>
      </w:r>
    </w:p>
    <w:p>
      <w:pPr>
        <w:pStyle w:val="104"/>
        <w:spacing w:before="312" w:after="312"/>
      </w:pPr>
      <w:r>
        <w:rPr>
          <w:rFonts w:hint="eastAsia"/>
        </w:rPr>
        <w:t>信息安全管理</w:t>
      </w:r>
    </w:p>
    <w:p>
      <w:pPr>
        <w:pStyle w:val="105"/>
        <w:spacing w:before="156" w:after="156"/>
      </w:pPr>
      <w:r>
        <w:rPr>
          <w:rFonts w:hint="eastAsia"/>
        </w:rPr>
        <w:t>系统平台安全</w:t>
      </w:r>
    </w:p>
    <w:p>
      <w:pPr>
        <w:pStyle w:val="56"/>
        <w:ind w:firstLine="420"/>
      </w:pPr>
      <w:r>
        <w:rPr>
          <w:rFonts w:hint="eastAsia"/>
        </w:rPr>
        <w:t>管理信息系统建立但不仅限于身份鉴别、访问控制、网络隔离、数据加密等安全措施。确保信息在产生、存储、传递和处理过程中的保密、完整、可用和抗攻击。</w:t>
      </w:r>
    </w:p>
    <w:p>
      <w:pPr>
        <w:pStyle w:val="105"/>
        <w:spacing w:before="156" w:after="156"/>
      </w:pPr>
      <w:r>
        <w:rPr>
          <w:rFonts w:hint="eastAsia"/>
        </w:rPr>
        <w:t>数据采集器和相关平台间数据安全</w:t>
      </w:r>
    </w:p>
    <w:p>
      <w:pPr>
        <w:pStyle w:val="56"/>
        <w:ind w:firstLine="420"/>
      </w:pPr>
      <w:r>
        <w:rPr>
          <w:rFonts w:hint="eastAsia"/>
        </w:rPr>
        <w:t>数据采集器和相关平台间数据传输加密需要符合</w:t>
      </w:r>
      <w:r>
        <w:t>DB37/T 3303</w:t>
      </w:r>
      <w:r>
        <w:rPr>
          <w:rFonts w:hint="eastAsia"/>
        </w:rPr>
        <w:t>的要求。</w:t>
      </w:r>
    </w:p>
    <w:p>
      <w:pPr>
        <w:pStyle w:val="105"/>
        <w:spacing w:before="156" w:after="156"/>
      </w:pPr>
      <w:r>
        <w:rPr>
          <w:rFonts w:hint="eastAsia"/>
        </w:rPr>
        <w:t>数据存储安全</w:t>
      </w:r>
    </w:p>
    <w:p>
      <w:pPr>
        <w:pStyle w:val="165"/>
      </w:pPr>
      <w:r>
        <w:rPr>
          <w:rFonts w:hint="eastAsia"/>
        </w:rPr>
        <w:t>需要保证用能单位信息资料和能耗数据资料的安全性，所有入库的数据资料需要相应的备份策略和安全策略，对外共享或者对外提供的数据资料要严格按照“用户级别及权限”的规定来授权用户对资料的访问，防止越权访问。</w:t>
      </w:r>
    </w:p>
    <w:p>
      <w:pPr>
        <w:pStyle w:val="165"/>
      </w:pPr>
      <w:r>
        <w:rPr>
          <w:rFonts w:hint="eastAsia"/>
        </w:rPr>
        <w:t>为确保数据在传输过程中的安全，上传数据包可采用加密方式压缩，加密口令可由上下级相关平台约定。</w:t>
      </w:r>
    </w:p>
    <w:p>
      <w:pPr>
        <w:pStyle w:val="165"/>
      </w:pPr>
      <w:r>
        <w:rPr>
          <w:rFonts w:hint="eastAsia"/>
        </w:rPr>
        <w:t>有系统数据定期备份和灾难恢复机制，有条件者宜实行数据异地备份。</w:t>
      </w:r>
    </w:p>
    <w:p>
      <w:pPr>
        <w:pStyle w:val="104"/>
        <w:spacing w:before="312" w:after="312"/>
      </w:pPr>
      <w:r>
        <w:rPr>
          <w:rFonts w:hint="eastAsia"/>
        </w:rPr>
        <w:t>运行维护管理</w:t>
      </w:r>
    </w:p>
    <w:p>
      <w:pPr>
        <w:pStyle w:val="105"/>
        <w:spacing w:before="156" w:after="156"/>
      </w:pPr>
      <w:r>
        <w:rPr>
          <w:rFonts w:hint="eastAsia"/>
        </w:rPr>
        <w:t>文件要求</w:t>
      </w:r>
    </w:p>
    <w:p>
      <w:pPr>
        <w:pStyle w:val="165"/>
      </w:pPr>
      <w:r>
        <w:rPr>
          <w:rFonts w:hint="eastAsia"/>
        </w:rPr>
        <w:t>在系统运行前，制定系统运行管理、能源计量器具管理、设施设备维护、运行操作人员的培训管理等制度。</w:t>
      </w:r>
    </w:p>
    <w:p>
      <w:pPr>
        <w:pStyle w:val="165"/>
      </w:pPr>
      <w:r>
        <w:rPr>
          <w:rFonts w:hint="eastAsia"/>
        </w:rPr>
        <w:t>制定运行值班制度，并填写交接班记录。</w:t>
      </w:r>
    </w:p>
    <w:p>
      <w:pPr>
        <w:pStyle w:val="165"/>
      </w:pPr>
      <w:r>
        <w:rPr>
          <w:rFonts w:hint="eastAsia" w:ascii="Times New Roman"/>
        </w:rPr>
        <w:t>制定应急事故及故障情况下系统运行的预案。</w:t>
      </w:r>
    </w:p>
    <w:p>
      <w:pPr>
        <w:pStyle w:val="165"/>
      </w:pPr>
      <w:r>
        <w:rPr>
          <w:rFonts w:hint="eastAsia"/>
        </w:rPr>
        <w:t>建立文件管理制度，定期整理、备份、存档相关文件，并根据实际情况设置文件权限和保密等级。</w:t>
      </w:r>
    </w:p>
    <w:p>
      <w:pPr>
        <w:pStyle w:val="105"/>
        <w:spacing w:before="156" w:after="156"/>
      </w:pPr>
      <w:r>
        <w:rPr>
          <w:rFonts w:hint="eastAsia"/>
        </w:rPr>
        <w:t>人员要求</w:t>
      </w:r>
    </w:p>
    <w:p>
      <w:pPr>
        <w:pStyle w:val="165"/>
      </w:pPr>
      <w:r>
        <w:rPr>
          <w:rFonts w:hint="eastAsia"/>
        </w:rPr>
        <w:t>配置相应的专业技术人员。</w:t>
      </w:r>
    </w:p>
    <w:p>
      <w:pPr>
        <w:pStyle w:val="165"/>
      </w:pPr>
      <w:r>
        <w:rPr>
          <w:rFonts w:hint="eastAsia"/>
        </w:rPr>
        <w:t>对相关操作人员进行运行操作培训，操作人员掌握必要的专业知识和专业技能。</w:t>
      </w:r>
    </w:p>
    <w:p>
      <w:pPr>
        <w:pStyle w:val="105"/>
        <w:spacing w:before="156" w:after="156"/>
      </w:pPr>
      <w:r>
        <w:rPr>
          <w:rFonts w:hint="eastAsia"/>
        </w:rPr>
        <w:t>维护要求</w:t>
      </w:r>
    </w:p>
    <w:p>
      <w:pPr>
        <w:pStyle w:val="165"/>
      </w:pPr>
      <w:r>
        <w:rPr>
          <w:rFonts w:hint="eastAsia"/>
        </w:rPr>
        <w:t>按国家相关计量法规对能源计量器具定期进行检定、校准、评估等。</w:t>
      </w:r>
    </w:p>
    <w:p>
      <w:pPr>
        <w:pStyle w:val="165"/>
      </w:pPr>
      <w:r>
        <w:rPr>
          <w:rFonts w:hint="eastAsia"/>
        </w:rPr>
        <w:t>对长期运行的设备定期巡视检查、定期切换、轮换运行和强制保养。</w:t>
      </w:r>
    </w:p>
    <w:p>
      <w:pPr>
        <w:pStyle w:val="165"/>
      </w:pPr>
      <w:r>
        <w:rPr>
          <w:rFonts w:hint="eastAsia"/>
        </w:rPr>
        <w:t>定期检查和维护设备、网络，确保系统软件正常运行、升级和维护，实现系统持续、安全、可靠运行。</w:t>
      </w:r>
    </w:p>
    <w:p>
      <w:pPr>
        <w:pStyle w:val="165"/>
        <w:rPr>
          <w:rFonts w:ascii="Times New Roman"/>
        </w:rPr>
      </w:pPr>
      <w:r>
        <w:rPr>
          <w:rFonts w:hint="eastAsia"/>
        </w:rPr>
        <w:t>维护人员根据运行故障与异常处理作业程度对故障进行及时处理，并做好故障处理和修复的相关记录。</w:t>
      </w:r>
    </w:p>
    <w:p>
      <w:pPr>
        <w:pStyle w:val="165"/>
      </w:pPr>
      <w:r>
        <w:rPr>
          <w:rFonts w:hint="eastAsia"/>
        </w:rPr>
        <w:t>根据系统设备的组成和运行情况，建立必要的备品备件库，与系统设备供应商、系统集成商建立可靠的备品备件采购渠道。</w:t>
      </w:r>
    </w:p>
    <w:p>
      <w:pPr>
        <w:pStyle w:val="165"/>
      </w:pPr>
      <w:r>
        <w:rPr>
          <w:rFonts w:hint="eastAsia" w:ascii="Times New Roman"/>
        </w:rPr>
        <w:t>根据用能情况，结合节能新产品、新技术，提出设备运行的技术改造、更新计划。</w:t>
      </w:r>
    </w:p>
    <w:bookmarkEnd w:id="21"/>
    <w:p>
      <w:pPr>
        <w:pStyle w:val="165"/>
        <w:numPr>
          <w:ilvl w:val="0"/>
          <w:numId w:val="0"/>
        </w:numPr>
        <w:jc w:val="center"/>
      </w:pPr>
      <w:bookmarkStart w:id="41" w:name="BookMark8"/>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a:extLst>
                        <a:ext uri="{28A0092B-C50C-407E-A947-70E740481C1C}">
                          <a14:useLocalDpi xmlns:a14="http://schemas.microsoft.com/office/drawing/2010/main" val="false"/>
                        </a:ext>
                      </a:extLst>
                    </a:blip>
                    <a:stretch>
                      <a:fillRect/>
                    </a:stretch>
                  </pic:blipFill>
                  <pic:spPr>
                    <a:xfrm>
                      <a:off x="0" y="0"/>
                      <a:ext cx="1485900" cy="317500"/>
                    </a:xfrm>
                    <a:prstGeom prst="rect">
                      <a:avLst/>
                    </a:prstGeom>
                  </pic:spPr>
                </pic:pic>
              </a:graphicData>
            </a:graphic>
          </wp:inline>
        </w:drawing>
      </w:r>
      <w:bookmarkEnd w:id="41"/>
    </w:p>
    <w:sectPr>
      <w:pgSz w:w="11906" w:h="16838"/>
      <w:pgMar w:top="2410"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等线">
    <w:altName w:val="汉仪中宋简"/>
    <w:panose1 w:val="02010600030101010101"/>
    <w:charset w:val="86"/>
    <w:family w:val="auto"/>
    <w:pitch w:val="default"/>
    <w:sig w:usb0="00000000" w:usb1="00000000" w:usb2="00000016" w:usb3="00000000" w:csb0="0004000F" w:csb1="00000000"/>
  </w:font>
  <w:font w:name="等线 Light">
    <w:altName w:val="汉仪中宋简"/>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等线">
    <w:altName w:val="文泉驿微米黑"/>
    <w:panose1 w:val="00000000000000000000"/>
    <w:charset w:val="00"/>
    <w:family w:val="auto"/>
    <w:pitch w:val="default"/>
    <w:sig w:usb0="00000000" w:usb1="00000000" w:usb2="00000000" w:usb3="00000000" w:csb0="00000000" w:csb1="00000000"/>
  </w:font>
  <w:font w:name="文泉驿微米黑">
    <w:panose1 w:val="020B0606030804020204"/>
    <w:charset w:val="86"/>
    <w:family w:val="auto"/>
    <w:pitch w:val="default"/>
    <w:sig w:usb0="E10002EF" w:usb1="6BDFFCFB" w:usb2="00800036" w:usb3="00000000" w:csb0="603E019F" w:csb1="DFD70000"/>
  </w:font>
  <w:font w:name="NanumGothic">
    <w:panose1 w:val="020D0604000000000000"/>
    <w:charset w:val="81"/>
    <w:family w:val="auto"/>
    <w:pitch w:val="default"/>
    <w:sig w:usb0="900002A7" w:usb1="29D7FCFB" w:usb2="00000010" w:usb3="00000000" w:csb0="00080001"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3708/T XXXX—2021</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CD1"/>
    <w:rsid w:val="0000040A"/>
    <w:rsid w:val="00000A94"/>
    <w:rsid w:val="00001972"/>
    <w:rsid w:val="00001D9A"/>
    <w:rsid w:val="000061DE"/>
    <w:rsid w:val="00007B3A"/>
    <w:rsid w:val="000107E0"/>
    <w:rsid w:val="00011FDE"/>
    <w:rsid w:val="00012FFD"/>
    <w:rsid w:val="00014162"/>
    <w:rsid w:val="00014340"/>
    <w:rsid w:val="00016A9C"/>
    <w:rsid w:val="00017A41"/>
    <w:rsid w:val="00022184"/>
    <w:rsid w:val="00022762"/>
    <w:rsid w:val="000238E0"/>
    <w:rsid w:val="000249DB"/>
    <w:rsid w:val="0002595E"/>
    <w:rsid w:val="000303C3"/>
    <w:rsid w:val="000331D3"/>
    <w:rsid w:val="000346A5"/>
    <w:rsid w:val="000359C3"/>
    <w:rsid w:val="00035A7D"/>
    <w:rsid w:val="000365ED"/>
    <w:rsid w:val="0003700B"/>
    <w:rsid w:val="00040BF5"/>
    <w:rsid w:val="0004249A"/>
    <w:rsid w:val="00043282"/>
    <w:rsid w:val="00044286"/>
    <w:rsid w:val="00047C1A"/>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6A32"/>
    <w:rsid w:val="00077B64"/>
    <w:rsid w:val="00080452"/>
    <w:rsid w:val="00080A1C"/>
    <w:rsid w:val="00082317"/>
    <w:rsid w:val="00083D2C"/>
    <w:rsid w:val="00085712"/>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286"/>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05B69"/>
    <w:rsid w:val="00113B1E"/>
    <w:rsid w:val="00116462"/>
    <w:rsid w:val="0011711C"/>
    <w:rsid w:val="0012059C"/>
    <w:rsid w:val="00124E4F"/>
    <w:rsid w:val="001260B7"/>
    <w:rsid w:val="00126180"/>
    <w:rsid w:val="001265CB"/>
    <w:rsid w:val="001321C6"/>
    <w:rsid w:val="001325C4"/>
    <w:rsid w:val="00133010"/>
    <w:rsid w:val="001338EE"/>
    <w:rsid w:val="00133AAE"/>
    <w:rsid w:val="00135323"/>
    <w:rsid w:val="001356C4"/>
    <w:rsid w:val="00140060"/>
    <w:rsid w:val="00141114"/>
    <w:rsid w:val="00142969"/>
    <w:rsid w:val="001446C2"/>
    <w:rsid w:val="001457E7"/>
    <w:rsid w:val="00145D9D"/>
    <w:rsid w:val="00146388"/>
    <w:rsid w:val="001529E5"/>
    <w:rsid w:val="00153C7E"/>
    <w:rsid w:val="00156B25"/>
    <w:rsid w:val="00156E1A"/>
    <w:rsid w:val="00157894"/>
    <w:rsid w:val="00157B55"/>
    <w:rsid w:val="0016360F"/>
    <w:rsid w:val="001642FA"/>
    <w:rsid w:val="001649EB"/>
    <w:rsid w:val="00164BAF"/>
    <w:rsid w:val="00164FA8"/>
    <w:rsid w:val="00165065"/>
    <w:rsid w:val="00165434"/>
    <w:rsid w:val="0016580B"/>
    <w:rsid w:val="00165F49"/>
    <w:rsid w:val="00166B88"/>
    <w:rsid w:val="0016770A"/>
    <w:rsid w:val="00170804"/>
    <w:rsid w:val="001708E9"/>
    <w:rsid w:val="00170A39"/>
    <w:rsid w:val="0017340B"/>
    <w:rsid w:val="00173FB1"/>
    <w:rsid w:val="00176DFD"/>
    <w:rsid w:val="00183483"/>
    <w:rsid w:val="001852C9"/>
    <w:rsid w:val="00186FDC"/>
    <w:rsid w:val="00190087"/>
    <w:rsid w:val="001913C4"/>
    <w:rsid w:val="0019348F"/>
    <w:rsid w:val="00193A07"/>
    <w:rsid w:val="00194C95"/>
    <w:rsid w:val="00195C34"/>
    <w:rsid w:val="00196EF5"/>
    <w:rsid w:val="001A12AC"/>
    <w:rsid w:val="001A1A53"/>
    <w:rsid w:val="001A234A"/>
    <w:rsid w:val="001A4CF3"/>
    <w:rsid w:val="001A5387"/>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6548"/>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3389"/>
    <w:rsid w:val="002142EA"/>
    <w:rsid w:val="002204BB"/>
    <w:rsid w:val="00221B79"/>
    <w:rsid w:val="00221C6B"/>
    <w:rsid w:val="002253A1"/>
    <w:rsid w:val="00225CF8"/>
    <w:rsid w:val="0022794E"/>
    <w:rsid w:val="00233D64"/>
    <w:rsid w:val="0023482A"/>
    <w:rsid w:val="002359CB"/>
    <w:rsid w:val="0023751A"/>
    <w:rsid w:val="00243540"/>
    <w:rsid w:val="0024497B"/>
    <w:rsid w:val="00244AB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0199"/>
    <w:rsid w:val="00281BB8"/>
    <w:rsid w:val="00281E9E"/>
    <w:rsid w:val="00282405"/>
    <w:rsid w:val="00285170"/>
    <w:rsid w:val="00285361"/>
    <w:rsid w:val="00292D60"/>
    <w:rsid w:val="00293B30"/>
    <w:rsid w:val="00294D34"/>
    <w:rsid w:val="00294E3B"/>
    <w:rsid w:val="00296193"/>
    <w:rsid w:val="00296C66"/>
    <w:rsid w:val="00296EBE"/>
    <w:rsid w:val="002974E3"/>
    <w:rsid w:val="002977B5"/>
    <w:rsid w:val="002A084B"/>
    <w:rsid w:val="002A1260"/>
    <w:rsid w:val="002A1589"/>
    <w:rsid w:val="002A1608"/>
    <w:rsid w:val="002A25DC"/>
    <w:rsid w:val="002A3AAB"/>
    <w:rsid w:val="002A4CEA"/>
    <w:rsid w:val="002A4E8D"/>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07867"/>
    <w:rsid w:val="00313B85"/>
    <w:rsid w:val="00317469"/>
    <w:rsid w:val="00317988"/>
    <w:rsid w:val="00320FCC"/>
    <w:rsid w:val="003221B4"/>
    <w:rsid w:val="0032258D"/>
    <w:rsid w:val="00322E62"/>
    <w:rsid w:val="00324D13"/>
    <w:rsid w:val="00324D2A"/>
    <w:rsid w:val="00324EDD"/>
    <w:rsid w:val="003331E4"/>
    <w:rsid w:val="00336C64"/>
    <w:rsid w:val="00337162"/>
    <w:rsid w:val="0034194F"/>
    <w:rsid w:val="003421BA"/>
    <w:rsid w:val="00344605"/>
    <w:rsid w:val="003474AA"/>
    <w:rsid w:val="00350D1D"/>
    <w:rsid w:val="00352C83"/>
    <w:rsid w:val="003615D2"/>
    <w:rsid w:val="0036429C"/>
    <w:rsid w:val="00364A53"/>
    <w:rsid w:val="00364C4F"/>
    <w:rsid w:val="003654CB"/>
    <w:rsid w:val="00365AA9"/>
    <w:rsid w:val="00365F86"/>
    <w:rsid w:val="00365F87"/>
    <w:rsid w:val="00366E89"/>
    <w:rsid w:val="003705F4"/>
    <w:rsid w:val="00370D58"/>
    <w:rsid w:val="00371316"/>
    <w:rsid w:val="00375010"/>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118"/>
    <w:rsid w:val="00394376"/>
    <w:rsid w:val="003943FF"/>
    <w:rsid w:val="00395700"/>
    <w:rsid w:val="003974EB"/>
    <w:rsid w:val="00397678"/>
    <w:rsid w:val="00397CC5"/>
    <w:rsid w:val="003A1582"/>
    <w:rsid w:val="003A4077"/>
    <w:rsid w:val="003B09AD"/>
    <w:rsid w:val="003B1F18"/>
    <w:rsid w:val="003B5A46"/>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3F68C4"/>
    <w:rsid w:val="00400E72"/>
    <w:rsid w:val="00401400"/>
    <w:rsid w:val="00404869"/>
    <w:rsid w:val="00405884"/>
    <w:rsid w:val="00407A68"/>
    <w:rsid w:val="00407D39"/>
    <w:rsid w:val="0041477A"/>
    <w:rsid w:val="004167A3"/>
    <w:rsid w:val="00432DAA"/>
    <w:rsid w:val="00434305"/>
    <w:rsid w:val="00435DF7"/>
    <w:rsid w:val="0044083F"/>
    <w:rsid w:val="00441AE7"/>
    <w:rsid w:val="00445574"/>
    <w:rsid w:val="004467FB"/>
    <w:rsid w:val="0044755C"/>
    <w:rsid w:val="00452D6B"/>
    <w:rsid w:val="00454484"/>
    <w:rsid w:val="0045517B"/>
    <w:rsid w:val="00460AB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49A8"/>
    <w:rsid w:val="004C7556"/>
    <w:rsid w:val="004C7E8B"/>
    <w:rsid w:val="004C7E9D"/>
    <w:rsid w:val="004C7F67"/>
    <w:rsid w:val="004D076D"/>
    <w:rsid w:val="004D0EF1"/>
    <w:rsid w:val="004D2253"/>
    <w:rsid w:val="004D30E3"/>
    <w:rsid w:val="004D4406"/>
    <w:rsid w:val="004D5DD1"/>
    <w:rsid w:val="004D7C42"/>
    <w:rsid w:val="004E0465"/>
    <w:rsid w:val="004E127B"/>
    <w:rsid w:val="004E1C0A"/>
    <w:rsid w:val="004E2B06"/>
    <w:rsid w:val="004E30C5"/>
    <w:rsid w:val="004E44E5"/>
    <w:rsid w:val="004E4AA5"/>
    <w:rsid w:val="004E4AEE"/>
    <w:rsid w:val="004E59E3"/>
    <w:rsid w:val="004E67C0"/>
    <w:rsid w:val="004F391A"/>
    <w:rsid w:val="004F3CFB"/>
    <w:rsid w:val="004F6456"/>
    <w:rsid w:val="004F696E"/>
    <w:rsid w:val="004F6C71"/>
    <w:rsid w:val="00501139"/>
    <w:rsid w:val="00501188"/>
    <w:rsid w:val="0050363E"/>
    <w:rsid w:val="005039BC"/>
    <w:rsid w:val="005043BB"/>
    <w:rsid w:val="00504A3D"/>
    <w:rsid w:val="00505767"/>
    <w:rsid w:val="005073F0"/>
    <w:rsid w:val="00507C48"/>
    <w:rsid w:val="00510A7B"/>
    <w:rsid w:val="00511635"/>
    <w:rsid w:val="00512F6E"/>
    <w:rsid w:val="00513038"/>
    <w:rsid w:val="00514174"/>
    <w:rsid w:val="00516088"/>
    <w:rsid w:val="00516B0B"/>
    <w:rsid w:val="00520D4F"/>
    <w:rsid w:val="005220EC"/>
    <w:rsid w:val="00523F95"/>
    <w:rsid w:val="005249FE"/>
    <w:rsid w:val="00524D65"/>
    <w:rsid w:val="00525B16"/>
    <w:rsid w:val="00533799"/>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5856"/>
    <w:rsid w:val="005559ED"/>
    <w:rsid w:val="00557D1F"/>
    <w:rsid w:val="00561475"/>
    <w:rsid w:val="00561809"/>
    <w:rsid w:val="0056487B"/>
    <w:rsid w:val="00564FB9"/>
    <w:rsid w:val="00573D9E"/>
    <w:rsid w:val="005801E3"/>
    <w:rsid w:val="00580FDB"/>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2B3F"/>
    <w:rsid w:val="005B4903"/>
    <w:rsid w:val="005B51CE"/>
    <w:rsid w:val="005B5885"/>
    <w:rsid w:val="005B5CD7"/>
    <w:rsid w:val="005B6CF6"/>
    <w:rsid w:val="005B7422"/>
    <w:rsid w:val="005C0220"/>
    <w:rsid w:val="005C29B8"/>
    <w:rsid w:val="005C5F21"/>
    <w:rsid w:val="005C6495"/>
    <w:rsid w:val="005C7156"/>
    <w:rsid w:val="005C76CC"/>
    <w:rsid w:val="005D0C75"/>
    <w:rsid w:val="005D4171"/>
    <w:rsid w:val="005D6499"/>
    <w:rsid w:val="005D6A95"/>
    <w:rsid w:val="005D6B2C"/>
    <w:rsid w:val="005D6D9C"/>
    <w:rsid w:val="005E2335"/>
    <w:rsid w:val="005E248F"/>
    <w:rsid w:val="005E34CA"/>
    <w:rsid w:val="005E3C18"/>
    <w:rsid w:val="005E6812"/>
    <w:rsid w:val="005E7881"/>
    <w:rsid w:val="005E78E0"/>
    <w:rsid w:val="005F0D9C"/>
    <w:rsid w:val="005F284E"/>
    <w:rsid w:val="005F4712"/>
    <w:rsid w:val="006015CE"/>
    <w:rsid w:val="00604784"/>
    <w:rsid w:val="00606419"/>
    <w:rsid w:val="00607D29"/>
    <w:rsid w:val="00612952"/>
    <w:rsid w:val="00614AAD"/>
    <w:rsid w:val="00614CC1"/>
    <w:rsid w:val="00615A9D"/>
    <w:rsid w:val="00617387"/>
    <w:rsid w:val="006205D6"/>
    <w:rsid w:val="006230C7"/>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47FD"/>
    <w:rsid w:val="006770F4"/>
    <w:rsid w:val="00677A84"/>
    <w:rsid w:val="0068026D"/>
    <w:rsid w:val="00680A27"/>
    <w:rsid w:val="006816A4"/>
    <w:rsid w:val="006819B8"/>
    <w:rsid w:val="006840A6"/>
    <w:rsid w:val="006850CD"/>
    <w:rsid w:val="00685AAB"/>
    <w:rsid w:val="00695D22"/>
    <w:rsid w:val="0069705E"/>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1C3F"/>
    <w:rsid w:val="006F2ACA"/>
    <w:rsid w:val="006F2ADC"/>
    <w:rsid w:val="006F2BFE"/>
    <w:rsid w:val="006F31E9"/>
    <w:rsid w:val="006F5A08"/>
    <w:rsid w:val="006F6284"/>
    <w:rsid w:val="007002C5"/>
    <w:rsid w:val="00704387"/>
    <w:rsid w:val="00707669"/>
    <w:rsid w:val="00711CBA"/>
    <w:rsid w:val="00711FB5"/>
    <w:rsid w:val="00712A01"/>
    <w:rsid w:val="00714F58"/>
    <w:rsid w:val="00716B4D"/>
    <w:rsid w:val="0072033E"/>
    <w:rsid w:val="007220EC"/>
    <w:rsid w:val="00722FBF"/>
    <w:rsid w:val="00722FC2"/>
    <w:rsid w:val="00724879"/>
    <w:rsid w:val="00724E1B"/>
    <w:rsid w:val="00725241"/>
    <w:rsid w:val="00725949"/>
    <w:rsid w:val="00726595"/>
    <w:rsid w:val="00727FA2"/>
    <w:rsid w:val="007322D9"/>
    <w:rsid w:val="00732BC0"/>
    <w:rsid w:val="00735773"/>
    <w:rsid w:val="0073720F"/>
    <w:rsid w:val="00737796"/>
    <w:rsid w:val="007411D1"/>
    <w:rsid w:val="0074165C"/>
    <w:rsid w:val="007421DA"/>
    <w:rsid w:val="00742C35"/>
    <w:rsid w:val="007432CA"/>
    <w:rsid w:val="007439EB"/>
    <w:rsid w:val="00743CB4"/>
    <w:rsid w:val="00743F0A"/>
    <w:rsid w:val="007444E8"/>
    <w:rsid w:val="0074548E"/>
    <w:rsid w:val="00745773"/>
    <w:rsid w:val="0074623A"/>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0BC5"/>
    <w:rsid w:val="007D1352"/>
    <w:rsid w:val="007D1E74"/>
    <w:rsid w:val="007D20EF"/>
    <w:rsid w:val="007D2508"/>
    <w:rsid w:val="007D33FF"/>
    <w:rsid w:val="007D346A"/>
    <w:rsid w:val="007D6518"/>
    <w:rsid w:val="007D76BD"/>
    <w:rsid w:val="007E0BF1"/>
    <w:rsid w:val="007E3258"/>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67F5"/>
    <w:rsid w:val="008373D3"/>
    <w:rsid w:val="00840617"/>
    <w:rsid w:val="00840F84"/>
    <w:rsid w:val="00842A47"/>
    <w:rsid w:val="00843C13"/>
    <w:rsid w:val="008454F8"/>
    <w:rsid w:val="0085173A"/>
    <w:rsid w:val="00856316"/>
    <w:rsid w:val="008603CE"/>
    <w:rsid w:val="008620FC"/>
    <w:rsid w:val="008627A5"/>
    <w:rsid w:val="0086303D"/>
    <w:rsid w:val="00863E05"/>
    <w:rsid w:val="00865ACA"/>
    <w:rsid w:val="00865D28"/>
    <w:rsid w:val="00865F85"/>
    <w:rsid w:val="00867C10"/>
    <w:rsid w:val="00870439"/>
    <w:rsid w:val="00870DA1"/>
    <w:rsid w:val="008815C4"/>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EB0"/>
    <w:rsid w:val="008A6F81"/>
    <w:rsid w:val="008A769A"/>
    <w:rsid w:val="008B0C9C"/>
    <w:rsid w:val="008B166D"/>
    <w:rsid w:val="008B17F4"/>
    <w:rsid w:val="008B3615"/>
    <w:rsid w:val="008B4AC4"/>
    <w:rsid w:val="008B50C8"/>
    <w:rsid w:val="008B5281"/>
    <w:rsid w:val="008B7E05"/>
    <w:rsid w:val="008C1797"/>
    <w:rsid w:val="008C219C"/>
    <w:rsid w:val="008C3161"/>
    <w:rsid w:val="008C475E"/>
    <w:rsid w:val="008C619A"/>
    <w:rsid w:val="008C6424"/>
    <w:rsid w:val="008C683F"/>
    <w:rsid w:val="008D0CCD"/>
    <w:rsid w:val="008D0CE8"/>
    <w:rsid w:val="008D2D1D"/>
    <w:rsid w:val="008D453D"/>
    <w:rsid w:val="008D53AD"/>
    <w:rsid w:val="008D562B"/>
    <w:rsid w:val="008D5733"/>
    <w:rsid w:val="008D622B"/>
    <w:rsid w:val="008D666C"/>
    <w:rsid w:val="008D7B54"/>
    <w:rsid w:val="008E0C9D"/>
    <w:rsid w:val="008E1648"/>
    <w:rsid w:val="008E1B3E"/>
    <w:rsid w:val="008E2319"/>
    <w:rsid w:val="008E3134"/>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2FAD"/>
    <w:rsid w:val="009245F5"/>
    <w:rsid w:val="009249EC"/>
    <w:rsid w:val="009273B3"/>
    <w:rsid w:val="009305B5"/>
    <w:rsid w:val="00933AA8"/>
    <w:rsid w:val="00935CD1"/>
    <w:rsid w:val="009429D5"/>
    <w:rsid w:val="00942BF1"/>
    <w:rsid w:val="00945180"/>
    <w:rsid w:val="00945428"/>
    <w:rsid w:val="0094607B"/>
    <w:rsid w:val="0095088C"/>
    <w:rsid w:val="00953604"/>
    <w:rsid w:val="0095496B"/>
    <w:rsid w:val="00960EF8"/>
    <w:rsid w:val="009610DC"/>
    <w:rsid w:val="00961490"/>
    <w:rsid w:val="0096381A"/>
    <w:rsid w:val="00965B2A"/>
    <w:rsid w:val="00965E04"/>
    <w:rsid w:val="009674AD"/>
    <w:rsid w:val="00970643"/>
    <w:rsid w:val="00970CDC"/>
    <w:rsid w:val="00974B39"/>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A72"/>
    <w:rsid w:val="009C4CFA"/>
    <w:rsid w:val="009C5070"/>
    <w:rsid w:val="009D112C"/>
    <w:rsid w:val="009D47FA"/>
    <w:rsid w:val="009D4C5B"/>
    <w:rsid w:val="009D50D2"/>
    <w:rsid w:val="009D6BCA"/>
    <w:rsid w:val="009E0F62"/>
    <w:rsid w:val="009E4A58"/>
    <w:rsid w:val="009E5A2D"/>
    <w:rsid w:val="009E5AB2"/>
    <w:rsid w:val="009E6219"/>
    <w:rsid w:val="009F03B3"/>
    <w:rsid w:val="009F142E"/>
    <w:rsid w:val="009F5471"/>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6A37"/>
    <w:rsid w:val="00A5003E"/>
    <w:rsid w:val="00A55BD6"/>
    <w:rsid w:val="00A55D50"/>
    <w:rsid w:val="00A57142"/>
    <w:rsid w:val="00A648CD"/>
    <w:rsid w:val="00A6537A"/>
    <w:rsid w:val="00A67866"/>
    <w:rsid w:val="00A70B07"/>
    <w:rsid w:val="00A718B5"/>
    <w:rsid w:val="00A723F8"/>
    <w:rsid w:val="00A77CCB"/>
    <w:rsid w:val="00A83D8D"/>
    <w:rsid w:val="00A8446B"/>
    <w:rsid w:val="00A8473F"/>
    <w:rsid w:val="00A858C9"/>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1D9B"/>
    <w:rsid w:val="00AB41D5"/>
    <w:rsid w:val="00AB6309"/>
    <w:rsid w:val="00AB6C5F"/>
    <w:rsid w:val="00AB7129"/>
    <w:rsid w:val="00AC27A6"/>
    <w:rsid w:val="00AC30F7"/>
    <w:rsid w:val="00AC3A5A"/>
    <w:rsid w:val="00AC49D7"/>
    <w:rsid w:val="00AC4D95"/>
    <w:rsid w:val="00AC5DF4"/>
    <w:rsid w:val="00AD0AEF"/>
    <w:rsid w:val="00AD11B7"/>
    <w:rsid w:val="00AD1A94"/>
    <w:rsid w:val="00AD1C05"/>
    <w:rsid w:val="00AD3332"/>
    <w:rsid w:val="00AD4126"/>
    <w:rsid w:val="00AD421C"/>
    <w:rsid w:val="00AD44FA"/>
    <w:rsid w:val="00AE070A"/>
    <w:rsid w:val="00AE101C"/>
    <w:rsid w:val="00AE37E5"/>
    <w:rsid w:val="00AE5EB4"/>
    <w:rsid w:val="00AF0C18"/>
    <w:rsid w:val="00AF47C5"/>
    <w:rsid w:val="00AF5398"/>
    <w:rsid w:val="00B049AF"/>
    <w:rsid w:val="00B0635F"/>
    <w:rsid w:val="00B07242"/>
    <w:rsid w:val="00B10534"/>
    <w:rsid w:val="00B11285"/>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4DEE"/>
    <w:rsid w:val="00B96D40"/>
    <w:rsid w:val="00B97386"/>
    <w:rsid w:val="00B97621"/>
    <w:rsid w:val="00B97764"/>
    <w:rsid w:val="00BA263B"/>
    <w:rsid w:val="00BA333F"/>
    <w:rsid w:val="00BA42B2"/>
    <w:rsid w:val="00BA58D4"/>
    <w:rsid w:val="00BA5B9E"/>
    <w:rsid w:val="00BA7C9A"/>
    <w:rsid w:val="00BB5F8F"/>
    <w:rsid w:val="00BB657A"/>
    <w:rsid w:val="00BB74ED"/>
    <w:rsid w:val="00BC1A4E"/>
    <w:rsid w:val="00BC5DC7"/>
    <w:rsid w:val="00BC6B8B"/>
    <w:rsid w:val="00BC73D8"/>
    <w:rsid w:val="00BD47E8"/>
    <w:rsid w:val="00BD52D7"/>
    <w:rsid w:val="00BD5AD2"/>
    <w:rsid w:val="00BE1999"/>
    <w:rsid w:val="00BE22F3"/>
    <w:rsid w:val="00BE50D4"/>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335F"/>
    <w:rsid w:val="00C24C8D"/>
    <w:rsid w:val="00C25FE2"/>
    <w:rsid w:val="00C26B53"/>
    <w:rsid w:val="00C279B2"/>
    <w:rsid w:val="00C334C4"/>
    <w:rsid w:val="00C33E50"/>
    <w:rsid w:val="00C34C20"/>
    <w:rsid w:val="00C35A3E"/>
    <w:rsid w:val="00C378C7"/>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3007"/>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0A5"/>
    <w:rsid w:val="00CB1A42"/>
    <w:rsid w:val="00CB1B0C"/>
    <w:rsid w:val="00CB2C0B"/>
    <w:rsid w:val="00CB517D"/>
    <w:rsid w:val="00CB57C5"/>
    <w:rsid w:val="00CC038D"/>
    <w:rsid w:val="00CC08DB"/>
    <w:rsid w:val="00CC0C6C"/>
    <w:rsid w:val="00CC39FF"/>
    <w:rsid w:val="00CC3C2F"/>
    <w:rsid w:val="00CC44EC"/>
    <w:rsid w:val="00CC4AC8"/>
    <w:rsid w:val="00CC5233"/>
    <w:rsid w:val="00CC5DE6"/>
    <w:rsid w:val="00CC6E4E"/>
    <w:rsid w:val="00CC6FE8"/>
    <w:rsid w:val="00CC7202"/>
    <w:rsid w:val="00CD2808"/>
    <w:rsid w:val="00CD28BF"/>
    <w:rsid w:val="00CD4092"/>
    <w:rsid w:val="00CD4A20"/>
    <w:rsid w:val="00CD50A1"/>
    <w:rsid w:val="00CD519E"/>
    <w:rsid w:val="00CE0BF8"/>
    <w:rsid w:val="00CE0C4F"/>
    <w:rsid w:val="00CE30EA"/>
    <w:rsid w:val="00CE335A"/>
    <w:rsid w:val="00CF048A"/>
    <w:rsid w:val="00CF155A"/>
    <w:rsid w:val="00CF2947"/>
    <w:rsid w:val="00CF686F"/>
    <w:rsid w:val="00CF6E60"/>
    <w:rsid w:val="00CF7BCA"/>
    <w:rsid w:val="00D008FD"/>
    <w:rsid w:val="00D0321C"/>
    <w:rsid w:val="00D035EC"/>
    <w:rsid w:val="00D03835"/>
    <w:rsid w:val="00D06AB1"/>
    <w:rsid w:val="00D072ED"/>
    <w:rsid w:val="00D07A16"/>
    <w:rsid w:val="00D1067E"/>
    <w:rsid w:val="00D10F50"/>
    <w:rsid w:val="00D11272"/>
    <w:rsid w:val="00D126F5"/>
    <w:rsid w:val="00D1489E"/>
    <w:rsid w:val="00D20737"/>
    <w:rsid w:val="00D21CEC"/>
    <w:rsid w:val="00D21E81"/>
    <w:rsid w:val="00D223DE"/>
    <w:rsid w:val="00D25E37"/>
    <w:rsid w:val="00D2661A"/>
    <w:rsid w:val="00D27582"/>
    <w:rsid w:val="00D277F6"/>
    <w:rsid w:val="00D27EC4"/>
    <w:rsid w:val="00D32719"/>
    <w:rsid w:val="00D33333"/>
    <w:rsid w:val="00D33457"/>
    <w:rsid w:val="00D352A2"/>
    <w:rsid w:val="00D4162B"/>
    <w:rsid w:val="00D4514F"/>
    <w:rsid w:val="00D451E2"/>
    <w:rsid w:val="00D45E89"/>
    <w:rsid w:val="00D45E8D"/>
    <w:rsid w:val="00D466AE"/>
    <w:rsid w:val="00D4734F"/>
    <w:rsid w:val="00D51BF3"/>
    <w:rsid w:val="00D617C2"/>
    <w:rsid w:val="00D66846"/>
    <w:rsid w:val="00D675FB"/>
    <w:rsid w:val="00D71F25"/>
    <w:rsid w:val="00D72A9C"/>
    <w:rsid w:val="00D77031"/>
    <w:rsid w:val="00D843F1"/>
    <w:rsid w:val="00D84941"/>
    <w:rsid w:val="00D84FA1"/>
    <w:rsid w:val="00D851F0"/>
    <w:rsid w:val="00D86DB7"/>
    <w:rsid w:val="00D90579"/>
    <w:rsid w:val="00D926D0"/>
    <w:rsid w:val="00D93030"/>
    <w:rsid w:val="00D950E1"/>
    <w:rsid w:val="00D952A6"/>
    <w:rsid w:val="00D97F99"/>
    <w:rsid w:val="00DA1E08"/>
    <w:rsid w:val="00DA24F8"/>
    <w:rsid w:val="00DA28E8"/>
    <w:rsid w:val="00DA38D3"/>
    <w:rsid w:val="00DA3932"/>
    <w:rsid w:val="00DA3AFC"/>
    <w:rsid w:val="00DA5766"/>
    <w:rsid w:val="00DA64F8"/>
    <w:rsid w:val="00DA6C15"/>
    <w:rsid w:val="00DB0258"/>
    <w:rsid w:val="00DB38EE"/>
    <w:rsid w:val="00DB498B"/>
    <w:rsid w:val="00DB66CA"/>
    <w:rsid w:val="00DB6BCA"/>
    <w:rsid w:val="00DB73F7"/>
    <w:rsid w:val="00DB749E"/>
    <w:rsid w:val="00DC0321"/>
    <w:rsid w:val="00DC3067"/>
    <w:rsid w:val="00DC370B"/>
    <w:rsid w:val="00DC5B90"/>
    <w:rsid w:val="00DD00FF"/>
    <w:rsid w:val="00DD0619"/>
    <w:rsid w:val="00DD07FB"/>
    <w:rsid w:val="00DD25C6"/>
    <w:rsid w:val="00DD4FE5"/>
    <w:rsid w:val="00DD54B0"/>
    <w:rsid w:val="00DD57EE"/>
    <w:rsid w:val="00DD6BCC"/>
    <w:rsid w:val="00DE0A4B"/>
    <w:rsid w:val="00DE1F91"/>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26C3"/>
    <w:rsid w:val="00E23D99"/>
    <w:rsid w:val="00E2552F"/>
    <w:rsid w:val="00E25F48"/>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1A18"/>
    <w:rsid w:val="00E74C54"/>
    <w:rsid w:val="00E77A03"/>
    <w:rsid w:val="00E822E8"/>
    <w:rsid w:val="00E82554"/>
    <w:rsid w:val="00E82606"/>
    <w:rsid w:val="00E846C8"/>
    <w:rsid w:val="00E84957"/>
    <w:rsid w:val="00E84A55"/>
    <w:rsid w:val="00E85BFF"/>
    <w:rsid w:val="00E90391"/>
    <w:rsid w:val="00E906C2"/>
    <w:rsid w:val="00E9311F"/>
    <w:rsid w:val="00E93385"/>
    <w:rsid w:val="00E934D1"/>
    <w:rsid w:val="00E94AF0"/>
    <w:rsid w:val="00E95565"/>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66BF"/>
    <w:rsid w:val="00EE7295"/>
    <w:rsid w:val="00EE7869"/>
    <w:rsid w:val="00EF054A"/>
    <w:rsid w:val="00EF3235"/>
    <w:rsid w:val="00EF7E72"/>
    <w:rsid w:val="00F04B5D"/>
    <w:rsid w:val="00F06D37"/>
    <w:rsid w:val="00F07B9D"/>
    <w:rsid w:val="00F11586"/>
    <w:rsid w:val="00F1183B"/>
    <w:rsid w:val="00F11C9F"/>
    <w:rsid w:val="00F12263"/>
    <w:rsid w:val="00F1409D"/>
    <w:rsid w:val="00F14214"/>
    <w:rsid w:val="00F157A9"/>
    <w:rsid w:val="00F1713D"/>
    <w:rsid w:val="00F23C63"/>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4900"/>
    <w:rsid w:val="00F81141"/>
    <w:rsid w:val="00F82333"/>
    <w:rsid w:val="00F833BA"/>
    <w:rsid w:val="00F84FD0"/>
    <w:rsid w:val="00F859A8"/>
    <w:rsid w:val="00F86D87"/>
    <w:rsid w:val="00F9108B"/>
    <w:rsid w:val="00F91349"/>
    <w:rsid w:val="00F93A8A"/>
    <w:rsid w:val="00F95248"/>
    <w:rsid w:val="00F956A9"/>
    <w:rsid w:val="00F963ED"/>
    <w:rsid w:val="00F966CF"/>
    <w:rsid w:val="00F96CAE"/>
    <w:rsid w:val="00F97C99"/>
    <w:rsid w:val="00FA2C95"/>
    <w:rsid w:val="00FA4DAC"/>
    <w:rsid w:val="00FA662D"/>
    <w:rsid w:val="00FA6C77"/>
    <w:rsid w:val="00FA73B1"/>
    <w:rsid w:val="00FB0CB9"/>
    <w:rsid w:val="00FB14E4"/>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22CA"/>
    <w:rsid w:val="00FE3901"/>
    <w:rsid w:val="00FE39D3"/>
    <w:rsid w:val="00FE4BCE"/>
    <w:rsid w:val="00FE54AE"/>
    <w:rsid w:val="00FE576A"/>
    <w:rsid w:val="00FE7E79"/>
    <w:rsid w:val="00FF3E7D"/>
    <w:rsid w:val="00FF5B99"/>
    <w:rsid w:val="00FF730C"/>
    <w:rsid w:val="00FF73F4"/>
    <w:rsid w:val="00FF7CE4"/>
    <w:rsid w:val="00FF7E39"/>
    <w:rsid w:val="21C629B5"/>
    <w:rsid w:val="27B92FED"/>
    <w:rsid w:val="4D0A69D6"/>
    <w:rsid w:val="76751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rFonts w:ascii="Times New Roman" w:hAnsi="Times New Roman" w:eastAsia="宋体" w:cs="Times New Roman"/>
      <w:b/>
      <w:bCs/>
      <w:kern w:val="44"/>
      <w:sz w:val="44"/>
      <w:szCs w:val="44"/>
    </w:rPr>
  </w:style>
  <w:style w:type="character" w:customStyle="1" w:styleId="35">
    <w:name w:val="标题 2 字符"/>
    <w:link w:val="3"/>
    <w:qFormat/>
    <w:uiPriority w:val="0"/>
    <w:rPr>
      <w:rFonts w:ascii="Arial" w:hAnsi="Arial" w:eastAsia="黑体" w:cs="Times New Roman"/>
      <w:b/>
      <w:bCs/>
      <w:sz w:val="32"/>
      <w:szCs w:val="32"/>
    </w:rPr>
  </w:style>
  <w:style w:type="character" w:customStyle="1" w:styleId="36">
    <w:name w:val="标题 3 字符"/>
    <w:link w:val="4"/>
    <w:qFormat/>
    <w:uiPriority w:val="0"/>
    <w:rPr>
      <w:rFonts w:ascii="Times New Roman" w:hAnsi="Times New Roman" w:eastAsia="宋体" w:cs="Times New Roman"/>
      <w:b/>
      <w:bCs/>
      <w:sz w:val="32"/>
      <w:szCs w:val="32"/>
    </w:rPr>
  </w:style>
  <w:style w:type="character" w:customStyle="1" w:styleId="37">
    <w:name w:val="标题 4 字符"/>
    <w:link w:val="5"/>
    <w:qFormat/>
    <w:uiPriority w:val="0"/>
    <w:rPr>
      <w:rFonts w:ascii="Arial" w:hAnsi="Arial" w:eastAsia="黑体" w:cs="Times New Roman"/>
      <w:b/>
      <w:bCs/>
      <w:sz w:val="28"/>
      <w:szCs w:val="28"/>
    </w:rPr>
  </w:style>
  <w:style w:type="character" w:customStyle="1" w:styleId="38">
    <w:name w:val="标题 5 字符"/>
    <w:link w:val="6"/>
    <w:qFormat/>
    <w:uiPriority w:val="0"/>
    <w:rPr>
      <w:rFonts w:ascii="Times New Roman" w:hAnsi="Times New Roman" w:eastAsia="宋体" w:cs="Times New Roman"/>
      <w:b/>
      <w:bCs/>
      <w:sz w:val="28"/>
      <w:szCs w:val="28"/>
    </w:rPr>
  </w:style>
  <w:style w:type="character" w:customStyle="1" w:styleId="39">
    <w:name w:val="标题 6 字符"/>
    <w:link w:val="7"/>
    <w:qFormat/>
    <w:uiPriority w:val="0"/>
    <w:rPr>
      <w:rFonts w:ascii="Arial" w:hAnsi="Arial" w:eastAsia="黑体" w:cs="Times New Roman"/>
      <w:b/>
      <w:bCs/>
      <w:sz w:val="24"/>
      <w:szCs w:val="24"/>
    </w:rPr>
  </w:style>
  <w:style w:type="character" w:customStyle="1" w:styleId="40">
    <w:name w:val="标题 7 字符"/>
    <w:link w:val="8"/>
    <w:qFormat/>
    <w:uiPriority w:val="0"/>
    <w:rPr>
      <w:rFonts w:ascii="Times New Roman" w:hAnsi="Times New Roman" w:eastAsia="宋体" w:cs="Times New Roman"/>
      <w:b/>
      <w:bCs/>
      <w:sz w:val="24"/>
      <w:szCs w:val="24"/>
    </w:rPr>
  </w:style>
  <w:style w:type="character" w:customStyle="1" w:styleId="41">
    <w:name w:val="标题 8 字符"/>
    <w:link w:val="9"/>
    <w:qFormat/>
    <w:uiPriority w:val="0"/>
    <w:rPr>
      <w:rFonts w:ascii="Arial" w:hAnsi="Arial" w:eastAsia="黑体" w:cs="Times New Roman"/>
      <w:sz w:val="24"/>
      <w:szCs w:val="24"/>
    </w:rPr>
  </w:style>
  <w:style w:type="character" w:customStyle="1" w:styleId="42">
    <w:name w:val="标题 9 字符"/>
    <w:link w:val="10"/>
    <w:qFormat/>
    <w:uiPriority w:val="0"/>
    <w:rPr>
      <w:rFonts w:ascii="Arial" w:hAnsi="Arial" w:eastAsia="黑体" w:cs="Times New Roman"/>
      <w:szCs w:val="21"/>
    </w:rPr>
  </w:style>
  <w:style w:type="character" w:customStyle="1" w:styleId="43">
    <w:name w:val="页眉 字符"/>
    <w:link w:val="18"/>
    <w:qFormat/>
    <w:uiPriority w:val="99"/>
    <w:rPr>
      <w:rFonts w:ascii="Times New Roman" w:hAnsi="Times New Roman" w:eastAsia="宋体" w:cs="Times New Roman"/>
      <w:sz w:val="18"/>
      <w:szCs w:val="18"/>
    </w:rPr>
  </w:style>
  <w:style w:type="character" w:customStyle="1" w:styleId="44">
    <w:name w:val="页脚 字符"/>
    <w:link w:val="17"/>
    <w:qFormat/>
    <w:uiPriority w:val="99"/>
    <w:rPr>
      <w:rFonts w:ascii="宋体" w:hAnsi="Times New Roman" w:eastAsia="宋体" w:cs="Times New Roman"/>
      <w:sz w:val="18"/>
      <w:szCs w:val="18"/>
    </w:rPr>
  </w:style>
  <w:style w:type="character" w:customStyle="1" w:styleId="45">
    <w:name w:val="批注框文本 字符"/>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rPr>
  </w:style>
  <w:style w:type="character" w:customStyle="1" w:styleId="48">
    <w:name w:val="标题 字符"/>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Table Paragraph"/>
    <w:basedOn w:val="1"/>
    <w:qFormat/>
    <w:uiPriority w:val="1"/>
    <w:pPr>
      <w:widowControl/>
      <w:snapToGrid w:val="0"/>
      <w:spacing w:after="200" w:line="240" w:lineRule="auto"/>
      <w:jc w:val="left"/>
    </w:pPr>
    <w:rPr>
      <w:rFonts w:ascii="宋体" w:hAnsi="宋体" w:cs="宋体"/>
      <w:kern w:val="0"/>
      <w:sz w:val="22"/>
      <w:szCs w:val="2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user/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D6E7041666F440195B7EBE783A002F1"/>
        <w:style w:val=""/>
        <w:category>
          <w:name w:val="常规"/>
          <w:gallery w:val="placeholder"/>
        </w:category>
        <w:types>
          <w:type w:val="bbPlcHdr"/>
        </w:types>
        <w:behaviors>
          <w:behavior w:val="content"/>
        </w:behaviors>
        <w:description w:val=""/>
        <w:guid w:val="{4D7FB622-D1ED-4F0D-9C76-8A3BB25A5A4F}"/>
      </w:docPartPr>
      <w:docPartBody>
        <w:p>
          <w:pPr>
            <w:pStyle w:val="5"/>
          </w:pPr>
          <w:r>
            <w:rPr>
              <w:rStyle w:val="4"/>
              <w:rFonts w:hint="eastAsia"/>
            </w:rPr>
            <w:t>单击或点击此处输入文字。</w:t>
          </w:r>
        </w:p>
      </w:docPartBody>
    </w:docPart>
    <w:docPart>
      <w:docPartPr>
        <w:name w:val="E73548A1ED02408EA3B8E1A6F2B25C52"/>
        <w:style w:val=""/>
        <w:category>
          <w:name w:val="常规"/>
          <w:gallery w:val="placeholder"/>
        </w:category>
        <w:types>
          <w:type w:val="bbPlcHdr"/>
        </w:types>
        <w:behaviors>
          <w:behavior w:val="content"/>
        </w:behaviors>
        <w:description w:val=""/>
        <w:guid w:val="{3A5D4BB7-69A8-4932-A28E-70DC1AA00273}"/>
      </w:docPartPr>
      <w:docPartBody>
        <w:p>
          <w:pPr>
            <w:pStyle w:val="6"/>
          </w:pPr>
          <w:r>
            <w:rPr>
              <w:rStyle w:val="4"/>
              <w:rFonts w:hint="eastAsia"/>
            </w:rPr>
            <w:t>选择一项。</w:t>
          </w:r>
        </w:p>
      </w:docPartBody>
    </w:docPart>
    <w:docPart>
      <w:docPartPr>
        <w:name w:val="A2BEFAADAA9C440E9525DF85EBDBBB1D"/>
        <w:style w:val=""/>
        <w:category>
          <w:name w:val="常规"/>
          <w:gallery w:val="placeholder"/>
        </w:category>
        <w:types>
          <w:type w:val="bbPlcHdr"/>
        </w:types>
        <w:behaviors>
          <w:behavior w:val="content"/>
        </w:behaviors>
        <w:description w:val=""/>
        <w:guid w:val="{2803A4B2-A4D6-4B30-93DC-3232A4A3D223}"/>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等线">
    <w:altName w:val="文泉驿微米黑"/>
    <w:panose1 w:val="00000000000000000000"/>
    <w:charset w:val="86"/>
    <w:family w:val="auto"/>
    <w:pitch w:val="default"/>
    <w:sig w:usb0="00000000" w:usb1="00000000" w:usb2="00000000" w:usb3="00000000" w:csb0="00000000" w:csb1="00000000"/>
  </w:font>
  <w:font w:name="等线">
    <w:altName w:val="文泉驿微米黑"/>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A07"/>
    <w:rsid w:val="00004ADB"/>
    <w:rsid w:val="00011124"/>
    <w:rsid w:val="00020582"/>
    <w:rsid w:val="00117FB1"/>
    <w:rsid w:val="001D1EB8"/>
    <w:rsid w:val="003B531B"/>
    <w:rsid w:val="003C2348"/>
    <w:rsid w:val="00572058"/>
    <w:rsid w:val="00787C67"/>
    <w:rsid w:val="007930D2"/>
    <w:rsid w:val="007E6A09"/>
    <w:rsid w:val="00997102"/>
    <w:rsid w:val="009C705B"/>
    <w:rsid w:val="00A02734"/>
    <w:rsid w:val="00AB7B29"/>
    <w:rsid w:val="00AD1A07"/>
    <w:rsid w:val="00AF3660"/>
    <w:rsid w:val="00B61A0B"/>
    <w:rsid w:val="00CF6251"/>
    <w:rsid w:val="00D45C88"/>
    <w:rsid w:val="00DD4B8B"/>
    <w:rsid w:val="00E14FFA"/>
    <w:rsid w:val="00E518FD"/>
    <w:rsid w:val="00E52D79"/>
    <w:rsid w:val="00E6633A"/>
    <w:rsid w:val="00EB0521"/>
    <w:rsid w:val="00F329CE"/>
    <w:rsid w:val="00F41429"/>
    <w:rsid w:val="00FE3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CD6E7041666F440195B7EBE783A002F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E73548A1ED02408EA3B8E1A6F2B25C5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A2BEFAADAA9C440E9525DF85EBDBBB1D"/>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8</Pages>
  <Words>727</Words>
  <Characters>4148</Characters>
  <Lines>34</Lines>
  <Paragraphs>9</Paragraphs>
  <TotalTime>9849</TotalTime>
  <ScaleCrop>false</ScaleCrop>
  <LinksUpToDate>false</LinksUpToDate>
  <CharactersWithSpaces>4866</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2021-08-12T10:11:00Z</dcterms:created>
  <dc:creator>8618953113346</dc:creator>
  <dc:description>&lt;config cover="true" show_menu="true" version="1.0.0" doctype="SDKXY"&gt;_x000d_
&lt;/config&gt;</dc:description>
  <cp:lastModifiedBy>user</cp:lastModifiedBy>
  <cp:lastPrinted>2020-08-30T18:00:00Z</cp:lastPrinted>
  <dcterms:modified xsi:type="dcterms:W3CDTF">2022-03-07T16:09:35Z</dcterms:modified>
  <dc:title>地方标准</dc:title>
  <cp:revision>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2052-11.8.2.9958</vt:lpwstr>
  </property>
</Properties>
</file>