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t>27.010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hint="eastAsia" w:ascii="黑体" w:hAnsi="黑体" w:eastAsia="黑体"/>
                <w:sz w:val="21"/>
                <w:szCs w:val="21"/>
              </w:rPr>
              <w:t>F</w:t>
            </w:r>
            <w:r>
              <w:rPr>
                <w:rFonts w:ascii="黑体" w:hAnsi="黑体" w:eastAsia="黑体"/>
                <w:sz w:val="21"/>
                <w:szCs w:val="21"/>
              </w:rPr>
              <w:t xml:space="preserve"> 01</w:t>
            </w:r>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0" w:name="_Hlk26473981"/>
            <w:r>
              <w:drawing>
                <wp:inline distT="0" distB="0" distL="0" distR="0">
                  <wp:extent cx="796290" cy="397510"/>
                  <wp:effectExtent l="0" t="0" r="3810" b="2540"/>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15" cstate="print">
                            <a:extLst>
                              <a:ext uri="{28A0092B-C50C-407E-A947-70E740481C1C}">
                                <a14:useLocalDpi xmlns:a14="http://schemas.microsoft.com/office/drawing/2010/main" val="false"/>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1" w:name="c1"/>
            <w:r>
              <w:instrText xml:space="preserve"> FORMTEXT </w:instrText>
            </w:r>
            <w:r>
              <w:fldChar w:fldCharType="separate"/>
            </w:r>
            <w:r>
              <w:t>3708</w:t>
            </w:r>
            <w:r>
              <w:fldChar w:fldCharType="end"/>
            </w:r>
            <w:bookmarkEnd w:id="1"/>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2"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Theme="minorEastAsia" w:hAnsiTheme="minorEastAsia" w:eastAsiaTheme="minorEastAsia"/>
          <w:b w:val="0"/>
          <w:w w:val="100"/>
          <w:sz w:val="48"/>
        </w:rPr>
        <w:t>济宁市</w:t>
      </w:r>
      <w:r>
        <w:rPr>
          <w:rFonts w:ascii="黑体" w:eastAsia="黑体"/>
          <w:b w:val="0"/>
          <w:w w:val="100"/>
          <w:sz w:val="48"/>
        </w:rPr>
        <w:fldChar w:fldCharType="end"/>
      </w:r>
      <w:bookmarkEnd w:id="2"/>
      <w:r>
        <w:rPr>
          <w:rFonts w:hint="eastAsia" w:ascii="黑体" w:hAnsi="黑体" w:eastAsia="黑体"/>
          <w:b w:val="0"/>
          <w:bCs w:val="0"/>
          <w:w w:val="100"/>
          <w:sz w:val="48"/>
          <w:szCs w:val="48"/>
        </w:rPr>
        <w:t>地方标准</w:t>
      </w:r>
    </w:p>
    <w:bookmarkEnd w:id="0"/>
    <w:p>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3" w:name="文字1"/>
      <w:r>
        <w:rPr>
          <w:lang w:val="fr-FR"/>
        </w:rPr>
        <w:instrText xml:space="preserve"> FORMTEXT </w:instrText>
      </w:r>
      <w:r>
        <w:fldChar w:fldCharType="separate"/>
      </w:r>
      <w:r>
        <w:rPr>
          <w:lang w:val="fr-FR"/>
        </w:rPr>
        <w:t>3708/T</w:t>
      </w:r>
      <w:r>
        <w:fldChar w:fldCharType="end"/>
      </w:r>
      <w:bookmarkEnd w:id="3"/>
      <w:r>
        <w:rPr>
          <w:lang w:val="fr-FR"/>
        </w:rPr>
        <w:t xml:space="preserve"> </w:t>
      </w:r>
      <w:r>
        <w:fldChar w:fldCharType="begin">
          <w:ffData>
            <w:name w:val="NSTD_CODE_F"/>
            <w:enabled/>
            <w:calcOnExit w:val="0"/>
            <w:textInput>
              <w:default w:val="XXXX"/>
            </w:textInput>
          </w:ffData>
        </w:fldChar>
      </w:r>
      <w:bookmarkStart w:id="4" w:name="NSTD_CODE_F"/>
      <w:r>
        <w:rPr>
          <w:lang w:val="fr-FR"/>
        </w:rPr>
        <w:instrText xml:space="preserve"> FORMTEXT </w:instrText>
      </w:r>
      <w:r>
        <w:fldChar w:fldCharType="separate"/>
      </w:r>
      <w:r>
        <w:rPr>
          <w:lang w:val="fr-FR"/>
        </w:rPr>
        <w:t>XXXX</w:t>
      </w:r>
      <w:r>
        <w:fldChar w:fldCharType="end"/>
      </w:r>
      <w:bookmarkEnd w:id="4"/>
      <w:r>
        <w:rPr>
          <w:rFonts w:hAnsi="黑体"/>
          <w:lang w:val="fr-FR"/>
        </w:rPr>
        <w:t>—</w:t>
      </w:r>
      <w:bookmarkStart w:id="5" w:name="NSTD_CODE_B"/>
      <w:r>
        <w:rPr>
          <w:rFonts w:ascii="黑体" w:hAnsi="Times New Roman" w:eastAsia="黑体" w:cs="Times New Roman"/>
          <w:bCs/>
          <w:sz w:val="28"/>
          <w:szCs w:val="28"/>
          <w:lang w:val="fr-FR" w:eastAsia="zh-CN" w:bidi="ar-SA"/>
        </w:rPr>
        <w:fldChar w:fldCharType="begin">
          <w:ffData>
            <w:name w:val="NSTD_CODE_B"/>
            <w:enabled/>
            <w:calcOnExit w:val="0"/>
            <w:textInput>
              <w:default w:val="2022"/>
            </w:textInput>
          </w:ffData>
        </w:fldChar>
      </w:r>
      <w:r>
        <w:rPr>
          <w:rFonts w:ascii="黑体" w:hAnsi="Times New Roman" w:eastAsia="黑体" w:cs="Times New Roman"/>
          <w:bCs/>
          <w:sz w:val="28"/>
          <w:szCs w:val="28"/>
          <w:lang w:val="fr-FR" w:eastAsia="zh-CN" w:bidi="ar-SA"/>
        </w:rPr>
        <w:instrText xml:space="preserve">FORMTEXT</w:instrText>
      </w:r>
      <w:r>
        <w:rPr>
          <w:rFonts w:ascii="黑体" w:hAnsi="Times New Roman" w:eastAsia="黑体" w:cs="Times New Roman"/>
          <w:bCs/>
          <w:sz w:val="28"/>
          <w:szCs w:val="28"/>
          <w:lang w:val="fr-FR" w:eastAsia="zh-CN" w:bidi="ar-SA"/>
        </w:rPr>
        <w:fldChar w:fldCharType="separate"/>
      </w:r>
      <w:r>
        <w:rPr>
          <w:rFonts w:ascii="黑体" w:hAnsi="Times New Roman" w:eastAsia="黑体" w:cs="Times New Roman"/>
          <w:bCs/>
          <w:sz w:val="28"/>
          <w:szCs w:val="28"/>
          <w:lang w:val="fr-FR" w:eastAsia="zh-CN" w:bidi="ar-SA"/>
        </w:rPr>
        <w:t>2022</w:t>
      </w:r>
      <w:r>
        <w:rPr>
          <w:rFonts w:ascii="黑体" w:hAnsi="Times New Roman" w:eastAsia="黑体" w:cs="Times New Roman"/>
          <w:bCs/>
          <w:sz w:val="28"/>
          <w:szCs w:val="28"/>
          <w:lang w:val="fr-FR" w:eastAsia="zh-CN" w:bidi="ar-SA"/>
        </w:rPr>
        <w:fldChar w:fldCharType="end"/>
      </w:r>
      <w:bookmarkEnd w:id="5"/>
    </w:p>
    <w:p>
      <w:pPr>
        <w:pStyle w:val="196"/>
        <w:framePr/>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t>公共机构绿色运</w:t>
      </w:r>
      <w:r>
        <w:rPr>
          <w:rFonts w:hint="eastAsia"/>
        </w:rPr>
        <w:t>行</w:t>
      </w:r>
      <w:r>
        <w:t>指南</w:t>
      </w:r>
      <w:r>
        <w:fldChar w:fldCharType="end"/>
      </w:r>
      <w:bookmarkEnd w:id="7"/>
    </w:p>
    <w:p>
      <w:pPr>
        <w:pStyle w:val="56"/>
        <w:ind w:firstLine="420"/>
        <w:rPr>
          <w:rFonts w:hint="eastAsia"/>
        </w:rPr>
      </w:pPr>
    </w:p>
    <w:p>
      <w:pPr>
        <w:framePr w:w="9639" w:h="6974" w:hRule="exact" w:wrap="around" w:vAnchor="page" w:hAnchor="page" w:x="1419" w:y="6408" w:anchorLock="1"/>
        <w:ind w:left="-1418"/>
      </w:pPr>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r>
        <w:rPr>
          <w:rFonts w:eastAsia="黑体"/>
          <w:szCs w:val="28"/>
        </w:rPr>
        <w:t>Guidelines for the green operation in public institutions</w:t>
      </w: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8" w:name="下拉1"/>
      <w:r>
        <w:rPr>
          <w:sz w:val="24"/>
          <w:szCs w:val="28"/>
        </w:rPr>
        <w:instrText xml:space="preserve"> FORMDROPDOWN </w:instrText>
      </w:r>
      <w:r>
        <w:rPr>
          <w:sz w:val="24"/>
          <w:szCs w:val="28"/>
        </w:rPr>
        <w:fldChar w:fldCharType="separate"/>
      </w:r>
      <w:r>
        <w:rPr>
          <w:sz w:val="24"/>
          <w:szCs w:val="28"/>
        </w:rPr>
        <w:fldChar w:fldCharType="end"/>
      </w:r>
      <w:bookmarkEnd w:id="8"/>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9"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9"/>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0" w:name="下拉2"/>
      <w:r>
        <w:rPr>
          <w:b/>
          <w:sz w:val="21"/>
          <w:szCs w:val="28"/>
        </w:rPr>
        <w:instrText xml:space="preserve"> FORMDROPDOWN </w:instrText>
      </w:r>
      <w:r>
        <w:rPr>
          <w:b/>
          <w:sz w:val="21"/>
          <w:szCs w:val="28"/>
        </w:rPr>
        <w:fldChar w:fldCharType="separate"/>
      </w:r>
      <w:r>
        <w:rPr>
          <w:b/>
          <w:sz w:val="21"/>
          <w:szCs w:val="28"/>
        </w:rPr>
        <w:fldChar w:fldCharType="end"/>
      </w:r>
      <w:bookmarkEnd w:id="10"/>
    </w:p>
    <w:p>
      <w:pPr>
        <w:pStyle w:val="193"/>
        <w:framePr w:y="14176"/>
      </w:pPr>
      <w:bookmarkStart w:id="11" w:name="PLSH_DATE_Y"/>
      <w:r>
        <w:rPr>
          <w:rFonts w:ascii="黑体" w:hAnsi="Times New Roman" w:eastAsia="黑体" w:cs="Times New Roman"/>
          <w:sz w:val="28"/>
          <w:lang w:val="en-US" w:eastAsia="zh-CN" w:bidi="ar-SA"/>
        </w:rPr>
        <w:fldChar w:fldCharType="begin">
          <w:ffData>
            <w:name w:val="PLSH_DATE_Y"/>
            <w:enabled/>
            <w:calcOnExit w:val="0"/>
            <w:textInput>
              <w:default w:val="2022"/>
              <w:maxLength w:val="4"/>
            </w:textInput>
          </w:ffData>
        </w:fldChar>
      </w:r>
      <w:r>
        <w:rPr>
          <w:rFonts w:ascii="黑体" w:hAnsi="Times New Roman" w:eastAsia="黑体" w:cs="Times New Roman"/>
          <w:sz w:val="28"/>
          <w:lang w:val="en-US" w:eastAsia="zh-CN" w:bidi="ar-SA"/>
        </w:rPr>
        <w:instrText xml:space="preserve">FORMTEXT</w:instrText>
      </w:r>
      <w:r>
        <w:rPr>
          <w:rFonts w:ascii="黑体" w:hAnsi="Times New Roman" w:eastAsia="黑体" w:cs="Times New Roman"/>
          <w:sz w:val="28"/>
          <w:lang w:val="en-US" w:eastAsia="zh-CN" w:bidi="ar-SA"/>
        </w:rPr>
        <w:fldChar w:fldCharType="separate"/>
      </w:r>
      <w:r>
        <w:rPr>
          <w:rFonts w:ascii="黑体" w:hAnsi="Times New Roman" w:eastAsia="黑体" w:cs="Times New Roman"/>
          <w:sz w:val="28"/>
          <w:lang w:val="en-US" w:eastAsia="zh-CN" w:bidi="ar-SA"/>
        </w:rPr>
        <w:t>2022</w:t>
      </w:r>
      <w:r>
        <w:rPr>
          <w:rFonts w:ascii="黑体" w:hAnsi="Times New Roman" w:eastAsia="黑体" w:cs="Times New Roman"/>
          <w:sz w:val="28"/>
          <w:lang w:val="en-US" w:eastAsia="zh-CN" w:bidi="ar-SA"/>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发布</w:t>
      </w:r>
    </w:p>
    <w:p>
      <w:pPr>
        <w:pStyle w:val="194"/>
        <w:framePr w:y="14176"/>
      </w:pPr>
      <w:bookmarkStart w:id="39" w:name="_GoBack"/>
      <w:bookmarkStart w:id="14" w:name="CROT_DATE_Y"/>
      <w:r>
        <w:rPr>
          <w:rFonts w:ascii="黑体" w:hAnsi="Times New Roman" w:eastAsia="黑体" w:cs="Times New Roman"/>
          <w:sz w:val="28"/>
          <w:lang w:val="en-US" w:eastAsia="zh-CN" w:bidi="ar-SA"/>
        </w:rPr>
        <w:fldChar w:fldCharType="begin">
          <w:ffData>
            <w:name w:val="CROT_DATE_Y"/>
            <w:enabled/>
            <w:calcOnExit w:val="0"/>
            <w:textInput>
              <w:default w:val="2022"/>
              <w:maxLength w:val="4"/>
            </w:textInput>
          </w:ffData>
        </w:fldChar>
      </w:r>
      <w:r>
        <w:rPr>
          <w:rFonts w:ascii="黑体" w:hAnsi="Times New Roman" w:eastAsia="黑体" w:cs="Times New Roman"/>
          <w:sz w:val="28"/>
          <w:lang w:val="en-US" w:eastAsia="zh-CN" w:bidi="ar-SA"/>
        </w:rPr>
        <w:instrText xml:space="preserve">FORMTEXT</w:instrText>
      </w:r>
      <w:r>
        <w:rPr>
          <w:rFonts w:ascii="黑体" w:hAnsi="Times New Roman" w:eastAsia="黑体" w:cs="Times New Roman"/>
          <w:sz w:val="28"/>
          <w:lang w:val="en-US" w:eastAsia="zh-CN" w:bidi="ar-SA"/>
        </w:rPr>
        <w:fldChar w:fldCharType="separate"/>
      </w:r>
      <w:r>
        <w:rPr>
          <w:rFonts w:ascii="黑体" w:hAnsi="Times New Roman" w:eastAsia="黑体" w:cs="Times New Roman"/>
          <w:sz w:val="28"/>
          <w:lang w:val="en-US" w:eastAsia="zh-CN" w:bidi="ar-SA"/>
        </w:rPr>
        <w:t>2022</w:t>
      </w:r>
      <w:r>
        <w:rPr>
          <w:rFonts w:ascii="黑体" w:hAnsi="Times New Roman" w:eastAsia="黑体" w:cs="Times New Roman"/>
          <w:sz w:val="28"/>
          <w:lang w:val="en-US" w:eastAsia="zh-CN" w:bidi="ar-SA"/>
        </w:rPr>
        <w:fldChar w:fldCharType="end"/>
      </w:r>
      <w:bookmarkEnd w:id="14"/>
      <w:bookmarkEnd w:id="39"/>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17" w:name="fm"/>
      <w:r>
        <w:rPr>
          <w:rFonts w:hAnsi="黑体"/>
          <w:w w:val="100"/>
          <w:sz w:val="28"/>
        </w:rPr>
        <w:instrText xml:space="preserve"> FORMTEXT </w:instrText>
      </w:r>
      <w:r>
        <w:rPr>
          <w:rFonts w:hAnsi="黑体"/>
          <w:w w:val="100"/>
          <w:sz w:val="28"/>
        </w:rPr>
        <w:fldChar w:fldCharType="separate"/>
      </w:r>
      <w:r>
        <w:rPr>
          <w:rFonts w:hint="eastAsia" w:hAnsi="黑体"/>
          <w:w w:val="100"/>
          <w:sz w:val="28"/>
        </w:rPr>
        <w:t>济宁市市场监督管理局</w:t>
      </w:r>
      <w:r>
        <w:rPr>
          <w:rFonts w:hAnsi="黑体"/>
          <w:w w:val="100"/>
          <w:sz w:val="28"/>
        </w:rPr>
        <w:fldChar w:fldCharType="end"/>
      </w:r>
      <w:bookmarkEnd w:id="17"/>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3360"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pPr>
        <w:pStyle w:val="89"/>
        <w:spacing w:after="468"/>
      </w:pPr>
      <w:bookmarkStart w:id="18" w:name="BookMark2"/>
      <w:r>
        <w:rPr>
          <w:rFonts w:hint="eastAsia"/>
          <w:spacing w:val="320"/>
        </w:rPr>
        <w:t>前</w:t>
      </w:r>
      <w:r>
        <w:rPr>
          <w:rFonts w:hint="eastAsia"/>
        </w:rPr>
        <w:t>言</w:t>
      </w:r>
    </w:p>
    <w:p>
      <w:pPr>
        <w:pStyle w:val="56"/>
        <w:ind w:firstLine="420"/>
      </w:pPr>
      <w:r>
        <w:rPr>
          <w:rFonts w:hint="eastAsia"/>
        </w:rPr>
        <w:t>本文件按照GB/T1.1—2020《标准化工作导则第1部分：标准化文件的结构和起草规则》的规定起草。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本文件由济宁市机关事务中心提出、归口并组织实施。</w:t>
      </w:r>
    </w:p>
    <w:p>
      <w:pPr>
        <w:pStyle w:val="56"/>
        <w:ind w:firstLine="420"/>
        <w:sectPr>
          <w:headerReference r:id="rId11" w:type="default"/>
          <w:footerReference r:id="rId13" w:type="default"/>
          <w:headerReference r:id="rId12" w:type="even"/>
          <w:pgSz w:w="11906" w:h="16838"/>
          <w:pgMar w:top="2410" w:right="1134" w:bottom="1134" w:left="1134" w:header="1418" w:footer="1134" w:gutter="284"/>
          <w:pgNumType w:fmt="upperRoman" w:start="1"/>
          <w:cols w:space="425" w:num="1"/>
          <w:formProt w:val="0"/>
          <w:docGrid w:type="lines" w:linePitch="312" w:charSpace="0"/>
        </w:sectPr>
      </w:pPr>
    </w:p>
    <w:bookmarkEnd w:id="18"/>
    <w:p>
      <w:pPr>
        <w:spacing w:line="20" w:lineRule="exact"/>
        <w:jc w:val="center"/>
        <w:rPr>
          <w:rFonts w:ascii="黑体" w:hAnsi="黑体" w:eastAsia="黑体"/>
          <w:sz w:val="32"/>
          <w:szCs w:val="32"/>
        </w:rPr>
      </w:pPr>
      <w:bookmarkStart w:id="19" w:name="BookMark4"/>
    </w:p>
    <w:p>
      <w:pPr>
        <w:spacing w:line="20" w:lineRule="exact"/>
        <w:jc w:val="center"/>
        <w:rPr>
          <w:rFonts w:ascii="黑体" w:hAnsi="黑体" w:eastAsia="黑体"/>
          <w:sz w:val="32"/>
          <w:szCs w:val="32"/>
        </w:rPr>
      </w:pPr>
    </w:p>
    <w:sdt>
      <w:sdtPr>
        <w:tag w:val="NEW_STAND_NAME"/>
        <w:id w:val="595910757"/>
        <w:lock w:val="sdtLocked"/>
        <w:placeholder>
          <w:docPart w:val="CD6E7041666F440195B7EBE783A002F1"/>
        </w:placeholder>
      </w:sdtPr>
      <w:sdtContent>
        <w:p>
          <w:pPr>
            <w:pStyle w:val="177"/>
            <w:spacing w:before="312" w:beforeLines="100" w:after="686" w:afterLines="220"/>
          </w:pPr>
          <w:bookmarkStart w:id="20" w:name="NEW_STAND_NAME"/>
          <w:r>
            <w:rPr>
              <w:rFonts w:hint="eastAsia"/>
            </w:rPr>
            <w:t>公共机构绿色运行指南</w:t>
          </w:r>
        </w:p>
      </w:sdtContent>
    </w:sdt>
    <w:bookmarkEnd w:id="20"/>
    <w:p>
      <w:pPr>
        <w:pStyle w:val="104"/>
        <w:spacing w:before="312" w:after="312"/>
      </w:pPr>
      <w:bookmarkStart w:id="21" w:name="_Toc17233333"/>
      <w:bookmarkStart w:id="22" w:name="_Toc26986530"/>
      <w:bookmarkStart w:id="23" w:name="_Toc24884218"/>
      <w:bookmarkStart w:id="24" w:name="_Toc17233325"/>
      <w:bookmarkStart w:id="25" w:name="_Toc26718930"/>
      <w:bookmarkStart w:id="26" w:name="_Toc24884211"/>
      <w:bookmarkStart w:id="27" w:name="_Toc26986771"/>
      <w:bookmarkStart w:id="28" w:name="_Toc26648465"/>
      <w:r>
        <w:rPr>
          <w:rFonts w:hint="eastAsia"/>
        </w:rPr>
        <w:t>范围</w:t>
      </w:r>
      <w:bookmarkEnd w:id="21"/>
      <w:bookmarkEnd w:id="22"/>
      <w:bookmarkEnd w:id="23"/>
      <w:bookmarkEnd w:id="24"/>
      <w:bookmarkEnd w:id="25"/>
      <w:bookmarkEnd w:id="26"/>
      <w:bookmarkEnd w:id="27"/>
      <w:bookmarkEnd w:id="28"/>
    </w:p>
    <w:p>
      <w:pPr>
        <w:pStyle w:val="56"/>
        <w:ind w:firstLine="420"/>
      </w:pPr>
      <w:bookmarkStart w:id="29" w:name="_Toc17233334"/>
      <w:bookmarkStart w:id="30" w:name="_Toc26648466"/>
      <w:bookmarkStart w:id="31" w:name="_Toc24884219"/>
      <w:bookmarkStart w:id="32" w:name="_Toc24884212"/>
      <w:bookmarkStart w:id="33" w:name="_Toc17233326"/>
      <w:r>
        <w:rPr>
          <w:rFonts w:hint="eastAsia"/>
        </w:rPr>
        <w:t>本文件规定了公共机构绿色运行的基本要求、暖通空调系统、给排水系统、建筑电气系统、绿化及景观、围护结构和数据中心的绿色运行要求。</w:t>
      </w:r>
    </w:p>
    <w:p>
      <w:pPr>
        <w:pStyle w:val="56"/>
        <w:ind w:firstLine="420"/>
      </w:pPr>
      <w:r>
        <w:rPr>
          <w:rFonts w:hint="eastAsia"/>
        </w:rPr>
        <w:t>本文件适用于济宁市公共机构的绿色运行，其他单位的运行可参考本文件。</w:t>
      </w:r>
    </w:p>
    <w:p>
      <w:pPr>
        <w:pStyle w:val="104"/>
        <w:spacing w:before="312" w:after="312"/>
      </w:pPr>
      <w:bookmarkStart w:id="34" w:name="_Toc26986772"/>
      <w:bookmarkStart w:id="35" w:name="_Toc26718931"/>
      <w:bookmarkStart w:id="36" w:name="_Toc26986531"/>
      <w:r>
        <w:rPr>
          <w:rFonts w:hint="eastAsia"/>
        </w:rPr>
        <w:t>规范性引用文件</w:t>
      </w:r>
      <w:bookmarkEnd w:id="29"/>
      <w:bookmarkEnd w:id="30"/>
      <w:bookmarkEnd w:id="31"/>
      <w:bookmarkEnd w:id="32"/>
      <w:bookmarkEnd w:id="33"/>
      <w:bookmarkEnd w:id="34"/>
      <w:bookmarkEnd w:id="35"/>
      <w:bookmarkEnd w:id="36"/>
    </w:p>
    <w:sdt>
      <w:sdtPr>
        <w:rPr>
          <w:rFonts w:hint="eastAsia"/>
        </w:rPr>
        <w:id w:val="715848253"/>
        <w:placeholder>
          <w:docPart w:val="2EF7CBAC612744908F5819A2DC1091B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w:t>
      </w:r>
      <w:r>
        <w:t xml:space="preserve"> </w:t>
      </w:r>
      <w:r>
        <w:rPr>
          <w:rFonts w:hint="eastAsia"/>
        </w:rPr>
        <w:t>5749</w:t>
      </w:r>
      <w:r>
        <w:t xml:space="preserve">  </w:t>
      </w:r>
      <w:r>
        <w:rPr>
          <w:rFonts w:hint="eastAsia"/>
        </w:rPr>
        <w:t>生活饮用水卫生标准</w:t>
      </w:r>
    </w:p>
    <w:p>
      <w:pPr>
        <w:pStyle w:val="56"/>
        <w:ind w:firstLine="420"/>
      </w:pPr>
      <w:r>
        <w:rPr>
          <w:rFonts w:hint="eastAsia"/>
        </w:rPr>
        <w:t>GB</w:t>
      </w:r>
      <w:r>
        <w:t xml:space="preserve"> </w:t>
      </w:r>
      <w:r>
        <w:rPr>
          <w:rFonts w:hint="eastAsia"/>
        </w:rPr>
        <w:t>18466</w:t>
      </w:r>
      <w:r>
        <w:t xml:space="preserve">  </w:t>
      </w:r>
      <w:r>
        <w:rPr>
          <w:rFonts w:hint="eastAsia"/>
        </w:rPr>
        <w:t>医疗机构水污染物排放标准</w:t>
      </w:r>
    </w:p>
    <w:p>
      <w:pPr>
        <w:pStyle w:val="56"/>
        <w:ind w:firstLine="420"/>
      </w:pPr>
      <w:r>
        <w:rPr>
          <w:rFonts w:hint="eastAsia"/>
        </w:rPr>
        <w:t>GB/T 18920  城市污水再生利用 城市杂用水水质</w:t>
      </w:r>
    </w:p>
    <w:p>
      <w:pPr>
        <w:pStyle w:val="56"/>
        <w:ind w:firstLine="420"/>
      </w:pPr>
      <w:r>
        <w:rPr>
          <w:rFonts w:hint="eastAsia"/>
        </w:rPr>
        <w:t>GB/T 18921  城市污水再生利用 景观环境用水水质</w:t>
      </w:r>
    </w:p>
    <w:p>
      <w:pPr>
        <w:pStyle w:val="56"/>
        <w:ind w:firstLine="420"/>
      </w:pPr>
      <w:r>
        <w:rPr>
          <w:rFonts w:hint="eastAsia"/>
        </w:rPr>
        <w:t>GB 19210</w:t>
      </w:r>
      <w:r>
        <w:t xml:space="preserve"> </w:t>
      </w:r>
      <w:r>
        <w:rPr>
          <w:rFonts w:hint="eastAsia"/>
        </w:rPr>
        <w:t xml:space="preserve"> 空调通风系统清洗规范</w:t>
      </w:r>
    </w:p>
    <w:p>
      <w:pPr>
        <w:pStyle w:val="56"/>
        <w:ind w:firstLine="420"/>
      </w:pPr>
      <w:r>
        <w:rPr>
          <w:rFonts w:hint="eastAsia"/>
        </w:rPr>
        <w:t>GB/T 23331  能源管理体系 要求及使用指南</w:t>
      </w:r>
    </w:p>
    <w:p>
      <w:pPr>
        <w:pStyle w:val="56"/>
        <w:ind w:firstLine="420"/>
      </w:pPr>
      <w:r>
        <w:rPr>
          <w:rFonts w:hint="eastAsia"/>
        </w:rPr>
        <w:t>GB</w:t>
      </w:r>
      <w:r>
        <w:t xml:space="preserve"> </w:t>
      </w:r>
      <w:r>
        <w:rPr>
          <w:rFonts w:hint="eastAsia"/>
        </w:rPr>
        <w:t>50034  建筑照明设计标准</w:t>
      </w:r>
    </w:p>
    <w:p>
      <w:pPr>
        <w:pStyle w:val="56"/>
        <w:ind w:firstLine="420"/>
      </w:pPr>
      <w:r>
        <w:rPr>
          <w:rFonts w:hint="eastAsia"/>
        </w:rPr>
        <w:t>GB 50174  数据中心设计规范</w:t>
      </w:r>
    </w:p>
    <w:p>
      <w:pPr>
        <w:pStyle w:val="56"/>
        <w:ind w:firstLine="420"/>
      </w:pPr>
      <w:r>
        <w:rPr>
          <w:rFonts w:hint="eastAsia"/>
        </w:rPr>
        <w:t>GB</w:t>
      </w:r>
      <w:r>
        <w:t xml:space="preserve"> </w:t>
      </w:r>
      <w:r>
        <w:rPr>
          <w:rFonts w:hint="eastAsia"/>
        </w:rPr>
        <w:t>50189  公共建筑节能设计标准 </w:t>
      </w:r>
    </w:p>
    <w:p>
      <w:pPr>
        <w:pStyle w:val="56"/>
        <w:ind w:firstLine="420"/>
      </w:pPr>
      <w:r>
        <w:rPr>
          <w:rFonts w:hint="eastAsia"/>
        </w:rPr>
        <w:t>CJ/T 94  饮用净水水质标准</w:t>
      </w:r>
    </w:p>
    <w:p>
      <w:pPr>
        <w:pStyle w:val="56"/>
        <w:ind w:firstLine="420"/>
      </w:pPr>
      <w:r>
        <w:rPr>
          <w:rFonts w:hint="eastAsia"/>
        </w:rPr>
        <w:t>CJ</w:t>
      </w:r>
      <w:r>
        <w:t xml:space="preserve"> </w:t>
      </w:r>
      <w:r>
        <w:rPr>
          <w:rFonts w:hint="eastAsia"/>
        </w:rPr>
        <w:t>164</w:t>
      </w:r>
      <w:r>
        <w:t xml:space="preserve">  </w:t>
      </w:r>
      <w:r>
        <w:rPr>
          <w:rFonts w:hint="eastAsia"/>
        </w:rPr>
        <w:t>节水型生活用水器具</w:t>
      </w:r>
    </w:p>
    <w:p>
      <w:pPr>
        <w:pStyle w:val="104"/>
        <w:spacing w:before="312" w:after="312"/>
      </w:pPr>
      <w:r>
        <w:rPr>
          <w:rFonts w:hint="eastAsia"/>
          <w:szCs w:val="21"/>
        </w:rPr>
        <w:t>术语和定义</w:t>
      </w:r>
    </w:p>
    <w:sdt>
      <w:sdtPr>
        <w:id w:val="-1909835108"/>
        <w:placeholder>
          <w:docPart w:val="B9F4C670100A45AB9D74686D63C0BFA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37" w:name="_Toc26986532"/>
          <w:bookmarkEnd w:id="37"/>
          <w:r>
            <w:t>下列术语和定义适用于本文件。</w:t>
          </w:r>
        </w:p>
      </w:sdtContent>
    </w:sdt>
    <w:p>
      <w:pPr>
        <w:pStyle w:val="223"/>
        <w:ind w:left="420" w:hanging="420" w:hangingChars="200"/>
        <w:rPr>
          <w:rFonts w:ascii="黑体" w:hAnsi="黑体" w:eastAsia="黑体"/>
        </w:rPr>
      </w:pPr>
    </w:p>
    <w:p>
      <w:pPr>
        <w:pStyle w:val="223"/>
        <w:numPr>
          <w:ilvl w:val="0"/>
          <w:numId w:val="0"/>
        </w:numPr>
        <w:ind w:left="420"/>
        <w:rPr>
          <w:rFonts w:ascii="黑体" w:hAnsi="黑体" w:eastAsia="黑体"/>
        </w:rPr>
      </w:pPr>
      <w:r>
        <w:rPr>
          <w:rFonts w:hint="eastAsia" w:ascii="黑体" w:hAnsi="黑体" w:eastAsia="黑体"/>
        </w:rPr>
        <w:t xml:space="preserve">公共机构 </w:t>
      </w:r>
      <w:r>
        <w:rPr>
          <w:rFonts w:ascii="黑体" w:hAnsi="黑体" w:eastAsia="黑体"/>
        </w:rPr>
        <w:t>public institutions</w:t>
      </w:r>
    </w:p>
    <w:p>
      <w:pPr>
        <w:pStyle w:val="56"/>
        <w:ind w:firstLine="420"/>
      </w:pPr>
      <w:r>
        <w:rPr>
          <w:rFonts w:hint="eastAsia"/>
        </w:rPr>
        <w:t>全部或者部分使用财政性资金的国家机关、事业单位和团体组织。</w:t>
      </w:r>
    </w:p>
    <w:p>
      <w:pPr>
        <w:pStyle w:val="223"/>
        <w:rPr>
          <w:rFonts w:ascii="黑体" w:hAnsi="黑体" w:eastAsia="黑体"/>
        </w:rPr>
      </w:pPr>
      <w:r>
        <w:rPr>
          <w:rFonts w:ascii="黑体" w:hAnsi="黑体" w:eastAsia="黑体"/>
        </w:rPr>
        <w:br w:type="textWrapping"/>
      </w:r>
      <w:r>
        <w:rPr>
          <w:rFonts w:hint="eastAsia" w:ascii="黑体" w:hAnsi="黑体" w:eastAsia="黑体"/>
        </w:rPr>
        <w:t xml:space="preserve"> </w:t>
      </w:r>
      <w:r>
        <w:rPr>
          <w:rFonts w:ascii="黑体" w:hAnsi="黑体" w:eastAsia="黑体"/>
        </w:rPr>
        <w:t xml:space="preserve">   </w:t>
      </w:r>
      <w:r>
        <w:rPr>
          <w:rFonts w:hint="eastAsia" w:ascii="黑体" w:hAnsi="黑体" w:eastAsia="黑体"/>
        </w:rPr>
        <w:t xml:space="preserve">绿色运行 </w:t>
      </w:r>
      <w:r>
        <w:rPr>
          <w:rFonts w:ascii="黑体" w:hAnsi="黑体" w:eastAsia="黑体"/>
        </w:rPr>
        <w:t>green operation</w:t>
      </w:r>
    </w:p>
    <w:p>
      <w:pPr>
        <w:pStyle w:val="56"/>
        <w:ind w:firstLine="420"/>
      </w:pPr>
      <w:r>
        <w:rPr>
          <w:rFonts w:hint="eastAsia"/>
        </w:rPr>
        <w:t>依据“可持续发展”的理念，在建筑或设施的运行过程中，采取先进适用的管理手段和技术措施，实现最大限度的节能、减排、环保的各项管理活动的总称。</w:t>
      </w:r>
    </w:p>
    <w:p>
      <w:pPr>
        <w:pStyle w:val="104"/>
        <w:spacing w:before="312" w:after="312"/>
      </w:pPr>
      <w:r>
        <w:rPr>
          <w:rFonts w:hint="eastAsia"/>
        </w:rPr>
        <w:t>基本要求</w:t>
      </w:r>
    </w:p>
    <w:p>
      <w:pPr>
        <w:pStyle w:val="105"/>
        <w:spacing w:before="156" w:after="156"/>
      </w:pPr>
      <w:r>
        <w:rPr>
          <w:rFonts w:hint="eastAsia"/>
        </w:rPr>
        <w:t>制度、人员</w:t>
      </w:r>
    </w:p>
    <w:p>
      <w:pPr>
        <w:pStyle w:val="165"/>
      </w:pPr>
      <w:r>
        <w:rPr>
          <w:rFonts w:hint="eastAsia"/>
        </w:rPr>
        <w:t>制定符合GB/T 23331要求的管理制度。</w:t>
      </w:r>
    </w:p>
    <w:p>
      <w:pPr>
        <w:pStyle w:val="165"/>
      </w:pPr>
      <w:r>
        <w:rPr>
          <w:rFonts w:hint="eastAsia"/>
        </w:rPr>
        <w:t>制定基础设施及设备运行操作规程，明确责任人员职责，合理配置专业技术人员。</w:t>
      </w:r>
    </w:p>
    <w:p>
      <w:pPr>
        <w:pStyle w:val="165"/>
      </w:pPr>
      <w:r>
        <w:rPr>
          <w:rFonts w:hint="eastAsia"/>
        </w:rPr>
        <w:t>运行管理人员具备相关专业知识，熟练掌握有关系统和设备的工作原理、运行策略及操作规程。</w:t>
      </w:r>
    </w:p>
    <w:p>
      <w:pPr>
        <w:pStyle w:val="165"/>
      </w:pPr>
      <w:r>
        <w:rPr>
          <w:rFonts w:hint="eastAsia"/>
        </w:rPr>
        <w:t>设立能源管理岗位，指定专人负责能源计量和统计工作。</w:t>
      </w:r>
    </w:p>
    <w:p>
      <w:pPr>
        <w:pStyle w:val="105"/>
        <w:spacing w:before="156" w:after="156"/>
      </w:pPr>
      <w:r>
        <w:rPr>
          <w:rFonts w:hint="eastAsia"/>
        </w:rPr>
        <w:t>计量、统计</w:t>
      </w:r>
    </w:p>
    <w:p>
      <w:pPr>
        <w:pStyle w:val="165"/>
      </w:pPr>
      <w:r>
        <w:rPr>
          <w:rFonts w:hint="eastAsia"/>
        </w:rPr>
        <w:t>建立完整的计量器具档案，编制能源计量网络图，计量仪表定期检验校准。</w:t>
      </w:r>
    </w:p>
    <w:p>
      <w:pPr>
        <w:pStyle w:val="165"/>
      </w:pPr>
      <w:r>
        <w:rPr>
          <w:rFonts w:hint="eastAsia"/>
        </w:rPr>
        <w:t>根据能源计量网络图对各类计量装置数据定期抄录，开展能源消耗自查，发现异常及时查明原因并改进。</w:t>
      </w:r>
    </w:p>
    <w:p>
      <w:pPr>
        <w:pStyle w:val="165"/>
      </w:pPr>
      <w:r>
        <w:rPr>
          <w:rFonts w:hint="eastAsia"/>
        </w:rPr>
        <w:t>建立能源采购和消耗定期台账，原始记录可查，按照能源种类，核算综合能耗、单位面积建筑能耗、人均能耗、人均水耗、单位建筑面积空调制冷供暖能耗等指标。</w:t>
      </w:r>
    </w:p>
    <w:p>
      <w:pPr>
        <w:pStyle w:val="165"/>
      </w:pPr>
      <w:r>
        <w:rPr>
          <w:rFonts w:hint="eastAsia"/>
        </w:rPr>
        <w:t>定期开展第三方能源审计。</w:t>
      </w:r>
    </w:p>
    <w:p>
      <w:pPr>
        <w:pStyle w:val="165"/>
      </w:pPr>
      <w:r>
        <w:rPr>
          <w:rFonts w:hint="eastAsia"/>
        </w:rPr>
        <w:t>实施资源管理激励机制，管理业绩与节约资源、提高经济效益挂钩，鼓励采用合同能源管理模式。</w:t>
      </w:r>
    </w:p>
    <w:p>
      <w:pPr>
        <w:pStyle w:val="105"/>
        <w:spacing w:before="156" w:after="156"/>
      </w:pPr>
      <w:r>
        <w:rPr>
          <w:rFonts w:hint="eastAsia"/>
        </w:rPr>
        <w:t>维护、维修</w:t>
      </w:r>
    </w:p>
    <w:p>
      <w:pPr>
        <w:pStyle w:val="165"/>
      </w:pPr>
      <w:r>
        <w:rPr>
          <w:rFonts w:hint="eastAsia"/>
        </w:rPr>
        <w:t>对设施设备进行日常维护管理，发现隐患及时排除和维修。</w:t>
      </w:r>
    </w:p>
    <w:p>
      <w:pPr>
        <w:pStyle w:val="165"/>
      </w:pPr>
      <w:r>
        <w:rPr>
          <w:rFonts w:hint="eastAsia"/>
        </w:rPr>
        <w:t>设备维护保养符合设备保养手册要求，并严格执行安全操作规程。</w:t>
      </w:r>
    </w:p>
    <w:p>
      <w:pPr>
        <w:pStyle w:val="165"/>
      </w:pPr>
      <w:r>
        <w:rPr>
          <w:rFonts w:hint="eastAsia"/>
        </w:rPr>
        <w:t>各类设备维修通过对系统的专业分析确定维修方案。</w:t>
      </w:r>
    </w:p>
    <w:p>
      <w:pPr>
        <w:pStyle w:val="165"/>
      </w:pPr>
      <w:r>
        <w:rPr>
          <w:rFonts w:hint="eastAsia"/>
        </w:rPr>
        <w:t>设施设备修补、翻新、改造时，选用绿色产品。</w:t>
      </w:r>
    </w:p>
    <w:p>
      <w:pPr>
        <w:pStyle w:val="165"/>
      </w:pPr>
      <w:r>
        <w:rPr>
          <w:rFonts w:hint="eastAsia"/>
        </w:rPr>
        <w:t>制定维修保养工作计划，按时按质进行保养，并建立设施设备全寿命周期档案。</w:t>
      </w:r>
    </w:p>
    <w:p>
      <w:pPr>
        <w:pStyle w:val="165"/>
      </w:pPr>
      <w:r>
        <w:rPr>
          <w:rFonts w:hint="eastAsia"/>
        </w:rPr>
        <w:t>设备保养完毕后，在设备档案中详细填写保养内容和更换零部件情况。</w:t>
      </w:r>
    </w:p>
    <w:p>
      <w:pPr>
        <w:pStyle w:val="165"/>
      </w:pPr>
      <w:r>
        <w:rPr>
          <w:rFonts w:hint="eastAsia"/>
        </w:rPr>
        <w:t>设施设备的维护保养实施过程信息化，并建立预防性维护保养机制。</w:t>
      </w:r>
    </w:p>
    <w:p>
      <w:pPr>
        <w:pStyle w:val="104"/>
        <w:spacing w:before="312" w:after="312"/>
      </w:pPr>
      <w:r>
        <w:rPr>
          <w:rFonts w:hint="eastAsia"/>
        </w:rPr>
        <w:t>暖通空调系统</w:t>
      </w:r>
    </w:p>
    <w:p>
      <w:pPr>
        <w:pStyle w:val="162"/>
      </w:pPr>
      <w:r>
        <w:rPr>
          <w:rFonts w:hint="eastAsia"/>
        </w:rPr>
        <w:t>水泵、风机的运行宜符合下列规定：</w:t>
      </w:r>
    </w:p>
    <w:p>
      <w:pPr>
        <w:pStyle w:val="132"/>
      </w:pPr>
      <w:r>
        <w:rPr>
          <w:rFonts w:hint="eastAsia"/>
        </w:rPr>
        <w:t>并联运行的水泵，根据实际负荷情况，及时调整运行台数或转速；</w:t>
      </w:r>
    </w:p>
    <w:p>
      <w:pPr>
        <w:pStyle w:val="132"/>
      </w:pPr>
      <w:r>
        <w:rPr>
          <w:rFonts w:hint="eastAsia"/>
        </w:rPr>
        <w:t>对于严重偏离设计工况点的水泵、风机，采用变频调速等技术进行改造；</w:t>
      </w:r>
    </w:p>
    <w:p>
      <w:pPr>
        <w:pStyle w:val="132"/>
      </w:pPr>
      <w:r>
        <w:rPr>
          <w:rFonts w:hint="eastAsia"/>
        </w:rPr>
        <w:t>采用变频运行的水系统、风系统，变频控制传感器动作正常，变频设备的频率不宜低于30Hz。</w:t>
      </w:r>
    </w:p>
    <w:p>
      <w:pPr>
        <w:pStyle w:val="162"/>
      </w:pPr>
      <w:r>
        <w:rPr>
          <w:rFonts w:hint="eastAsia"/>
        </w:rPr>
        <w:t>新风机组的运行宜符合下列要求：</w:t>
      </w:r>
    </w:p>
    <w:p>
      <w:pPr>
        <w:pStyle w:val="132"/>
      </w:pPr>
      <w:r>
        <w:rPr>
          <w:rFonts w:hint="eastAsia"/>
        </w:rPr>
        <w:t>房间空调预热预冷时段关闭新风风阀；</w:t>
      </w:r>
    </w:p>
    <w:p>
      <w:pPr>
        <w:pStyle w:val="132"/>
      </w:pPr>
      <w:r>
        <w:rPr>
          <w:rFonts w:hint="eastAsia"/>
        </w:rPr>
        <w:t>过渡季和夏季，充分利用新风进行夜间预冷；</w:t>
      </w:r>
    </w:p>
    <w:p>
      <w:pPr>
        <w:pStyle w:val="132"/>
      </w:pPr>
      <w:r>
        <w:rPr>
          <w:rFonts w:hint="eastAsia"/>
        </w:rPr>
        <w:t>采用集中新风且人员密度变化较大的区域，新风量根据实际人员数量进行调节，并符合GB</w:t>
      </w:r>
      <w:r>
        <w:t xml:space="preserve"> </w:t>
      </w:r>
      <w:r>
        <w:rPr>
          <w:rFonts w:hint="eastAsia"/>
        </w:rPr>
        <w:t>50189的规定；</w:t>
      </w:r>
    </w:p>
    <w:p>
      <w:pPr>
        <w:pStyle w:val="132"/>
      </w:pPr>
      <w:r>
        <w:rPr>
          <w:rFonts w:hint="eastAsia"/>
        </w:rPr>
        <w:t>过渡季节利用新风降温时，热回收装置旁通运行。</w:t>
      </w:r>
    </w:p>
    <w:p>
      <w:pPr>
        <w:pStyle w:val="162"/>
      </w:pPr>
      <w:r>
        <w:rPr>
          <w:rFonts w:hint="eastAsia"/>
        </w:rPr>
        <w:t>空调通风系统的运行宜符合下列要求：</w:t>
      </w:r>
    </w:p>
    <w:p>
      <w:pPr>
        <w:pStyle w:val="132"/>
      </w:pPr>
      <w:r>
        <w:rPr>
          <w:rFonts w:hint="eastAsia"/>
        </w:rPr>
        <w:t>根据需要实行“部分空间、部分时间”运行；</w:t>
      </w:r>
    </w:p>
    <w:p>
      <w:pPr>
        <w:pStyle w:val="132"/>
      </w:pPr>
      <w:r>
        <w:rPr>
          <w:rFonts w:hint="eastAsia"/>
        </w:rPr>
        <w:t>厨房、地下车库、卫生间采用间歇排风、局部排风、分档排风或变频调速等控制方式；</w:t>
      </w:r>
    </w:p>
    <w:p>
      <w:pPr>
        <w:pStyle w:val="132"/>
      </w:pPr>
      <w:r>
        <w:rPr>
          <w:rFonts w:hint="eastAsia"/>
        </w:rPr>
        <w:t>室内空调长时间不使用时，及时关闭并切断电源；</w:t>
      </w:r>
    </w:p>
    <w:p>
      <w:pPr>
        <w:pStyle w:val="132"/>
      </w:pPr>
      <w:r>
        <w:rPr>
          <w:rFonts w:hint="eastAsia"/>
        </w:rPr>
        <w:t>空调温控器明确控制末端，根据需要分区域控制；</w:t>
      </w:r>
    </w:p>
    <w:p>
      <w:pPr>
        <w:pStyle w:val="132"/>
      </w:pPr>
      <w:r>
        <w:rPr>
          <w:rFonts w:hint="eastAsia"/>
        </w:rPr>
        <w:t>过渡季节空调系统根据室外气象参数，加大新风量或全新风运行，同时调节匹配排风；</w:t>
      </w:r>
    </w:p>
    <w:p>
      <w:pPr>
        <w:pStyle w:val="132"/>
      </w:pPr>
      <w:r>
        <w:rPr>
          <w:rFonts w:hint="eastAsia"/>
        </w:rPr>
        <w:t>主要人员活动区域保持微正压运行，餐饮、卫生间、地下车库等维持微负压运行；</w:t>
      </w:r>
    </w:p>
    <w:p>
      <w:pPr>
        <w:pStyle w:val="132"/>
      </w:pPr>
      <w:r>
        <w:rPr>
          <w:rFonts w:hint="eastAsia"/>
        </w:rPr>
        <w:t>根据空气过滤器、水过滤器压差监测装置的提示，及时清洗或更换过滤装置；</w:t>
      </w:r>
    </w:p>
    <w:p>
      <w:pPr>
        <w:pStyle w:val="132"/>
      </w:pPr>
      <w:r>
        <w:rPr>
          <w:rFonts w:hint="eastAsia"/>
        </w:rPr>
        <w:t>热回收装置定期进行检查和清洗，避免漏风，保证换热效率。</w:t>
      </w:r>
    </w:p>
    <w:p>
      <w:pPr>
        <w:pStyle w:val="162"/>
      </w:pPr>
      <w:r>
        <w:rPr>
          <w:rFonts w:hint="eastAsia"/>
        </w:rPr>
        <w:t>冷却塔的运行宜符合下列要求：</w:t>
      </w:r>
    </w:p>
    <w:p>
      <w:pPr>
        <w:pStyle w:val="132"/>
      </w:pPr>
      <w:r>
        <w:rPr>
          <w:rFonts w:hint="eastAsia"/>
        </w:rPr>
        <w:t>根据冷却塔出水温度，调节冷却塔运行台数及风机转速；</w:t>
      </w:r>
    </w:p>
    <w:p>
      <w:pPr>
        <w:pStyle w:val="132"/>
      </w:pPr>
      <w:r>
        <w:rPr>
          <w:rFonts w:hint="eastAsia"/>
        </w:rPr>
        <w:t>冷却塔补水管上安装计量水表，每周对冷却塔补水量进行记录和分析；</w:t>
      </w:r>
    </w:p>
    <w:p>
      <w:pPr>
        <w:pStyle w:val="132"/>
      </w:pPr>
      <w:r>
        <w:rPr>
          <w:rFonts w:hint="eastAsia"/>
        </w:rPr>
        <w:t>冷却水处理装置和化学加药装置运行正常，水质达到标准要求；</w:t>
      </w:r>
    </w:p>
    <w:p>
      <w:pPr>
        <w:pStyle w:val="132"/>
      </w:pPr>
      <w:r>
        <w:rPr>
          <w:rFonts w:hint="eastAsia"/>
        </w:rPr>
        <w:t>避免停泵时出现溢流。</w:t>
      </w:r>
    </w:p>
    <w:p>
      <w:pPr>
        <w:pStyle w:val="162"/>
      </w:pPr>
      <w:r>
        <w:rPr>
          <w:rFonts w:hint="eastAsia"/>
        </w:rPr>
        <w:t>空调系统补水管安装计量水表，定期对空调系统补水量进行记录和分析。</w:t>
      </w:r>
    </w:p>
    <w:p>
      <w:pPr>
        <w:pStyle w:val="162"/>
      </w:pPr>
      <w:r>
        <w:rPr>
          <w:rFonts w:hint="eastAsia"/>
        </w:rPr>
        <w:t>维护保养包括以下内容：</w:t>
      </w:r>
    </w:p>
    <w:p>
      <w:pPr>
        <w:pStyle w:val="132"/>
      </w:pPr>
      <w:r>
        <w:rPr>
          <w:rFonts w:hint="eastAsia"/>
        </w:rPr>
        <w:t>通风与空调系统中的风管系统宜定期清洗，符合GB</w:t>
      </w:r>
      <w:r>
        <w:t xml:space="preserve"> </w:t>
      </w:r>
      <w:r>
        <w:rPr>
          <w:rFonts w:hint="eastAsia"/>
        </w:rPr>
        <w:t>19210的规定；</w:t>
      </w:r>
    </w:p>
    <w:p>
      <w:pPr>
        <w:pStyle w:val="132"/>
      </w:pPr>
      <w:r>
        <w:rPr>
          <w:rFonts w:hint="eastAsia"/>
        </w:rPr>
        <w:t>定期对设备及管道的保温情况进行检查，确保保温层没有损坏；</w:t>
      </w:r>
    </w:p>
    <w:p>
      <w:pPr>
        <w:pStyle w:val="132"/>
      </w:pPr>
      <w:r>
        <w:rPr>
          <w:rFonts w:hint="eastAsia"/>
        </w:rPr>
        <w:t>空调温控开关动作不正常或控制失灵，及时修理或更换；</w:t>
      </w:r>
    </w:p>
    <w:p>
      <w:pPr>
        <w:pStyle w:val="132"/>
      </w:pPr>
      <w:r>
        <w:rPr>
          <w:rFonts w:hint="eastAsia"/>
        </w:rPr>
        <w:t>定期检查冷却塔布水器，及时填补或更换有损坏的冷却塔填料，清洗过滤网杂物；</w:t>
      </w:r>
    </w:p>
    <w:p>
      <w:pPr>
        <w:pStyle w:val="132"/>
      </w:pPr>
      <w:r>
        <w:rPr>
          <w:rFonts w:hint="eastAsia"/>
        </w:rPr>
        <w:t>定期检查冷却塔补水浮球阀，避免漏水，冬季停用期间，放空冷却塔存水。</w:t>
      </w:r>
    </w:p>
    <w:p>
      <w:pPr>
        <w:pStyle w:val="132"/>
      </w:pPr>
      <w:r>
        <w:rPr>
          <w:rFonts w:hint="eastAsia"/>
        </w:rPr>
        <w:t>空调自控设备和控制系统定期检查、维护和检修；</w:t>
      </w:r>
    </w:p>
    <w:p>
      <w:pPr>
        <w:pStyle w:val="132"/>
      </w:pPr>
      <w:r>
        <w:rPr>
          <w:rFonts w:hint="eastAsia"/>
        </w:rPr>
        <w:t>管道上的水流开关定期检查；</w:t>
      </w:r>
    </w:p>
    <w:p>
      <w:pPr>
        <w:pStyle w:val="132"/>
      </w:pPr>
      <w:r>
        <w:rPr>
          <w:rFonts w:hint="eastAsia"/>
        </w:rPr>
        <w:t>空调系统中的温度、压力、流量、热量、耗电量、燃料消耗量等计量监测仪表，定期检验、标定和维护，失效或缺少更换或增设；</w:t>
      </w:r>
    </w:p>
    <w:p>
      <w:pPr>
        <w:pStyle w:val="132"/>
      </w:pPr>
      <w:r>
        <w:rPr>
          <w:rFonts w:hint="eastAsia"/>
        </w:rPr>
        <w:t>电动调节控制阀门能够根据系统压力或流量变化进行相应动作，满足系统调节的要求。</w:t>
      </w:r>
    </w:p>
    <w:p>
      <w:pPr>
        <w:pStyle w:val="132"/>
      </w:pPr>
      <w:r>
        <w:rPr>
          <w:rFonts w:hint="eastAsia"/>
        </w:rPr>
        <w:t>设备及管道绝热设施定期检查，保温、保冷效果检测符合GB/T</w:t>
      </w:r>
      <w:r>
        <w:t xml:space="preserve"> </w:t>
      </w:r>
      <w:r>
        <w:rPr>
          <w:rFonts w:hint="eastAsia"/>
        </w:rPr>
        <w:t>8174的要求；</w:t>
      </w:r>
    </w:p>
    <w:p>
      <w:pPr>
        <w:pStyle w:val="132"/>
      </w:pPr>
      <w:r>
        <w:rPr>
          <w:rFonts w:hint="eastAsia"/>
        </w:rPr>
        <w:t>厨房、厕所、地下车库的排风系统定期检查，厨房排风口和排风管定期进行油污清理；</w:t>
      </w:r>
    </w:p>
    <w:p>
      <w:pPr>
        <w:pStyle w:val="132"/>
      </w:pPr>
      <w:r>
        <w:rPr>
          <w:rFonts w:hint="eastAsia"/>
        </w:rPr>
        <w:t>排风能量回收系统，宜定期检查及清洗。</w:t>
      </w:r>
    </w:p>
    <w:p>
      <w:pPr>
        <w:pStyle w:val="104"/>
        <w:spacing w:before="312" w:after="312"/>
      </w:pPr>
      <w:r>
        <w:rPr>
          <w:rFonts w:hint="eastAsia"/>
        </w:rPr>
        <w:t>给排水系统</w:t>
      </w:r>
    </w:p>
    <w:p>
      <w:pPr>
        <w:pStyle w:val="162"/>
      </w:pPr>
      <w:r>
        <w:rPr>
          <w:rFonts w:hint="eastAsia"/>
        </w:rPr>
        <w:t>给排水系统的运行宜符合以下要求：</w:t>
      </w:r>
    </w:p>
    <w:p>
      <w:pPr>
        <w:pStyle w:val="132"/>
      </w:pPr>
      <w:r>
        <w:rPr>
          <w:rFonts w:hint="eastAsia"/>
        </w:rPr>
        <w:t>按照用途、付费或管理单元设置分类、分项计量水表，用水计量装置功能完好，数据记录完善。</w:t>
      </w:r>
    </w:p>
    <w:p>
      <w:pPr>
        <w:pStyle w:val="132"/>
      </w:pPr>
      <w:r>
        <w:rPr>
          <w:rFonts w:hint="eastAsia"/>
        </w:rPr>
        <w:t>用水器具符合</w:t>
      </w:r>
      <w:r>
        <w:t>CJ/T 164</w:t>
      </w:r>
      <w:r>
        <w:rPr>
          <w:rFonts w:hint="eastAsia"/>
        </w:rPr>
        <w:t>的规定，宜选用用水效率不低于3级的节水器具；</w:t>
      </w:r>
    </w:p>
    <w:p>
      <w:pPr>
        <w:pStyle w:val="132"/>
      </w:pPr>
      <w:r>
        <w:rPr>
          <w:rFonts w:hint="eastAsia"/>
        </w:rPr>
        <w:t>公共浴室采用带有感应开关、脚踏式开关、恒温混水阀等装置的淋浴器；</w:t>
      </w:r>
    </w:p>
    <w:p>
      <w:pPr>
        <w:pStyle w:val="132"/>
      </w:pPr>
      <w:r>
        <w:rPr>
          <w:rFonts w:cstheme="minorBidi"/>
          <w:sz w:val="22"/>
          <w:szCs w:val="22"/>
        </w:rPr>
        <w:t>公共浴室、游泳馆淋浴采用计量付费管理</w:t>
      </w:r>
      <w:r>
        <w:rPr>
          <w:rFonts w:hint="eastAsia" w:cstheme="minorBidi"/>
          <w:sz w:val="22"/>
          <w:szCs w:val="22"/>
        </w:rPr>
        <w:t>；</w:t>
      </w:r>
    </w:p>
    <w:p>
      <w:pPr>
        <w:pStyle w:val="132"/>
      </w:pPr>
      <w:r>
        <w:rPr>
          <w:rFonts w:hint="eastAsia"/>
        </w:rPr>
        <w:t>定期检查记录加压水泵运行参数，发现水泵长期处于高效区以外工作时，及时调整运行工况；</w:t>
      </w:r>
    </w:p>
    <w:p>
      <w:pPr>
        <w:pStyle w:val="132"/>
      </w:pPr>
      <w:r>
        <w:rPr>
          <w:rFonts w:hint="eastAsia"/>
        </w:rPr>
        <w:t>定期对各用水点用水压力进行检测和调试，保持供水压力在设计范围内；</w:t>
      </w:r>
    </w:p>
    <w:p>
      <w:pPr>
        <w:pStyle w:val="132"/>
      </w:pPr>
      <w:r>
        <w:rPr>
          <w:rFonts w:hint="eastAsia"/>
        </w:rPr>
        <w:t>保持生活热水系统与给水系统压力平衡，热水供水温度满足使用要求，生活热水储水箱有保温措施；</w:t>
      </w:r>
    </w:p>
    <w:p>
      <w:pPr>
        <w:pStyle w:val="132"/>
      </w:pPr>
      <w:r>
        <w:rPr>
          <w:rFonts w:hint="eastAsia"/>
        </w:rPr>
        <w:t>直饮水设备净水产水率不宜低于55%，排出的浓水宜进行回收利用；</w:t>
      </w:r>
    </w:p>
    <w:p>
      <w:pPr>
        <w:pStyle w:val="132"/>
      </w:pPr>
      <w:r>
        <w:rPr>
          <w:rFonts w:hint="eastAsia"/>
        </w:rPr>
        <w:t>绿地灌溉、地面保洁、车辆冲洗优先使用非传统水源和节水设备。</w:t>
      </w:r>
    </w:p>
    <w:p>
      <w:pPr>
        <w:pStyle w:val="162"/>
      </w:pPr>
      <w:r>
        <w:rPr>
          <w:rFonts w:hint="eastAsia"/>
        </w:rPr>
        <w:t>给排水系统的维护保养，包括以下内容：</w:t>
      </w:r>
    </w:p>
    <w:p>
      <w:pPr>
        <w:pStyle w:val="132"/>
      </w:pPr>
      <w:r>
        <w:rPr>
          <w:rFonts w:hint="eastAsia"/>
        </w:rPr>
        <w:t>对供水管网和阀门定期检查，防止跑冒滴漏；</w:t>
      </w:r>
    </w:p>
    <w:p>
      <w:pPr>
        <w:pStyle w:val="132"/>
      </w:pPr>
      <w:r>
        <w:rPr>
          <w:rFonts w:hint="eastAsia"/>
        </w:rPr>
        <w:t>定期开展水平衡测试；</w:t>
      </w:r>
    </w:p>
    <w:p>
      <w:pPr>
        <w:pStyle w:val="132"/>
      </w:pPr>
      <w:r>
        <w:rPr>
          <w:rFonts w:hint="eastAsia"/>
        </w:rPr>
        <w:t>保持给排水管井、污水井、水表阀门井等井坑的清洁；</w:t>
      </w:r>
    </w:p>
    <w:p>
      <w:pPr>
        <w:pStyle w:val="132"/>
      </w:pPr>
      <w:r>
        <w:rPr>
          <w:rFonts w:hint="eastAsia"/>
        </w:rPr>
        <w:t>定期对水过滤器、除污器、减压阀等设备及部件进行检查和维护；</w:t>
      </w:r>
    </w:p>
    <w:p>
      <w:pPr>
        <w:pStyle w:val="132"/>
      </w:pPr>
      <w:r>
        <w:rPr>
          <w:rFonts w:hint="eastAsia"/>
        </w:rPr>
        <w:t>排气阀、止回阀和储水箱中浮球阀工作正常；</w:t>
      </w:r>
    </w:p>
    <w:p>
      <w:pPr>
        <w:pStyle w:val="132"/>
      </w:pPr>
      <w:r>
        <w:rPr>
          <w:rFonts w:hint="eastAsia"/>
        </w:rPr>
        <w:t>给排水管道保温层结构完整，电伴热管道的温度传感器、温控器，保持正常工作状态；</w:t>
      </w:r>
    </w:p>
    <w:p>
      <w:pPr>
        <w:pStyle w:val="132"/>
      </w:pPr>
      <w:r>
        <w:rPr>
          <w:rFonts w:hint="eastAsia"/>
        </w:rPr>
        <w:t>每月对直饮水水质进行一次检测，水质符合CJ</w:t>
      </w:r>
      <w:r>
        <w:t xml:space="preserve">/T </w:t>
      </w:r>
      <w:r>
        <w:rPr>
          <w:rFonts w:hint="eastAsia"/>
        </w:rPr>
        <w:t>94的规定；</w:t>
      </w:r>
    </w:p>
    <w:p>
      <w:pPr>
        <w:pStyle w:val="132"/>
      </w:pPr>
      <w:r>
        <w:rPr>
          <w:rFonts w:hint="eastAsia"/>
        </w:rPr>
        <w:t>二次供水系统配套设置的消毒设备定期维护，发现故障及时修复；</w:t>
      </w:r>
    </w:p>
    <w:p>
      <w:pPr>
        <w:pStyle w:val="132"/>
      </w:pPr>
      <w:r>
        <w:rPr>
          <w:rFonts w:hint="eastAsia"/>
        </w:rPr>
        <w:t>定期对生活水箱进行清洗并对水质进行检测，水质符合GB</w:t>
      </w:r>
      <w:r>
        <w:t xml:space="preserve"> </w:t>
      </w:r>
      <w:r>
        <w:rPr>
          <w:rFonts w:hint="eastAsia"/>
        </w:rPr>
        <w:t>5749的规定；</w:t>
      </w:r>
    </w:p>
    <w:p>
      <w:pPr>
        <w:pStyle w:val="132"/>
      </w:pPr>
      <w:r>
        <w:rPr>
          <w:rFonts w:hint="eastAsia"/>
        </w:rPr>
        <w:t>定期检查非传统水源水处理设施，对水质进行检测及记录，水质符合GB/T</w:t>
      </w:r>
      <w:r>
        <w:t xml:space="preserve"> </w:t>
      </w:r>
      <w:r>
        <w:rPr>
          <w:rFonts w:hint="eastAsia"/>
        </w:rPr>
        <w:t>18920的规定；</w:t>
      </w:r>
    </w:p>
    <w:p>
      <w:pPr>
        <w:pStyle w:val="132"/>
      </w:pPr>
      <w:r>
        <w:rPr>
          <w:rFonts w:hint="eastAsia"/>
        </w:rPr>
        <w:t>定期对隔油池、隔油器等除油设施进行清洗和消毒，产生的废弃物不得对环境产生二次污染；</w:t>
      </w:r>
    </w:p>
    <w:p>
      <w:pPr>
        <w:pStyle w:val="132"/>
      </w:pPr>
      <w:r>
        <w:rPr>
          <w:rFonts w:hint="eastAsia"/>
        </w:rPr>
        <w:t>做好雨水口等排水设施的清淤清洁工作，避免向雨水收集口排放污染物；</w:t>
      </w:r>
    </w:p>
    <w:p>
      <w:pPr>
        <w:pStyle w:val="132"/>
      </w:pPr>
      <w:r>
        <w:rPr>
          <w:rFonts w:hint="eastAsia"/>
        </w:rPr>
        <w:t>场地更新改造时因地制宜地采取雨水引导、入渗、滞蓄、净化和回用措施；</w:t>
      </w:r>
    </w:p>
    <w:p>
      <w:pPr>
        <w:pStyle w:val="132"/>
      </w:pPr>
      <w:r>
        <w:rPr>
          <w:rFonts w:hint="eastAsia"/>
        </w:rPr>
        <w:t>定期对雨水入渗、收集、回用设施进行检查、清洗和维护，防止堵塞；</w:t>
      </w:r>
    </w:p>
    <w:p>
      <w:pPr>
        <w:pStyle w:val="132"/>
      </w:pPr>
      <w:r>
        <w:rPr>
          <w:rFonts w:hint="eastAsia"/>
        </w:rPr>
        <w:t>定期检查及维护医疗卫生机构所设置的污水处理设备，确保处理设施稳定运行，污水经处理、消毒后再排放，水质符合GB</w:t>
      </w:r>
      <w:r>
        <w:t xml:space="preserve"> </w:t>
      </w:r>
      <w:r>
        <w:rPr>
          <w:rFonts w:hint="eastAsia"/>
        </w:rPr>
        <w:t>18466的规定。</w:t>
      </w:r>
    </w:p>
    <w:p>
      <w:pPr>
        <w:pStyle w:val="104"/>
        <w:spacing w:before="312" w:after="312"/>
      </w:pPr>
      <w:r>
        <w:rPr>
          <w:rFonts w:hint="eastAsia"/>
        </w:rPr>
        <w:t>建筑电气系统</w:t>
      </w:r>
    </w:p>
    <w:p>
      <w:pPr>
        <w:pStyle w:val="162"/>
      </w:pPr>
      <w:r>
        <w:rPr>
          <w:rFonts w:hint="eastAsia"/>
        </w:rPr>
        <w:t>建筑电气系统的运行，宜符合以下要求：</w:t>
      </w:r>
    </w:p>
    <w:p>
      <w:pPr>
        <w:pStyle w:val="132"/>
      </w:pPr>
      <w:r>
        <w:rPr>
          <w:rFonts w:hint="eastAsia"/>
        </w:rPr>
        <w:t>多台变压器并列运行时，按负载的大小调整变压器运行台数和容量；</w:t>
      </w:r>
    </w:p>
    <w:p>
      <w:pPr>
        <w:pStyle w:val="132"/>
      </w:pPr>
      <w:r>
        <w:rPr>
          <w:rFonts w:hint="eastAsia"/>
        </w:rPr>
        <w:t>对暂不使用的供电回路，及时断开电源线路，减少线路上的空载运行损耗；</w:t>
      </w:r>
    </w:p>
    <w:p>
      <w:pPr>
        <w:pStyle w:val="132"/>
      </w:pPr>
      <w:r>
        <w:rPr>
          <w:rFonts w:hint="eastAsia"/>
        </w:rPr>
        <w:t>监测变配电室的温湿度，保持变压器的良好通风散热。</w:t>
      </w:r>
    </w:p>
    <w:p>
      <w:pPr>
        <w:pStyle w:val="132"/>
      </w:pPr>
      <w:r>
        <w:rPr>
          <w:rFonts w:hint="eastAsia"/>
        </w:rPr>
        <w:t>对于三相负载不平衡度大于20%的配电系统进行各相负载均衡调整。</w:t>
      </w:r>
    </w:p>
    <w:p>
      <w:pPr>
        <w:pStyle w:val="132"/>
      </w:pPr>
      <w:r>
        <w:rPr>
          <w:rFonts w:hint="eastAsia"/>
        </w:rPr>
        <w:t>对于容量大、负荷平稳且长期连续运行的用电设备，采取无功功率就地补偿措施。</w:t>
      </w:r>
    </w:p>
    <w:p>
      <w:pPr>
        <w:pStyle w:val="132"/>
      </w:pPr>
      <w:r>
        <w:rPr>
          <w:rFonts w:hint="eastAsia"/>
        </w:rPr>
        <w:t>灯具效率符合GB</w:t>
      </w:r>
      <w:r>
        <w:t xml:space="preserve"> </w:t>
      </w:r>
      <w:r>
        <w:rPr>
          <w:rFonts w:hint="eastAsia"/>
        </w:rPr>
        <w:t>50034的有关规定，明确照明开关控制的灯具，灯具表面保持清洁；</w:t>
      </w:r>
    </w:p>
    <w:p>
      <w:pPr>
        <w:pStyle w:val="132"/>
      </w:pPr>
      <w:r>
        <w:rPr>
          <w:rFonts w:hint="eastAsia"/>
        </w:rPr>
        <w:t>靠近采光窗与远离采光窗的灯具根据需要分别控制；</w:t>
      </w:r>
    </w:p>
    <w:p>
      <w:pPr>
        <w:pStyle w:val="132"/>
      </w:pPr>
      <w:r>
        <w:rPr>
          <w:rFonts w:hint="eastAsia"/>
        </w:rPr>
        <w:t>楼梯间、卫生间等场所采用红外、声控或其它节能控制措施；</w:t>
      </w:r>
    </w:p>
    <w:p>
      <w:pPr>
        <w:pStyle w:val="132"/>
      </w:pPr>
      <w:r>
        <w:rPr>
          <w:rFonts w:hint="eastAsia"/>
        </w:rPr>
        <w:t>走廊、门厅、电梯厅等场所根据不同时段调整照度水平和开关时间；</w:t>
      </w:r>
    </w:p>
    <w:p>
      <w:pPr>
        <w:pStyle w:val="132"/>
      </w:pPr>
      <w:r>
        <w:rPr>
          <w:rFonts w:hint="eastAsia"/>
        </w:rPr>
        <w:t>室外照明随季节变化及时调整开、关灯的时间；</w:t>
      </w:r>
    </w:p>
    <w:p>
      <w:pPr>
        <w:pStyle w:val="132"/>
      </w:pPr>
      <w:r>
        <w:rPr>
          <w:rFonts w:hint="eastAsia"/>
        </w:rPr>
        <w:t>地下停车场划分使用区域，实行分区域照明管理，按不同时段提供不同的照度；</w:t>
      </w:r>
    </w:p>
    <w:p>
      <w:pPr>
        <w:pStyle w:val="132"/>
      </w:pPr>
      <w:r>
        <w:rPr>
          <w:rFonts w:hint="eastAsia"/>
        </w:rPr>
        <w:t>对有自然采光条件的地下空间，白天关闭对应的人工照明；</w:t>
      </w:r>
    </w:p>
    <w:p>
      <w:pPr>
        <w:pStyle w:val="132"/>
      </w:pPr>
      <w:r>
        <w:rPr>
          <w:rFonts w:hint="eastAsia"/>
        </w:rPr>
        <w:t>采取电梯群控、扶梯自动启停、轿厢休眠、高峰期上下行客流模式转换等节能措施，人流量较小时关停闲置电梯；</w:t>
      </w:r>
    </w:p>
    <w:p>
      <w:pPr>
        <w:pStyle w:val="132"/>
      </w:pPr>
      <w:r>
        <w:rPr>
          <w:rFonts w:hint="eastAsia"/>
        </w:rPr>
        <w:t>合理设定信息发布显示屏的运行时间；</w:t>
      </w:r>
    </w:p>
    <w:p>
      <w:pPr>
        <w:pStyle w:val="132"/>
      </w:pPr>
      <w:r>
        <w:rPr>
          <w:rFonts w:hint="eastAsia"/>
        </w:rPr>
        <w:t>节假日或夜间无人使用的情况下，关闭电开水器；</w:t>
      </w:r>
    </w:p>
    <w:p>
      <w:pPr>
        <w:pStyle w:val="162"/>
      </w:pPr>
      <w:r>
        <w:rPr>
          <w:rFonts w:hint="eastAsia"/>
        </w:rPr>
        <w:t>建筑电气系统的维护，符合以下要求：</w:t>
      </w:r>
    </w:p>
    <w:p>
      <w:pPr>
        <w:pStyle w:val="132"/>
      </w:pPr>
      <w:r>
        <w:rPr>
          <w:rFonts w:hint="eastAsia"/>
        </w:rPr>
        <w:t>照明灯具定期进行检查，并及时更换损坏、光衰严重的光源；</w:t>
      </w:r>
    </w:p>
    <w:p>
      <w:pPr>
        <w:pStyle w:val="132"/>
      </w:pPr>
      <w:r>
        <w:rPr>
          <w:rFonts w:hint="eastAsia"/>
        </w:rPr>
        <w:t>各项配电设施、配电设备每年进行检验；</w:t>
      </w:r>
    </w:p>
    <w:p>
      <w:pPr>
        <w:pStyle w:val="132"/>
      </w:pPr>
      <w:r>
        <w:rPr>
          <w:rFonts w:hint="eastAsia"/>
        </w:rPr>
        <w:t>自动控制系统的传感器、变送器、调节器和执行器等基本元件定期进行维护保养。</w:t>
      </w:r>
    </w:p>
    <w:p>
      <w:pPr>
        <w:pStyle w:val="104"/>
        <w:spacing w:before="312" w:after="312"/>
      </w:pPr>
      <w:r>
        <w:rPr>
          <w:rFonts w:hint="eastAsia"/>
        </w:rPr>
        <w:t>绿化及景观</w:t>
      </w:r>
    </w:p>
    <w:p>
      <w:pPr>
        <w:pStyle w:val="162"/>
      </w:pPr>
      <w:r>
        <w:rPr>
          <w:rFonts w:hint="eastAsia"/>
        </w:rPr>
        <w:t>露天停车场和室外活动场地宜种植有遮荫效果的树木。</w:t>
      </w:r>
    </w:p>
    <w:p>
      <w:pPr>
        <w:pStyle w:val="162"/>
      </w:pPr>
      <w:r>
        <w:rPr>
          <w:rFonts w:hint="eastAsia"/>
        </w:rPr>
        <w:t>不随意侵占绿地，绿化区做好日常养护，及时栽种、补种乡土植物，新栽种和移植的树木一次成活率＞90%。</w:t>
      </w:r>
    </w:p>
    <w:p>
      <w:pPr>
        <w:pStyle w:val="162"/>
      </w:pPr>
      <w:r>
        <w:rPr>
          <w:rFonts w:hint="eastAsia"/>
        </w:rPr>
        <w:t>根据天气情况和绿化浇灌需求，提前制定灌溉计划，灌溉系统安装计量设备，填写灌溉记录，灌溉时防止跑冒滴漏，及时关闭阀门。</w:t>
      </w:r>
    </w:p>
    <w:p>
      <w:pPr>
        <w:pStyle w:val="162"/>
      </w:pPr>
      <w:r>
        <w:rPr>
          <w:rFonts w:cstheme="minorBidi"/>
          <w:sz w:val="22"/>
          <w:szCs w:val="22"/>
        </w:rPr>
        <w:t>日常养护过程中，避免破坏</w:t>
      </w:r>
      <w:r>
        <w:rPr>
          <w:rFonts w:hint="eastAsia" w:cstheme="minorBidi"/>
          <w:sz w:val="22"/>
          <w:szCs w:val="22"/>
        </w:rPr>
        <w:t>喷灌</w:t>
      </w:r>
      <w:r>
        <w:rPr>
          <w:rFonts w:cstheme="minorBidi"/>
          <w:sz w:val="22"/>
          <w:szCs w:val="22"/>
        </w:rPr>
        <w:t>喷头，冬季注意防冻</w:t>
      </w:r>
      <w:r>
        <w:rPr>
          <w:rFonts w:hint="eastAsia" w:cstheme="minorBidi"/>
          <w:sz w:val="22"/>
          <w:szCs w:val="22"/>
        </w:rPr>
        <w:t>。</w:t>
      </w:r>
    </w:p>
    <w:p>
      <w:pPr>
        <w:pStyle w:val="162"/>
      </w:pPr>
      <w:r>
        <w:rPr>
          <w:rFonts w:cstheme="minorBidi"/>
          <w:sz w:val="22"/>
          <w:szCs w:val="22"/>
        </w:rPr>
        <w:t>喷灌水流</w:t>
      </w:r>
      <w:r>
        <w:rPr>
          <w:rFonts w:hint="eastAsia" w:cstheme="minorBidi"/>
          <w:sz w:val="22"/>
          <w:szCs w:val="22"/>
        </w:rPr>
        <w:t>避免</w:t>
      </w:r>
      <w:r>
        <w:rPr>
          <w:rFonts w:cstheme="minorBidi"/>
          <w:sz w:val="22"/>
          <w:szCs w:val="22"/>
        </w:rPr>
        <w:t>喷洒到道路、停车区、建筑物、围</w:t>
      </w:r>
      <w:r>
        <w:rPr>
          <w:rFonts w:hint="eastAsia" w:cstheme="minorBidi"/>
          <w:sz w:val="22"/>
          <w:szCs w:val="22"/>
        </w:rPr>
        <w:t>栏等区域。</w:t>
      </w:r>
    </w:p>
    <w:p>
      <w:pPr>
        <w:pStyle w:val="162"/>
      </w:pPr>
      <w:r>
        <w:rPr>
          <w:rFonts w:hint="eastAsia"/>
        </w:rPr>
        <w:t>景观水景补水使用雨水或再生水，对补水量做好记录及合理性分析。</w:t>
      </w:r>
    </w:p>
    <w:p>
      <w:pPr>
        <w:pStyle w:val="162"/>
      </w:pPr>
      <w:r>
        <w:rPr>
          <w:rFonts w:hint="eastAsia"/>
        </w:rPr>
        <w:t>宜采用循环处理或生态水处理技术保障景观水体水质，水质符合GB/T</w:t>
      </w:r>
      <w:r>
        <w:t xml:space="preserve"> </w:t>
      </w:r>
      <w:r>
        <w:rPr>
          <w:rFonts w:hint="eastAsia"/>
        </w:rPr>
        <w:t>18921的规定。</w:t>
      </w:r>
    </w:p>
    <w:p>
      <w:pPr>
        <w:pStyle w:val="162"/>
      </w:pPr>
      <w:r>
        <w:rPr>
          <w:rFonts w:hint="eastAsia"/>
        </w:rPr>
        <w:t>采用无公害病虫害防治技术，规范杀虫剂、除草剂、化肥、农药等化学药品的使用，对土壤和地下水环境不造成影响。</w:t>
      </w:r>
    </w:p>
    <w:p>
      <w:pPr>
        <w:pStyle w:val="104"/>
        <w:spacing w:before="312" w:after="312"/>
      </w:pPr>
      <w:r>
        <w:rPr>
          <w:rFonts w:hint="eastAsia"/>
        </w:rPr>
        <w:t>围护结构</w:t>
      </w:r>
    </w:p>
    <w:p>
      <w:pPr>
        <w:pStyle w:val="162"/>
      </w:pPr>
      <w:r>
        <w:rPr>
          <w:rFonts w:hint="eastAsia"/>
        </w:rPr>
        <w:t>对建筑围护结构、功能区域、使用时间、主要用能设备信息进行登记。</w:t>
      </w:r>
    </w:p>
    <w:p>
      <w:pPr>
        <w:pStyle w:val="162"/>
      </w:pPr>
      <w:r>
        <w:rPr>
          <w:rFonts w:hint="eastAsia"/>
        </w:rPr>
        <w:t>建筑保温、门窗和外遮阳等设施定期进行完好性检查，外墙和屋顶内表面如有结露、发霉现象，及时采取有效措施解决。</w:t>
      </w:r>
    </w:p>
    <w:p>
      <w:pPr>
        <w:pStyle w:val="162"/>
      </w:pPr>
      <w:r>
        <w:rPr>
          <w:rFonts w:hint="eastAsia"/>
        </w:rPr>
        <w:t>修缮改造宜选用本地生产的建筑材料，优先采用绿色建材和绿色设备产品，合理采用可再利用材料和可再循环材料。</w:t>
      </w:r>
    </w:p>
    <w:p>
      <w:pPr>
        <w:pStyle w:val="162"/>
      </w:pPr>
      <w:r>
        <w:rPr>
          <w:rFonts w:hint="eastAsia"/>
        </w:rPr>
        <w:t>装饰装修材料符合下列要求：</w:t>
      </w:r>
    </w:p>
    <w:p>
      <w:pPr>
        <w:pStyle w:val="132"/>
      </w:pPr>
      <w:r>
        <w:rPr>
          <w:rFonts w:hint="eastAsia"/>
        </w:rPr>
        <w:t>装饰装修材料有害物质含量符合现行国家相关标准的规定；</w:t>
      </w:r>
    </w:p>
    <w:p>
      <w:pPr>
        <w:pStyle w:val="132"/>
      </w:pPr>
      <w:r>
        <w:rPr>
          <w:rFonts w:hint="eastAsia"/>
        </w:rPr>
        <w:t>宜选用耐久性强、不产生光污染、易更换、易清洗的装饰装修材料；</w:t>
      </w:r>
    </w:p>
    <w:p>
      <w:pPr>
        <w:pStyle w:val="132"/>
      </w:pPr>
      <w:r>
        <w:rPr>
          <w:rFonts w:hint="eastAsia"/>
        </w:rPr>
        <w:t>可变换功能的室内空间采用可重复使用的隔墙和隔断。</w:t>
      </w:r>
    </w:p>
    <w:p>
      <w:pPr>
        <w:pStyle w:val="162"/>
      </w:pPr>
      <w:r>
        <w:rPr>
          <w:rFonts w:hint="eastAsia"/>
        </w:rPr>
        <w:t>修缮改造时，采取保护措施减少对相邻空间和敏感元器件的影响，装修垃圾按照规定堆放和清运，减少环境污染。</w:t>
      </w:r>
    </w:p>
    <w:p>
      <w:pPr>
        <w:pStyle w:val="162"/>
      </w:pPr>
      <w:r>
        <w:rPr>
          <w:rFonts w:hint="eastAsia"/>
        </w:rPr>
        <w:t>场馆建立绿色布展管理机制，使用模块化、构件化的可再生、可循环板材，对搭建材料提出环保要求。</w:t>
      </w:r>
    </w:p>
    <w:p>
      <w:pPr>
        <w:pStyle w:val="104"/>
        <w:spacing w:before="312" w:after="312"/>
      </w:pPr>
      <w:r>
        <w:rPr>
          <w:rFonts w:hint="eastAsia"/>
        </w:rPr>
        <w:t>数据中心</w:t>
      </w:r>
    </w:p>
    <w:p>
      <w:pPr>
        <w:pStyle w:val="162"/>
      </w:pPr>
      <w:r>
        <w:rPr>
          <w:rFonts w:hint="eastAsia"/>
        </w:rPr>
        <w:t>对信息设备、冷热源、输配系统和照明等分项能耗定期统计，计算分析电能利用效率等指标。</w:t>
      </w:r>
    </w:p>
    <w:p>
      <w:pPr>
        <w:pStyle w:val="162"/>
      </w:pPr>
      <w:r>
        <w:rPr>
          <w:rFonts w:hint="eastAsia"/>
        </w:rPr>
        <w:t>制冷空调系统在有条件时充分利用自然冷源进行设备冷却。</w:t>
      </w:r>
    </w:p>
    <w:p>
      <w:pPr>
        <w:pStyle w:val="162"/>
      </w:pPr>
      <w:r>
        <w:rPr>
          <w:rFonts w:hint="eastAsia"/>
        </w:rPr>
        <w:t>对主机房和辅助区内的温度、相对湿度进行监测，符合GB</w:t>
      </w:r>
      <w:r>
        <w:t xml:space="preserve"> </w:t>
      </w:r>
      <w:r>
        <w:rPr>
          <w:rFonts w:hint="eastAsia"/>
        </w:rPr>
        <w:t>50174的要求。</w:t>
      </w:r>
    </w:p>
    <w:p>
      <w:pPr>
        <w:pStyle w:val="162"/>
      </w:pPr>
      <w:r>
        <w:rPr>
          <w:rFonts w:hint="eastAsia"/>
        </w:rPr>
        <w:t>定期对主机房的空气含尘浓度进行测试，符合GB</w:t>
      </w:r>
      <w:r>
        <w:t xml:space="preserve"> </w:t>
      </w:r>
      <w:r>
        <w:rPr>
          <w:rFonts w:hint="eastAsia"/>
        </w:rPr>
        <w:t>50174的要求。</w:t>
      </w:r>
    </w:p>
    <w:p>
      <w:pPr>
        <w:pStyle w:val="162"/>
      </w:pPr>
      <w:r>
        <w:rPr>
          <w:rFonts w:hint="eastAsia"/>
        </w:rPr>
        <w:t>对主机房温度分布进行测试，调整优化气流组织，避免冷热空气掺混。</w:t>
      </w:r>
    </w:p>
    <w:p>
      <w:pPr>
        <w:pStyle w:val="162"/>
      </w:pPr>
      <w:r>
        <w:rPr>
          <w:rFonts w:hint="eastAsia"/>
        </w:rPr>
        <w:t>主机房维持正压，符合GB</w:t>
      </w:r>
      <w:r>
        <w:t xml:space="preserve"> </w:t>
      </w:r>
      <w:r>
        <w:rPr>
          <w:rFonts w:hint="eastAsia"/>
        </w:rPr>
        <w:t>50174的要求。</w:t>
      </w:r>
    </w:p>
    <w:bookmarkEnd w:id="19"/>
    <w:p>
      <w:pPr>
        <w:pStyle w:val="165"/>
        <w:numPr>
          <w:ilvl w:val="0"/>
          <w:numId w:val="0"/>
        </w:numPr>
        <w:jc w:val="center"/>
      </w:pPr>
      <w:bookmarkStart w:id="38" w:name="BookMark8"/>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a:extLst>
                        <a:ext uri="{28A0092B-C50C-407E-A947-70E740481C1C}">
                          <a14:useLocalDpi xmlns:a14="http://schemas.microsoft.com/office/drawing/2010/main" val="false"/>
                        </a:ext>
                      </a:extLst>
                    </a:blip>
                    <a:stretch>
                      <a:fillRect/>
                    </a:stretch>
                  </pic:blipFill>
                  <pic:spPr>
                    <a:xfrm>
                      <a:off x="0" y="0"/>
                      <a:ext cx="1485900" cy="317500"/>
                    </a:xfrm>
                    <a:prstGeom prst="rect">
                      <a:avLst/>
                    </a:prstGeom>
                  </pic:spPr>
                </pic:pic>
              </a:graphicData>
            </a:graphic>
          </wp:inline>
        </w:drawing>
      </w:r>
      <w:bookmarkEnd w:id="38"/>
    </w:p>
    <w:sectPr>
      <w:pgSz w:w="11906" w:h="16838"/>
      <w:pgMar w:top="2410"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等线">
    <w:altName w:val="汉仪中宋简"/>
    <w:panose1 w:val="02010600030101010101"/>
    <w:charset w:val="86"/>
    <w:family w:val="auto"/>
    <w:pitch w:val="default"/>
    <w:sig w:usb0="00000000" w:usb1="00000000" w:usb2="00000016" w:usb3="00000000" w:csb0="0004000F" w:csb1="00000000"/>
  </w:font>
  <w:font w:name="等线 Light">
    <w:altName w:val="汉仪中宋简"/>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等线">
    <w:altName w:val="文泉驿微米黑"/>
    <w:panose1 w:val="00000000000000000000"/>
    <w:charset w:val="00"/>
    <w:family w:val="auto"/>
    <w:pitch w:val="default"/>
    <w:sig w:usb0="00000000" w:usb1="00000000" w:usb2="00000000" w:usb3="00000000" w:csb0="00000000" w:csb1="00000000"/>
  </w:font>
  <w:font w:name="文泉驿微米黑">
    <w:panose1 w:val="020B0606030804020204"/>
    <w:charset w:val="86"/>
    <w:family w:val="auto"/>
    <w:pitch w:val="default"/>
    <w:sig w:usb0="E10002EF" w:usb1="6BDFFCFB" w:usb2="00800036" w:usb3="00000000" w:csb0="603E019F" w:csb1="DFD70000"/>
  </w:font>
  <w:font w:name="NanumGothic">
    <w:panose1 w:val="020D0604000000000000"/>
    <w:charset w:val="81"/>
    <w:family w:val="auto"/>
    <w:pitch w:val="default"/>
    <w:sig w:usb0="900002A7" w:usb1="29D7FCFB" w:usb2="00000010" w:usb3="00000000" w:csb0="00080001"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3708/T XXXX—2021</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CD1"/>
    <w:rsid w:val="0000040A"/>
    <w:rsid w:val="00000A94"/>
    <w:rsid w:val="00001972"/>
    <w:rsid w:val="00001D9A"/>
    <w:rsid w:val="00007B3A"/>
    <w:rsid w:val="000107E0"/>
    <w:rsid w:val="00011FDE"/>
    <w:rsid w:val="00012FFD"/>
    <w:rsid w:val="0001300B"/>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3700B"/>
    <w:rsid w:val="00040BF5"/>
    <w:rsid w:val="0004249A"/>
    <w:rsid w:val="00043282"/>
    <w:rsid w:val="00044286"/>
    <w:rsid w:val="00047C1A"/>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5E86"/>
    <w:rsid w:val="00076A32"/>
    <w:rsid w:val="00077B64"/>
    <w:rsid w:val="00080452"/>
    <w:rsid w:val="00080A1C"/>
    <w:rsid w:val="00082317"/>
    <w:rsid w:val="00083D2C"/>
    <w:rsid w:val="000843C9"/>
    <w:rsid w:val="00085712"/>
    <w:rsid w:val="00086AA1"/>
    <w:rsid w:val="00087A77"/>
    <w:rsid w:val="00090CA6"/>
    <w:rsid w:val="00092B8A"/>
    <w:rsid w:val="00092FB0"/>
    <w:rsid w:val="000934C5"/>
    <w:rsid w:val="00093D25"/>
    <w:rsid w:val="00093DAB"/>
    <w:rsid w:val="00094D73"/>
    <w:rsid w:val="00096D63"/>
    <w:rsid w:val="000A03B2"/>
    <w:rsid w:val="000A0B60"/>
    <w:rsid w:val="000A0EB8"/>
    <w:rsid w:val="000A19FC"/>
    <w:rsid w:val="000A296B"/>
    <w:rsid w:val="000A7311"/>
    <w:rsid w:val="000B060F"/>
    <w:rsid w:val="000B1592"/>
    <w:rsid w:val="000B1FF2"/>
    <w:rsid w:val="000B3CDA"/>
    <w:rsid w:val="000B6A0B"/>
    <w:rsid w:val="000C0CEA"/>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29EA"/>
    <w:rsid w:val="00113B1E"/>
    <w:rsid w:val="0011711C"/>
    <w:rsid w:val="0012059C"/>
    <w:rsid w:val="00124E4F"/>
    <w:rsid w:val="001260B7"/>
    <w:rsid w:val="001265CB"/>
    <w:rsid w:val="001321C6"/>
    <w:rsid w:val="001325C4"/>
    <w:rsid w:val="00133010"/>
    <w:rsid w:val="001338EE"/>
    <w:rsid w:val="00133AAE"/>
    <w:rsid w:val="00135323"/>
    <w:rsid w:val="001356C4"/>
    <w:rsid w:val="00140060"/>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BC6"/>
    <w:rsid w:val="00164FA8"/>
    <w:rsid w:val="00165065"/>
    <w:rsid w:val="00165434"/>
    <w:rsid w:val="0016580B"/>
    <w:rsid w:val="00165F49"/>
    <w:rsid w:val="00166B88"/>
    <w:rsid w:val="0016770A"/>
    <w:rsid w:val="00170804"/>
    <w:rsid w:val="001708E9"/>
    <w:rsid w:val="00170A39"/>
    <w:rsid w:val="0017340B"/>
    <w:rsid w:val="00173FB1"/>
    <w:rsid w:val="00176DFD"/>
    <w:rsid w:val="00183483"/>
    <w:rsid w:val="001852C9"/>
    <w:rsid w:val="00186FDC"/>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561A"/>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3389"/>
    <w:rsid w:val="002142EA"/>
    <w:rsid w:val="002204BB"/>
    <w:rsid w:val="00221B79"/>
    <w:rsid w:val="00221C6B"/>
    <w:rsid w:val="002253A1"/>
    <w:rsid w:val="00225CF8"/>
    <w:rsid w:val="0022794E"/>
    <w:rsid w:val="00233D64"/>
    <w:rsid w:val="0023482A"/>
    <w:rsid w:val="002359CB"/>
    <w:rsid w:val="002374CF"/>
    <w:rsid w:val="00243540"/>
    <w:rsid w:val="0024497B"/>
    <w:rsid w:val="00244ABB"/>
    <w:rsid w:val="0024515B"/>
    <w:rsid w:val="00246021"/>
    <w:rsid w:val="0024666E"/>
    <w:rsid w:val="00247F52"/>
    <w:rsid w:val="00250B25"/>
    <w:rsid w:val="00250BBE"/>
    <w:rsid w:val="002515C2"/>
    <w:rsid w:val="0025194F"/>
    <w:rsid w:val="0026148A"/>
    <w:rsid w:val="00262696"/>
    <w:rsid w:val="00263D25"/>
    <w:rsid w:val="002643C3"/>
    <w:rsid w:val="00264A0C"/>
    <w:rsid w:val="00264FB9"/>
    <w:rsid w:val="00266EEB"/>
    <w:rsid w:val="00267EF4"/>
    <w:rsid w:val="00270CB8"/>
    <w:rsid w:val="00272B08"/>
    <w:rsid w:val="00275818"/>
    <w:rsid w:val="00281BB8"/>
    <w:rsid w:val="00281E9E"/>
    <w:rsid w:val="00282405"/>
    <w:rsid w:val="00285170"/>
    <w:rsid w:val="00285361"/>
    <w:rsid w:val="00292D60"/>
    <w:rsid w:val="00293B30"/>
    <w:rsid w:val="00294D34"/>
    <w:rsid w:val="00294E3B"/>
    <w:rsid w:val="00296193"/>
    <w:rsid w:val="00296C66"/>
    <w:rsid w:val="00296EBE"/>
    <w:rsid w:val="002974E3"/>
    <w:rsid w:val="002977B5"/>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032"/>
    <w:rsid w:val="002E6326"/>
    <w:rsid w:val="002E7E4B"/>
    <w:rsid w:val="002F30E0"/>
    <w:rsid w:val="002F35E4"/>
    <w:rsid w:val="002F3730"/>
    <w:rsid w:val="002F38E1"/>
    <w:rsid w:val="002F7AF6"/>
    <w:rsid w:val="00300E63"/>
    <w:rsid w:val="00302F5F"/>
    <w:rsid w:val="0030441D"/>
    <w:rsid w:val="00306063"/>
    <w:rsid w:val="00313B85"/>
    <w:rsid w:val="00317988"/>
    <w:rsid w:val="00320FCC"/>
    <w:rsid w:val="003221B4"/>
    <w:rsid w:val="0032258D"/>
    <w:rsid w:val="00322E62"/>
    <w:rsid w:val="00324D13"/>
    <w:rsid w:val="00324D2A"/>
    <w:rsid w:val="00324EDD"/>
    <w:rsid w:val="00330F11"/>
    <w:rsid w:val="003331E4"/>
    <w:rsid w:val="00336C64"/>
    <w:rsid w:val="00337162"/>
    <w:rsid w:val="0034194F"/>
    <w:rsid w:val="003421BA"/>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5B51"/>
    <w:rsid w:val="003E660F"/>
    <w:rsid w:val="003E7E8F"/>
    <w:rsid w:val="003F0841"/>
    <w:rsid w:val="003F23D3"/>
    <w:rsid w:val="003F3F08"/>
    <w:rsid w:val="003F49F1"/>
    <w:rsid w:val="003F6272"/>
    <w:rsid w:val="00400E72"/>
    <w:rsid w:val="00401400"/>
    <w:rsid w:val="00404869"/>
    <w:rsid w:val="0040585A"/>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4E4C"/>
    <w:rsid w:val="004A12DF"/>
    <w:rsid w:val="004A17E6"/>
    <w:rsid w:val="004A1BA8"/>
    <w:rsid w:val="004A2FBA"/>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30E3"/>
    <w:rsid w:val="004D4406"/>
    <w:rsid w:val="004D7C42"/>
    <w:rsid w:val="004E0465"/>
    <w:rsid w:val="004E127B"/>
    <w:rsid w:val="004E1C0A"/>
    <w:rsid w:val="004E2B06"/>
    <w:rsid w:val="004E30C5"/>
    <w:rsid w:val="004E4AA5"/>
    <w:rsid w:val="004E4AEE"/>
    <w:rsid w:val="004E59E3"/>
    <w:rsid w:val="004E67C0"/>
    <w:rsid w:val="004F391A"/>
    <w:rsid w:val="004F3CFB"/>
    <w:rsid w:val="004F4D31"/>
    <w:rsid w:val="004F6456"/>
    <w:rsid w:val="004F696E"/>
    <w:rsid w:val="004F6C71"/>
    <w:rsid w:val="00501139"/>
    <w:rsid w:val="00501188"/>
    <w:rsid w:val="0050363E"/>
    <w:rsid w:val="005039BC"/>
    <w:rsid w:val="005043BB"/>
    <w:rsid w:val="00504A3D"/>
    <w:rsid w:val="00505767"/>
    <w:rsid w:val="005073F0"/>
    <w:rsid w:val="00510A7B"/>
    <w:rsid w:val="00511635"/>
    <w:rsid w:val="00512F6E"/>
    <w:rsid w:val="00513038"/>
    <w:rsid w:val="00514174"/>
    <w:rsid w:val="00516088"/>
    <w:rsid w:val="00516B0B"/>
    <w:rsid w:val="005220EC"/>
    <w:rsid w:val="00523F95"/>
    <w:rsid w:val="005249FE"/>
    <w:rsid w:val="00524D65"/>
    <w:rsid w:val="00525B16"/>
    <w:rsid w:val="00533D04"/>
    <w:rsid w:val="00534804"/>
    <w:rsid w:val="00534BDF"/>
    <w:rsid w:val="005354EA"/>
    <w:rsid w:val="0053585F"/>
    <w:rsid w:val="00535EC4"/>
    <w:rsid w:val="00535ED9"/>
    <w:rsid w:val="0053692B"/>
    <w:rsid w:val="00541853"/>
    <w:rsid w:val="00543AD6"/>
    <w:rsid w:val="00543BDA"/>
    <w:rsid w:val="005441CC"/>
    <w:rsid w:val="005479DA"/>
    <w:rsid w:val="00547BCC"/>
    <w:rsid w:val="0055013B"/>
    <w:rsid w:val="00551F6F"/>
    <w:rsid w:val="00555044"/>
    <w:rsid w:val="00555856"/>
    <w:rsid w:val="005559ED"/>
    <w:rsid w:val="00557D1F"/>
    <w:rsid w:val="00561475"/>
    <w:rsid w:val="0056487B"/>
    <w:rsid w:val="00564FB9"/>
    <w:rsid w:val="00573D9E"/>
    <w:rsid w:val="005801E3"/>
    <w:rsid w:val="00581802"/>
    <w:rsid w:val="005820D5"/>
    <w:rsid w:val="005836A8"/>
    <w:rsid w:val="0058409C"/>
    <w:rsid w:val="00584262"/>
    <w:rsid w:val="00586630"/>
    <w:rsid w:val="00587ADD"/>
    <w:rsid w:val="00591E27"/>
    <w:rsid w:val="00596160"/>
    <w:rsid w:val="005966E2"/>
    <w:rsid w:val="00597007"/>
    <w:rsid w:val="005A0966"/>
    <w:rsid w:val="005A11B7"/>
    <w:rsid w:val="005A260B"/>
    <w:rsid w:val="005A2F6C"/>
    <w:rsid w:val="005A4A1B"/>
    <w:rsid w:val="005A7830"/>
    <w:rsid w:val="005A7FCE"/>
    <w:rsid w:val="005B0F3F"/>
    <w:rsid w:val="005B4903"/>
    <w:rsid w:val="005B51CE"/>
    <w:rsid w:val="005B5885"/>
    <w:rsid w:val="005B5CD7"/>
    <w:rsid w:val="005B6CF6"/>
    <w:rsid w:val="005B7422"/>
    <w:rsid w:val="005C29B8"/>
    <w:rsid w:val="005C5F21"/>
    <w:rsid w:val="005C6495"/>
    <w:rsid w:val="005C7156"/>
    <w:rsid w:val="005D0C75"/>
    <w:rsid w:val="005D4171"/>
    <w:rsid w:val="005D6A95"/>
    <w:rsid w:val="005D6B2C"/>
    <w:rsid w:val="005D6D9C"/>
    <w:rsid w:val="005E2335"/>
    <w:rsid w:val="005E248F"/>
    <w:rsid w:val="005E34CA"/>
    <w:rsid w:val="005E3C18"/>
    <w:rsid w:val="005E6812"/>
    <w:rsid w:val="005E7881"/>
    <w:rsid w:val="005E78E0"/>
    <w:rsid w:val="005F0D9C"/>
    <w:rsid w:val="005F284E"/>
    <w:rsid w:val="005F4712"/>
    <w:rsid w:val="006015CE"/>
    <w:rsid w:val="00604784"/>
    <w:rsid w:val="00606419"/>
    <w:rsid w:val="00607D29"/>
    <w:rsid w:val="00612952"/>
    <w:rsid w:val="00614AAD"/>
    <w:rsid w:val="00614CC1"/>
    <w:rsid w:val="00615A9D"/>
    <w:rsid w:val="00617387"/>
    <w:rsid w:val="006205D6"/>
    <w:rsid w:val="006252D8"/>
    <w:rsid w:val="006259BC"/>
    <w:rsid w:val="00625EE4"/>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1DFB"/>
    <w:rsid w:val="00695D22"/>
    <w:rsid w:val="0069705E"/>
    <w:rsid w:val="006A07AA"/>
    <w:rsid w:val="006A25E5"/>
    <w:rsid w:val="006A2B46"/>
    <w:rsid w:val="006A336D"/>
    <w:rsid w:val="006A37B9"/>
    <w:rsid w:val="006A4ECB"/>
    <w:rsid w:val="006B2672"/>
    <w:rsid w:val="006B54BF"/>
    <w:rsid w:val="006B5F44"/>
    <w:rsid w:val="006B5F90"/>
    <w:rsid w:val="006B62E4"/>
    <w:rsid w:val="006C1BBA"/>
    <w:rsid w:val="006C2079"/>
    <w:rsid w:val="006C276F"/>
    <w:rsid w:val="006C5A62"/>
    <w:rsid w:val="006C5D68"/>
    <w:rsid w:val="006C6976"/>
    <w:rsid w:val="006C6DD0"/>
    <w:rsid w:val="006D04EA"/>
    <w:rsid w:val="006D16C4"/>
    <w:rsid w:val="006D3E96"/>
    <w:rsid w:val="006D4515"/>
    <w:rsid w:val="006D4BB1"/>
    <w:rsid w:val="006D5A6D"/>
    <w:rsid w:val="006D6593"/>
    <w:rsid w:val="006E23EA"/>
    <w:rsid w:val="006F03A8"/>
    <w:rsid w:val="006F0C0E"/>
    <w:rsid w:val="006F2ACA"/>
    <w:rsid w:val="006F2ADC"/>
    <w:rsid w:val="006F2BFE"/>
    <w:rsid w:val="006F31E9"/>
    <w:rsid w:val="006F6284"/>
    <w:rsid w:val="007002C5"/>
    <w:rsid w:val="00704387"/>
    <w:rsid w:val="00707669"/>
    <w:rsid w:val="00711CBA"/>
    <w:rsid w:val="00711FB5"/>
    <w:rsid w:val="00712A01"/>
    <w:rsid w:val="00714F58"/>
    <w:rsid w:val="0072033E"/>
    <w:rsid w:val="00722FBF"/>
    <w:rsid w:val="00722FC2"/>
    <w:rsid w:val="00724879"/>
    <w:rsid w:val="00724E1B"/>
    <w:rsid w:val="00725241"/>
    <w:rsid w:val="00725949"/>
    <w:rsid w:val="00726595"/>
    <w:rsid w:val="00727FA2"/>
    <w:rsid w:val="007322D9"/>
    <w:rsid w:val="00732BC0"/>
    <w:rsid w:val="0073720F"/>
    <w:rsid w:val="00737796"/>
    <w:rsid w:val="0074165C"/>
    <w:rsid w:val="007421DA"/>
    <w:rsid w:val="00742C35"/>
    <w:rsid w:val="007432CA"/>
    <w:rsid w:val="007439EB"/>
    <w:rsid w:val="00743CB4"/>
    <w:rsid w:val="00743F0A"/>
    <w:rsid w:val="007444E8"/>
    <w:rsid w:val="0074548E"/>
    <w:rsid w:val="00745773"/>
    <w:rsid w:val="00746800"/>
    <w:rsid w:val="007501A8"/>
    <w:rsid w:val="00750D61"/>
    <w:rsid w:val="00750EE1"/>
    <w:rsid w:val="00752B4D"/>
    <w:rsid w:val="00754040"/>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968B2"/>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0BC5"/>
    <w:rsid w:val="007D1352"/>
    <w:rsid w:val="007D2508"/>
    <w:rsid w:val="007D346A"/>
    <w:rsid w:val="007D6518"/>
    <w:rsid w:val="007D76BD"/>
    <w:rsid w:val="007E0BF1"/>
    <w:rsid w:val="007F0ED8"/>
    <w:rsid w:val="007F0F63"/>
    <w:rsid w:val="007F75CE"/>
    <w:rsid w:val="008013A4"/>
    <w:rsid w:val="00801E61"/>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0341"/>
    <w:rsid w:val="0085173A"/>
    <w:rsid w:val="00856316"/>
    <w:rsid w:val="008603CE"/>
    <w:rsid w:val="008620FC"/>
    <w:rsid w:val="008627A5"/>
    <w:rsid w:val="00863E05"/>
    <w:rsid w:val="00865ACA"/>
    <w:rsid w:val="00865D28"/>
    <w:rsid w:val="00865F85"/>
    <w:rsid w:val="00867C10"/>
    <w:rsid w:val="00870439"/>
    <w:rsid w:val="00870DA1"/>
    <w:rsid w:val="0088157C"/>
    <w:rsid w:val="008815C4"/>
    <w:rsid w:val="00883F93"/>
    <w:rsid w:val="00884DB3"/>
    <w:rsid w:val="00885A9D"/>
    <w:rsid w:val="008864F6"/>
    <w:rsid w:val="0089049D"/>
    <w:rsid w:val="0089248B"/>
    <w:rsid w:val="008928C9"/>
    <w:rsid w:val="008930CB"/>
    <w:rsid w:val="008937EA"/>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683F"/>
    <w:rsid w:val="008D0CCD"/>
    <w:rsid w:val="008D0CE8"/>
    <w:rsid w:val="008D2C43"/>
    <w:rsid w:val="008D2D1D"/>
    <w:rsid w:val="008D453D"/>
    <w:rsid w:val="008D53AD"/>
    <w:rsid w:val="008D562B"/>
    <w:rsid w:val="008D5733"/>
    <w:rsid w:val="008D622B"/>
    <w:rsid w:val="008D666C"/>
    <w:rsid w:val="008D7B54"/>
    <w:rsid w:val="008E0C9D"/>
    <w:rsid w:val="008E1648"/>
    <w:rsid w:val="008E1B3E"/>
    <w:rsid w:val="008E2319"/>
    <w:rsid w:val="008E3134"/>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3AA8"/>
    <w:rsid w:val="00935CD1"/>
    <w:rsid w:val="009429D5"/>
    <w:rsid w:val="00942BF1"/>
    <w:rsid w:val="00945180"/>
    <w:rsid w:val="00945428"/>
    <w:rsid w:val="0094607B"/>
    <w:rsid w:val="00953604"/>
    <w:rsid w:val="0095496B"/>
    <w:rsid w:val="00960EF8"/>
    <w:rsid w:val="009610DC"/>
    <w:rsid w:val="00961490"/>
    <w:rsid w:val="0096381A"/>
    <w:rsid w:val="00965E04"/>
    <w:rsid w:val="009674AD"/>
    <w:rsid w:val="00970CDC"/>
    <w:rsid w:val="00976785"/>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B79BF"/>
    <w:rsid w:val="009C1A5F"/>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142E"/>
    <w:rsid w:val="00A0096C"/>
    <w:rsid w:val="00A01757"/>
    <w:rsid w:val="00A028C0"/>
    <w:rsid w:val="00A02BAE"/>
    <w:rsid w:val="00A06A6B"/>
    <w:rsid w:val="00A07E47"/>
    <w:rsid w:val="00A129D0"/>
    <w:rsid w:val="00A12C33"/>
    <w:rsid w:val="00A138BA"/>
    <w:rsid w:val="00A14C8E"/>
    <w:rsid w:val="00A153D9"/>
    <w:rsid w:val="00A15F09"/>
    <w:rsid w:val="00A169B6"/>
    <w:rsid w:val="00A213BC"/>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1D9B"/>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2BDA"/>
    <w:rsid w:val="00B049AF"/>
    <w:rsid w:val="00B07242"/>
    <w:rsid w:val="00B10534"/>
    <w:rsid w:val="00B11285"/>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1A9C"/>
    <w:rsid w:val="00B939B1"/>
    <w:rsid w:val="00B958C0"/>
    <w:rsid w:val="00B96D40"/>
    <w:rsid w:val="00B97386"/>
    <w:rsid w:val="00B97764"/>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4840"/>
    <w:rsid w:val="00BF51E5"/>
    <w:rsid w:val="00BF74A6"/>
    <w:rsid w:val="00C013AD"/>
    <w:rsid w:val="00C04904"/>
    <w:rsid w:val="00C056B3"/>
    <w:rsid w:val="00C103E5"/>
    <w:rsid w:val="00C13319"/>
    <w:rsid w:val="00C13EE9"/>
    <w:rsid w:val="00C21540"/>
    <w:rsid w:val="00C21906"/>
    <w:rsid w:val="00C21BFA"/>
    <w:rsid w:val="00C22148"/>
    <w:rsid w:val="00C2335F"/>
    <w:rsid w:val="00C24C8D"/>
    <w:rsid w:val="00C25FE2"/>
    <w:rsid w:val="00C26B53"/>
    <w:rsid w:val="00C279B2"/>
    <w:rsid w:val="00C33E50"/>
    <w:rsid w:val="00C34C20"/>
    <w:rsid w:val="00C35A3E"/>
    <w:rsid w:val="00C372FF"/>
    <w:rsid w:val="00C3746B"/>
    <w:rsid w:val="00C42130"/>
    <w:rsid w:val="00C423A4"/>
    <w:rsid w:val="00C44BF5"/>
    <w:rsid w:val="00C521D6"/>
    <w:rsid w:val="00C54068"/>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3557"/>
    <w:rsid w:val="00CB517D"/>
    <w:rsid w:val="00CC038D"/>
    <w:rsid w:val="00CC08DB"/>
    <w:rsid w:val="00CC0C6C"/>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BF8"/>
    <w:rsid w:val="00CE0C4F"/>
    <w:rsid w:val="00CE30EA"/>
    <w:rsid w:val="00CE335A"/>
    <w:rsid w:val="00CE5724"/>
    <w:rsid w:val="00CF048A"/>
    <w:rsid w:val="00CF155A"/>
    <w:rsid w:val="00CF1936"/>
    <w:rsid w:val="00CF2947"/>
    <w:rsid w:val="00CF686F"/>
    <w:rsid w:val="00CF6E60"/>
    <w:rsid w:val="00CF7BCA"/>
    <w:rsid w:val="00D008FD"/>
    <w:rsid w:val="00D0321C"/>
    <w:rsid w:val="00D035EC"/>
    <w:rsid w:val="00D03835"/>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7F6"/>
    <w:rsid w:val="00D27EC4"/>
    <w:rsid w:val="00D32719"/>
    <w:rsid w:val="00D33333"/>
    <w:rsid w:val="00D33457"/>
    <w:rsid w:val="00D352A2"/>
    <w:rsid w:val="00D4162B"/>
    <w:rsid w:val="00D4514F"/>
    <w:rsid w:val="00D451E2"/>
    <w:rsid w:val="00D45E89"/>
    <w:rsid w:val="00D45E8D"/>
    <w:rsid w:val="00D466AE"/>
    <w:rsid w:val="00D4734F"/>
    <w:rsid w:val="00D51BF3"/>
    <w:rsid w:val="00D53B4B"/>
    <w:rsid w:val="00D5427B"/>
    <w:rsid w:val="00D56962"/>
    <w:rsid w:val="00D66846"/>
    <w:rsid w:val="00D675FB"/>
    <w:rsid w:val="00D71F25"/>
    <w:rsid w:val="00D72A9C"/>
    <w:rsid w:val="00D74F39"/>
    <w:rsid w:val="00D77031"/>
    <w:rsid w:val="00D843F1"/>
    <w:rsid w:val="00D84941"/>
    <w:rsid w:val="00D84FA1"/>
    <w:rsid w:val="00D851F0"/>
    <w:rsid w:val="00D86DB7"/>
    <w:rsid w:val="00D90579"/>
    <w:rsid w:val="00D926D0"/>
    <w:rsid w:val="00D93030"/>
    <w:rsid w:val="00D950E1"/>
    <w:rsid w:val="00D952A6"/>
    <w:rsid w:val="00D97F99"/>
    <w:rsid w:val="00DA1E08"/>
    <w:rsid w:val="00DA24F8"/>
    <w:rsid w:val="00DA28E8"/>
    <w:rsid w:val="00DA38D3"/>
    <w:rsid w:val="00DA3932"/>
    <w:rsid w:val="00DA3AFC"/>
    <w:rsid w:val="00DA5766"/>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59BC"/>
    <w:rsid w:val="00DE6E81"/>
    <w:rsid w:val="00DE703F"/>
    <w:rsid w:val="00DE7595"/>
    <w:rsid w:val="00DF1961"/>
    <w:rsid w:val="00DF44DE"/>
    <w:rsid w:val="00DF5F11"/>
    <w:rsid w:val="00E01138"/>
    <w:rsid w:val="00E02DFB"/>
    <w:rsid w:val="00E030F9"/>
    <w:rsid w:val="00E0311A"/>
    <w:rsid w:val="00E03138"/>
    <w:rsid w:val="00E03707"/>
    <w:rsid w:val="00E06404"/>
    <w:rsid w:val="00E11A85"/>
    <w:rsid w:val="00E12495"/>
    <w:rsid w:val="00E15CCD"/>
    <w:rsid w:val="00E202EF"/>
    <w:rsid w:val="00E210B5"/>
    <w:rsid w:val="00E23D99"/>
    <w:rsid w:val="00E2552F"/>
    <w:rsid w:val="00E25F48"/>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4ECB"/>
    <w:rsid w:val="00E664CC"/>
    <w:rsid w:val="00E67515"/>
    <w:rsid w:val="00E70388"/>
    <w:rsid w:val="00E70F92"/>
    <w:rsid w:val="00E74C54"/>
    <w:rsid w:val="00E77A03"/>
    <w:rsid w:val="00E822E8"/>
    <w:rsid w:val="00E82554"/>
    <w:rsid w:val="00E82606"/>
    <w:rsid w:val="00E846C8"/>
    <w:rsid w:val="00E84800"/>
    <w:rsid w:val="00E84957"/>
    <w:rsid w:val="00E84A55"/>
    <w:rsid w:val="00E85BFF"/>
    <w:rsid w:val="00E90391"/>
    <w:rsid w:val="00E906C2"/>
    <w:rsid w:val="00E9311F"/>
    <w:rsid w:val="00E934D1"/>
    <w:rsid w:val="00E94AF0"/>
    <w:rsid w:val="00E95565"/>
    <w:rsid w:val="00E95D13"/>
    <w:rsid w:val="00E95DD3"/>
    <w:rsid w:val="00E969D5"/>
    <w:rsid w:val="00EA27FF"/>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0EA"/>
    <w:rsid w:val="00F46496"/>
    <w:rsid w:val="00F474D0"/>
    <w:rsid w:val="00F50179"/>
    <w:rsid w:val="00F515EE"/>
    <w:rsid w:val="00F56511"/>
    <w:rsid w:val="00F6194E"/>
    <w:rsid w:val="00F623AC"/>
    <w:rsid w:val="00F6412A"/>
    <w:rsid w:val="00F64834"/>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6FC9"/>
    <w:rsid w:val="00FA73B1"/>
    <w:rsid w:val="00FB0CB9"/>
    <w:rsid w:val="00FB14E4"/>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7BF5E6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rFonts w:ascii="Times New Roman" w:hAnsi="Times New Roman" w:eastAsia="宋体" w:cs="Times New Roman"/>
      <w:b/>
      <w:bCs/>
      <w:kern w:val="44"/>
      <w:sz w:val="44"/>
      <w:szCs w:val="44"/>
    </w:rPr>
  </w:style>
  <w:style w:type="character" w:customStyle="1" w:styleId="35">
    <w:name w:val="标题 2 字符"/>
    <w:link w:val="3"/>
    <w:qFormat/>
    <w:uiPriority w:val="0"/>
    <w:rPr>
      <w:rFonts w:ascii="Arial" w:hAnsi="Arial" w:eastAsia="黑体" w:cs="Times New Roman"/>
      <w:b/>
      <w:bCs/>
      <w:sz w:val="32"/>
      <w:szCs w:val="32"/>
    </w:rPr>
  </w:style>
  <w:style w:type="character" w:customStyle="1" w:styleId="36">
    <w:name w:val="标题 3 字符"/>
    <w:link w:val="4"/>
    <w:qFormat/>
    <w:uiPriority w:val="0"/>
    <w:rPr>
      <w:rFonts w:ascii="Times New Roman" w:hAnsi="Times New Roman" w:eastAsia="宋体" w:cs="Times New Roman"/>
      <w:b/>
      <w:bCs/>
      <w:sz w:val="32"/>
      <w:szCs w:val="32"/>
    </w:rPr>
  </w:style>
  <w:style w:type="character" w:customStyle="1" w:styleId="37">
    <w:name w:val="标题 4 字符"/>
    <w:link w:val="5"/>
    <w:qFormat/>
    <w:uiPriority w:val="0"/>
    <w:rPr>
      <w:rFonts w:ascii="Arial" w:hAnsi="Arial" w:eastAsia="黑体" w:cs="Times New Roman"/>
      <w:b/>
      <w:bCs/>
      <w:sz w:val="28"/>
      <w:szCs w:val="28"/>
    </w:rPr>
  </w:style>
  <w:style w:type="character" w:customStyle="1" w:styleId="38">
    <w:name w:val="标题 5 字符"/>
    <w:link w:val="6"/>
    <w:qFormat/>
    <w:uiPriority w:val="0"/>
    <w:rPr>
      <w:rFonts w:ascii="Times New Roman" w:hAnsi="Times New Roman" w:eastAsia="宋体" w:cs="Times New Roman"/>
      <w:b/>
      <w:bCs/>
      <w:sz w:val="28"/>
      <w:szCs w:val="28"/>
    </w:rPr>
  </w:style>
  <w:style w:type="character" w:customStyle="1" w:styleId="39">
    <w:name w:val="标题 6 字符"/>
    <w:link w:val="7"/>
    <w:qFormat/>
    <w:uiPriority w:val="0"/>
    <w:rPr>
      <w:rFonts w:ascii="Arial" w:hAnsi="Arial" w:eastAsia="黑体" w:cs="Times New Roman"/>
      <w:b/>
      <w:bCs/>
      <w:sz w:val="24"/>
      <w:szCs w:val="24"/>
    </w:rPr>
  </w:style>
  <w:style w:type="character" w:customStyle="1" w:styleId="40">
    <w:name w:val="标题 7 字符"/>
    <w:link w:val="8"/>
    <w:qFormat/>
    <w:uiPriority w:val="0"/>
    <w:rPr>
      <w:rFonts w:ascii="Times New Roman" w:hAnsi="Times New Roman" w:eastAsia="宋体" w:cs="Times New Roman"/>
      <w:b/>
      <w:bCs/>
      <w:sz w:val="24"/>
      <w:szCs w:val="24"/>
    </w:rPr>
  </w:style>
  <w:style w:type="character" w:customStyle="1" w:styleId="41">
    <w:name w:val="标题 8 字符"/>
    <w:link w:val="9"/>
    <w:qFormat/>
    <w:uiPriority w:val="0"/>
    <w:rPr>
      <w:rFonts w:ascii="Arial" w:hAnsi="Arial" w:eastAsia="黑体" w:cs="Times New Roman"/>
      <w:sz w:val="24"/>
      <w:szCs w:val="24"/>
    </w:rPr>
  </w:style>
  <w:style w:type="character" w:customStyle="1" w:styleId="42">
    <w:name w:val="标题 9 字符"/>
    <w:link w:val="10"/>
    <w:qFormat/>
    <w:uiPriority w:val="0"/>
    <w:rPr>
      <w:rFonts w:ascii="Arial" w:hAnsi="Arial" w:eastAsia="黑体" w:cs="Times New Roman"/>
      <w:szCs w:val="21"/>
    </w:rPr>
  </w:style>
  <w:style w:type="character" w:customStyle="1" w:styleId="43">
    <w:name w:val="页眉 字符"/>
    <w:link w:val="18"/>
    <w:qFormat/>
    <w:uiPriority w:val="99"/>
    <w:rPr>
      <w:rFonts w:ascii="Times New Roman" w:hAnsi="Times New Roman" w:eastAsia="宋体" w:cs="Times New Roman"/>
      <w:sz w:val="18"/>
      <w:szCs w:val="18"/>
    </w:rPr>
  </w:style>
  <w:style w:type="character" w:customStyle="1" w:styleId="44">
    <w:name w:val="页脚 字符"/>
    <w:link w:val="17"/>
    <w:qFormat/>
    <w:uiPriority w:val="99"/>
    <w:rPr>
      <w:rFonts w:ascii="宋体" w:hAnsi="Times New Roman" w:eastAsia="宋体" w:cs="Times New Roman"/>
      <w:sz w:val="18"/>
      <w:szCs w:val="18"/>
    </w:rPr>
  </w:style>
  <w:style w:type="character" w:customStyle="1" w:styleId="45">
    <w:name w:val="批注框文本 字符"/>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rPr>
  </w:style>
  <w:style w:type="character" w:customStyle="1" w:styleId="48">
    <w:name w:val="标题 字符"/>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user/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D6E7041666F440195B7EBE783A002F1"/>
        <w:style w:val=""/>
        <w:category>
          <w:name w:val="常规"/>
          <w:gallery w:val="placeholder"/>
        </w:category>
        <w:types>
          <w:type w:val="bbPlcHdr"/>
        </w:types>
        <w:behaviors>
          <w:behavior w:val="content"/>
        </w:behaviors>
        <w:description w:val=""/>
        <w:guid w:val="{4D7FB622-D1ED-4F0D-9C76-8A3BB25A5A4F}"/>
      </w:docPartPr>
      <w:docPartBody>
        <w:p>
          <w:pPr>
            <w:pStyle w:val="5"/>
          </w:pPr>
          <w:r>
            <w:rPr>
              <w:rStyle w:val="4"/>
              <w:rFonts w:hint="eastAsia"/>
            </w:rPr>
            <w:t>单击或点击此处输入文字。</w:t>
          </w:r>
        </w:p>
      </w:docPartBody>
    </w:docPart>
    <w:docPart>
      <w:docPartPr>
        <w:name w:val="2EF7CBAC612744908F5819A2DC1091B2"/>
        <w:style w:val=""/>
        <w:category>
          <w:name w:val="常规"/>
          <w:gallery w:val="placeholder"/>
        </w:category>
        <w:types>
          <w:type w:val="bbPlcHdr"/>
        </w:types>
        <w:behaviors>
          <w:behavior w:val="content"/>
        </w:behaviors>
        <w:description w:val=""/>
        <w:guid w:val="{22FFE850-2044-4823-B8C9-5CF7266410D0}"/>
      </w:docPartPr>
      <w:docPartBody>
        <w:p>
          <w:pPr>
            <w:pStyle w:val="6"/>
          </w:pPr>
          <w:r>
            <w:rPr>
              <w:rStyle w:val="4"/>
              <w:rFonts w:hint="eastAsia"/>
            </w:rPr>
            <w:t>选择一项。</w:t>
          </w:r>
        </w:p>
      </w:docPartBody>
    </w:docPart>
    <w:docPart>
      <w:docPartPr>
        <w:name w:val="B9F4C670100A45AB9D74686D63C0BFA2"/>
        <w:style w:val=""/>
        <w:category>
          <w:name w:val="常规"/>
          <w:gallery w:val="placeholder"/>
        </w:category>
        <w:types>
          <w:type w:val="bbPlcHdr"/>
        </w:types>
        <w:behaviors>
          <w:behavior w:val="content"/>
        </w:behaviors>
        <w:description w:val=""/>
        <w:guid w:val="{6C5795E0-6A02-4258-A0D5-7079F01D8DA5}"/>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等线">
    <w:altName w:val="文泉驿微米黑"/>
    <w:panose1 w:val="00000000000000000000"/>
    <w:charset w:val="86"/>
    <w:family w:val="auto"/>
    <w:pitch w:val="default"/>
    <w:sig w:usb0="00000000" w:usb1="00000000" w:usb2="00000000" w:usb3="00000000" w:csb0="00000000" w:csb1="00000000"/>
  </w:font>
  <w:font w:name="等线">
    <w:altName w:val="文泉驿微米黑"/>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A07"/>
    <w:rsid w:val="00084918"/>
    <w:rsid w:val="00117FB1"/>
    <w:rsid w:val="001D1EB8"/>
    <w:rsid w:val="002F0DA6"/>
    <w:rsid w:val="00306B23"/>
    <w:rsid w:val="003B531B"/>
    <w:rsid w:val="003F07F5"/>
    <w:rsid w:val="0045524B"/>
    <w:rsid w:val="005D7DC8"/>
    <w:rsid w:val="007052E7"/>
    <w:rsid w:val="00787C67"/>
    <w:rsid w:val="00997102"/>
    <w:rsid w:val="009D5102"/>
    <w:rsid w:val="00A234EC"/>
    <w:rsid w:val="00AD1A07"/>
    <w:rsid w:val="00C611AB"/>
    <w:rsid w:val="00D72E2E"/>
    <w:rsid w:val="00DD4B8B"/>
    <w:rsid w:val="00E06D8F"/>
    <w:rsid w:val="00E44FFA"/>
    <w:rsid w:val="00E518FD"/>
    <w:rsid w:val="00E73B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CD6E7041666F440195B7EBE783A002F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2EF7CBAC612744908F5819A2DC1091B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B9F4C670100A45AB9D74686D63C0BFA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7</Pages>
  <Words>767</Words>
  <Characters>4373</Characters>
  <Lines>36</Lines>
  <Paragraphs>10</Paragraphs>
  <TotalTime>2496</TotalTime>
  <ScaleCrop>false</ScaleCrop>
  <LinksUpToDate>false</LinksUpToDate>
  <CharactersWithSpaces>5130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2021-08-12T10:11:00Z</dcterms:created>
  <dc:creator>8618953113346</dc:creator>
  <dc:description>&lt;config cover="true" show_menu="true" version="1.0.0" doctype="SDKXY"&gt;_x000d_
&lt;/config&gt;</dc:description>
  <cp:lastModifiedBy>user</cp:lastModifiedBy>
  <cp:lastPrinted>2020-08-30T18:00:00Z</cp:lastPrinted>
  <dcterms:modified xsi:type="dcterms:W3CDTF">2022-03-07T16:10:09Z</dcterms:modified>
  <dc:title>地方标准</dc:title>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2052-11.8.2.9958</vt:lpwstr>
  </property>
</Properties>
</file>